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4"/>
          <w:szCs w:val="34"/>
        </w:rPr>
        <w:t xml:space="preserve">Sprint — Ready to Execute</w:t>
      </w:r>
    </w:p>
    <w:p>
      <w:pPr>
        <w:spacing w:after="180"/>
      </w:pPr>
      <w:r>
        <w:rPr>
          <w:i/>
          <w:iCs/>
          <w:color w:val="555555"/>
          <w:sz w:val="22"/>
          <w:szCs w:val="22"/>
        </w:rPr>
        <w:t xml:space="preserve">Everything the team can do in full right now, independent of the client meeting. Meeting scheduling runs in parallel, not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3F3E9" w:val="clear"/>
            <w:tcMar>
              <w:top w:type="dxa" w:w="110"/>
              <w:left w:type="dxa" w:w="150"/>
              <w:bottom w:type="dxa" w:w="110"/>
              <w:right w:type="dxa" w:w="150"/>
            </w:tcMar>
          </w:tcPr>
          <w:p>
            <w:r>
              <w:rPr>
                <w:b/>
                <w:bCs/>
                <w:color w:val="1F4E5F"/>
                <w:sz w:val="20"/>
                <w:szCs w:val="20"/>
              </w:rPr>
              <w:t xml:space="preserve">Sprint goal:  </w:t>
            </w:r>
            <w:r>
              <w:rPr>
                <w:color w:val="1F4E5F"/>
                <w:sz w:val="20"/>
                <w:szCs w:val="20"/>
              </w:rPr>
              <w:t xml:space="preserve">By sprint close: staging.hms.zensynq.com is genuinely live and externally verified; the onboarding wizard and tenant screens are component-consistent and demo-ready under the current look; two carried-forward hygiene gaps are closed; every claim in the closing report has real pasted evidence, per standard.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Theme decision parked, not dropped.  </w:t>
            </w:r>
          </w:p>
          <w:p>
            <w:pPr>
              <w:spacing w:before="40"/>
            </w:pPr>
            <w:r>
              <w:rPr>
                <w:color w:val="5A4326"/>
                <w:sz w:val="20"/>
                <w:szCs w:val="20"/>
              </w:rPr>
              <w:t xml:space="preserve">The visual-direction question (theme-switch-pack, A/B/C) is set aside for now per direction — no theme work in this sprint. It stays available to pick up later without any lost work; nothing here depends on it. This sprint focuses on making the CURRENT look properly finished, since 'details not good' is a real, separate issue from which palette eventually gets chosen.</w:t>
            </w:r>
          </w:p>
        </w:tc>
      </w:tr>
    </w:tbl>
    <w:p>
      <w:pPr>
        <w:spacing w:after="150"/>
      </w:pPr>
    </w:p>
    <w:p>
      <w:pPr>
        <w:pStyle w:val="Heading1"/>
        <w:spacing w:after="120" w:before="280"/>
      </w:pPr>
      <w:r>
        <w:rPr>
          <w:color w:val="1F4E5F"/>
        </w:rPr>
        <w:t xml:space="preserve">Track 1 — Screen Detail Polish (wizard + tenant screens, current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4900"/>
        <w:gridCol w:w="1300"/>
        <w:gridCol w:w="2310"/>
      </w:tblGrid>
      <w:tr>
        <w:trPr>
          <w:tblHeader/>
        </w:trPr>
        <w:tc>
          <w:tcPr>
            <w:tcW w:type="dxa" w:w="850"/>
            <w:shd w:fill="1F4E5F" w:val="clear"/>
            <w:tcMar>
              <w:top w:type="dxa" w:w="55"/>
              <w:left w:type="dxa" w:w="90"/>
              <w:bottom w:type="dxa" w:w="55"/>
              <w:right w:type="dxa" w:w="90"/>
            </w:tcMar>
          </w:tcPr>
          <w:p>
            <w:r>
              <w:rPr>
                <w:b/>
                <w:bCs/>
                <w:color w:val="FFFFFF"/>
                <w:sz w:val="17"/>
                <w:szCs w:val="17"/>
              </w:rPr>
              <w:t xml:space="preserve">ID</w:t>
            </w:r>
          </w:p>
        </w:tc>
        <w:tc>
          <w:tcPr>
            <w:tcW w:type="dxa" w:w="4900"/>
            <w:shd w:fill="1F4E5F" w:val="clear"/>
            <w:tcMar>
              <w:top w:type="dxa" w:w="55"/>
              <w:left w:type="dxa" w:w="90"/>
              <w:bottom w:type="dxa" w:w="55"/>
              <w:right w:type="dxa" w:w="90"/>
            </w:tcMar>
          </w:tcPr>
          <w:p>
            <w:r>
              <w:rPr>
                <w:b/>
                <w:bCs/>
                <w:color w:val="FFFFFF"/>
                <w:sz w:val="17"/>
                <w:szCs w:val="17"/>
              </w:rPr>
              <w:t xml:space="preserve">Ticket (acceptance gist)</w:t>
            </w:r>
          </w:p>
        </w:tc>
        <w:tc>
          <w:tcPr>
            <w:tcW w:type="dxa" w:w="1300"/>
            <w:shd w:fill="1F4E5F" w:val="clear"/>
            <w:tcMar>
              <w:top w:type="dxa" w:w="55"/>
              <w:left w:type="dxa" w:w="90"/>
              <w:bottom w:type="dxa" w:w="55"/>
              <w:right w:type="dxa" w:w="90"/>
            </w:tcMar>
          </w:tcPr>
          <w:p>
            <w:r>
              <w:rPr>
                <w:b/>
                <w:bCs/>
                <w:color w:val="FFFFFF"/>
                <w:sz w:val="17"/>
                <w:szCs w:val="17"/>
              </w:rPr>
              <w:t xml:space="preserve">Owner</w:t>
            </w:r>
          </w:p>
        </w:tc>
        <w:tc>
          <w:tcPr>
            <w:tcW w:type="dxa" w:w="2310"/>
            <w:shd w:fill="1F4E5F" w:val="clear"/>
            <w:tcMar>
              <w:top w:type="dxa" w:w="55"/>
              <w:left w:type="dxa" w:w="90"/>
              <w:bottom w:type="dxa" w:w="55"/>
              <w:right w:type="dxa" w:w="90"/>
            </w:tcMar>
          </w:tcPr>
          <w:p>
            <w:r>
              <w:rPr>
                <w:b/>
                <w:bCs/>
                <w:color w:val="FFFFFF"/>
                <w:sz w:val="17"/>
                <w:szCs w:val="17"/>
              </w:rPr>
              <w:t xml:space="preserve">Traces / dep</w:t>
            </w:r>
          </w:p>
        </w:tc>
      </w:tr>
      <w:tr>
        <w:tc>
          <w:tcPr>
            <w:tcW w:type="dxa" w:w="850"/>
            <w:tcMar>
              <w:top w:type="dxa" w:w="55"/>
              <w:left w:type="dxa" w:w="90"/>
              <w:bottom w:type="dxa" w:w="55"/>
              <w:right w:type="dxa" w:w="90"/>
            </w:tcMar>
          </w:tcPr>
          <w:p>
            <w:r>
              <w:rPr>
                <w:b w:val="false"/>
                <w:bCs w:val="false"/>
                <w:sz w:val="17"/>
                <w:szCs w:val="17"/>
              </w:rPr>
              <w:t xml:space="preserve">T1-01</w:t>
            </w:r>
          </w:p>
        </w:tc>
        <w:tc>
          <w:tcPr>
            <w:tcW w:type="dxa" w:w="4900"/>
            <w:tcMar>
              <w:top w:type="dxa" w:w="55"/>
              <w:left w:type="dxa" w:w="90"/>
              <w:bottom w:type="dxa" w:w="55"/>
              <w:right w:type="dxa" w:w="90"/>
            </w:tcMar>
          </w:tcPr>
          <w:p>
            <w:r>
              <w:rPr>
                <w:b w:val="false"/>
                <w:bCs w:val="false"/>
                <w:sz w:val="17"/>
                <w:szCs w:val="17"/>
              </w:rPr>
              <w:t xml:space="preserve">Component consistency pass: Tenant Management + Onboarding Wizard Steps 1–4 use Card/FieldCell/StatusPill consistently instead of plain bordered inputs/divs.</w:t>
            </w:r>
          </w:p>
        </w:tc>
        <w:tc>
          <w:tcPr>
            <w:tcW w:type="dxa" w:w="1300"/>
            <w:tcMar>
              <w:top w:type="dxa" w:w="55"/>
              <w:left w:type="dxa" w:w="90"/>
              <w:bottom w:type="dxa" w:w="55"/>
              <w:right w:type="dxa" w:w="90"/>
            </w:tcMar>
          </w:tcPr>
          <w:p>
            <w:r>
              <w:rPr>
                <w:b w:val="false"/>
                <w:bCs w:val="false"/>
                <w:sz w:val="17"/>
                <w:szCs w:val="17"/>
              </w:rPr>
              <w:t xml:space="preserve">Frontend</w:t>
            </w:r>
          </w:p>
        </w:tc>
        <w:tc>
          <w:tcPr>
            <w:tcW w:type="dxa" w:w="2310"/>
            <w:tcMar>
              <w:top w:type="dxa" w:w="55"/>
              <w:left w:type="dxa" w:w="90"/>
              <w:bottom w:type="dxa" w:w="55"/>
              <w:right w:type="dxa" w:w="90"/>
            </w:tcMar>
          </w:tcPr>
          <w:p>
            <w:r>
              <w:rPr>
                <w:b w:val="false"/>
                <w:bCs w:val="false"/>
                <w:sz w:val="17"/>
                <w:szCs w:val="17"/>
              </w:rPr>
              <w:t xml:space="preserve">prior plan</w:t>
            </w:r>
          </w:p>
        </w:tc>
      </w:tr>
      <w:tr>
        <w:tc>
          <w:tcPr>
            <w:tcW w:type="dxa" w:w="850"/>
            <w:shd w:fill="EAF2F6" w:val="clear"/>
            <w:tcMar>
              <w:top w:type="dxa" w:w="55"/>
              <w:left w:type="dxa" w:w="90"/>
              <w:bottom w:type="dxa" w:w="55"/>
              <w:right w:type="dxa" w:w="90"/>
            </w:tcMar>
          </w:tcPr>
          <w:p>
            <w:r>
              <w:rPr>
                <w:b w:val="false"/>
                <w:bCs w:val="false"/>
                <w:sz w:val="17"/>
                <w:szCs w:val="17"/>
              </w:rPr>
              <w:t xml:space="preserve">T1-02</w:t>
            </w:r>
          </w:p>
        </w:tc>
        <w:tc>
          <w:tcPr>
            <w:tcW w:type="dxa" w:w="4900"/>
            <w:shd w:fill="EAF2F6" w:val="clear"/>
            <w:tcMar>
              <w:top w:type="dxa" w:w="55"/>
              <w:left w:type="dxa" w:w="90"/>
              <w:bottom w:type="dxa" w:w="55"/>
              <w:right w:type="dxa" w:w="90"/>
            </w:tcMar>
          </w:tcPr>
          <w:p>
            <w:r>
              <w:rPr>
                <w:b w:val="false"/>
                <w:bCs w:val="false"/>
                <w:sz w:val="17"/>
                <w:szCs w:val="17"/>
              </w:rPr>
              <w:t xml:space="preserve">Add proper loading/empty/error states to every onboarding-path screen per the standard Definition of Done — likely skipped when these screens were built quickly as operator tooling.</w:t>
            </w:r>
          </w:p>
        </w:tc>
        <w:tc>
          <w:tcPr>
            <w:tcW w:type="dxa" w:w="1300"/>
            <w:shd w:fill="EAF2F6" w:val="clear"/>
            <w:tcMar>
              <w:top w:type="dxa" w:w="55"/>
              <w:left w:type="dxa" w:w="90"/>
              <w:bottom w:type="dxa" w:w="55"/>
              <w:right w:type="dxa" w:w="90"/>
            </w:tcMar>
          </w:tcPr>
          <w:p>
            <w:r>
              <w:rPr>
                <w:b w:val="false"/>
                <w:bCs w:val="false"/>
                <w:sz w:val="17"/>
                <w:szCs w:val="17"/>
              </w:rPr>
              <w:t xml:space="preserve">Frontend</w:t>
            </w:r>
          </w:p>
        </w:tc>
        <w:tc>
          <w:tcPr>
            <w:tcW w:type="dxa" w:w="2310"/>
            <w:shd w:fill="EAF2F6" w:val="clear"/>
            <w:tcMar>
              <w:top w:type="dxa" w:w="55"/>
              <w:left w:type="dxa" w:w="90"/>
              <w:bottom w:type="dxa" w:w="55"/>
              <w:right w:type="dxa" w:w="90"/>
            </w:tcMar>
          </w:tcPr>
          <w:p>
            <w:r>
              <w:rPr>
                <w:b w:val="false"/>
                <w:bCs w:val="false"/>
                <w:sz w:val="17"/>
                <w:szCs w:val="17"/>
              </w:rPr>
              <w:t xml:space="preserve">DoD</w:t>
            </w:r>
          </w:p>
        </w:tc>
      </w:tr>
      <w:tr>
        <w:tc>
          <w:tcPr>
            <w:tcW w:type="dxa" w:w="850"/>
            <w:tcMar>
              <w:top w:type="dxa" w:w="55"/>
              <w:left w:type="dxa" w:w="90"/>
              <w:bottom w:type="dxa" w:w="55"/>
              <w:right w:type="dxa" w:w="90"/>
            </w:tcMar>
          </w:tcPr>
          <w:p>
            <w:r>
              <w:rPr>
                <w:b w:val="false"/>
                <w:bCs w:val="false"/>
                <w:sz w:val="17"/>
                <w:szCs w:val="17"/>
              </w:rPr>
              <w:t xml:space="preserve">T1-03</w:t>
            </w:r>
          </w:p>
        </w:tc>
        <w:tc>
          <w:tcPr>
            <w:tcW w:type="dxa" w:w="4900"/>
            <w:tcMar>
              <w:top w:type="dxa" w:w="55"/>
              <w:left w:type="dxa" w:w="90"/>
              <w:bottom w:type="dxa" w:w="55"/>
              <w:right w:type="dxa" w:w="90"/>
            </w:tcMar>
          </w:tcPr>
          <w:p>
            <w:r>
              <w:rPr>
                <w:b w:val="false"/>
                <w:bCs w:val="false"/>
                <w:sz w:val="17"/>
                <w:szCs w:val="17"/>
              </w:rPr>
              <w:t xml:space="preserve">STAFF_ENROLLED: implement the real MFA-enrollment check, or rename the label honestly if that data isn't available yet. Update the onboarding test to assert actual behavior, not just count.</w:t>
            </w:r>
          </w:p>
        </w:tc>
        <w:tc>
          <w:tcPr>
            <w:tcW w:type="dxa" w:w="1300"/>
            <w:tcMar>
              <w:top w:type="dxa" w:w="55"/>
              <w:left w:type="dxa" w:w="90"/>
              <w:bottom w:type="dxa" w:w="55"/>
              <w:right w:type="dxa" w:w="90"/>
            </w:tcMar>
          </w:tcPr>
          <w:p>
            <w:r>
              <w:rPr>
                <w:b w:val="false"/>
                <w:bCs w:val="false"/>
                <w:sz w:val="17"/>
                <w:szCs w:val="17"/>
              </w:rPr>
              <w:t xml:space="preserve">Backend+FE</w:t>
            </w:r>
          </w:p>
        </w:tc>
        <w:tc>
          <w:tcPr>
            <w:tcW w:type="dxa" w:w="2310"/>
            <w:tcMar>
              <w:top w:type="dxa" w:w="55"/>
              <w:left w:type="dxa" w:w="90"/>
              <w:bottom w:type="dxa" w:w="55"/>
              <w:right w:type="dxa" w:w="90"/>
            </w:tcMar>
          </w:tcPr>
          <w:p>
            <w:r>
              <w:rPr>
                <w:b w:val="false"/>
                <w:bCs w:val="false"/>
                <w:sz w:val="17"/>
                <w:szCs w:val="17"/>
              </w:rPr>
              <w:t xml:space="preserve">standing item</w:t>
            </w:r>
          </w:p>
        </w:tc>
      </w:tr>
      <w:tr>
        <w:tc>
          <w:tcPr>
            <w:tcW w:type="dxa" w:w="850"/>
            <w:shd w:fill="EAF2F6" w:val="clear"/>
            <w:tcMar>
              <w:top w:type="dxa" w:w="55"/>
              <w:left w:type="dxa" w:w="90"/>
              <w:bottom w:type="dxa" w:w="55"/>
              <w:right w:type="dxa" w:w="90"/>
            </w:tcMar>
          </w:tcPr>
          <w:p>
            <w:r>
              <w:rPr>
                <w:b w:val="false"/>
                <w:bCs w:val="false"/>
                <w:sz w:val="17"/>
                <w:szCs w:val="17"/>
              </w:rPr>
              <w:t xml:space="preserve">T1-04</w:t>
            </w:r>
          </w:p>
        </w:tc>
        <w:tc>
          <w:tcPr>
            <w:tcW w:type="dxa" w:w="4900"/>
            <w:shd w:fill="EAF2F6" w:val="clear"/>
            <w:tcMar>
              <w:top w:type="dxa" w:w="55"/>
              <w:left w:type="dxa" w:w="90"/>
              <w:bottom w:type="dxa" w:w="55"/>
              <w:right w:type="dxa" w:w="90"/>
            </w:tcMar>
          </w:tcPr>
          <w:p>
            <w:r>
              <w:rPr>
                <w:b w:val="false"/>
                <w:bCs w:val="false"/>
                <w:sz w:val="17"/>
                <w:szCs w:val="17"/>
              </w:rPr>
              <w:t xml:space="preserve">Ops Control screen: same component-consistency pass, lower priority than the wizard but same standard once time allows.</w:t>
            </w:r>
          </w:p>
        </w:tc>
        <w:tc>
          <w:tcPr>
            <w:tcW w:type="dxa" w:w="1300"/>
            <w:shd w:fill="EAF2F6" w:val="clear"/>
            <w:tcMar>
              <w:top w:type="dxa" w:w="55"/>
              <w:left w:type="dxa" w:w="90"/>
              <w:bottom w:type="dxa" w:w="55"/>
              <w:right w:type="dxa" w:w="90"/>
            </w:tcMar>
          </w:tcPr>
          <w:p>
            <w:r>
              <w:rPr>
                <w:b w:val="false"/>
                <w:bCs w:val="false"/>
                <w:sz w:val="17"/>
                <w:szCs w:val="17"/>
              </w:rPr>
              <w:t xml:space="preserve">Frontend</w:t>
            </w:r>
          </w:p>
        </w:tc>
        <w:tc>
          <w:tcPr>
            <w:tcW w:type="dxa" w:w="2310"/>
            <w:shd w:fill="EAF2F6" w:val="clear"/>
            <w:tcMar>
              <w:top w:type="dxa" w:w="55"/>
              <w:left w:type="dxa" w:w="90"/>
              <w:bottom w:type="dxa" w:w="55"/>
              <w:right w:type="dxa" w:w="90"/>
            </w:tcMar>
          </w:tcPr>
          <w:p>
            <w:r>
              <w:rPr>
                <w:b w:val="false"/>
                <w:bCs w:val="false"/>
                <w:sz w:val="17"/>
                <w:szCs w:val="17"/>
              </w:rPr>
              <w:t xml:space="preserve">secondary</w:t>
            </w:r>
          </w:p>
        </w:tc>
      </w:tr>
      <w:tr>
        <w:tc>
          <w:tcPr>
            <w:tcW w:type="dxa" w:w="850"/>
            <w:tcMar>
              <w:top w:type="dxa" w:w="55"/>
              <w:left w:type="dxa" w:w="90"/>
              <w:bottom w:type="dxa" w:w="55"/>
              <w:right w:type="dxa" w:w="90"/>
            </w:tcMar>
          </w:tcPr>
          <w:p>
            <w:r>
              <w:rPr>
                <w:b w:val="false"/>
                <w:bCs w:val="false"/>
                <w:sz w:val="17"/>
                <w:szCs w:val="17"/>
              </w:rPr>
              <w:t xml:space="preserve">T1-05</w:t>
            </w:r>
          </w:p>
        </w:tc>
        <w:tc>
          <w:tcPr>
            <w:tcW w:type="dxa" w:w="4900"/>
            <w:tcMar>
              <w:top w:type="dxa" w:w="55"/>
              <w:left w:type="dxa" w:w="90"/>
              <w:bottom w:type="dxa" w:w="55"/>
              <w:right w:type="dxa" w:w="90"/>
            </w:tcMar>
          </w:tcPr>
          <w:p>
            <w:r>
              <w:rPr>
                <w:b w:val="false"/>
                <w:bCs w:val="false"/>
                <w:sz w:val="17"/>
                <w:szCs w:val="17"/>
              </w:rPr>
              <w:t xml:space="preserve">Dry run: walk the full 8-step onboarding lifecycle (provision → go-live) yourself on the polished screens; confirm nothing looks unfinished anywhere in the path.</w:t>
            </w:r>
          </w:p>
        </w:tc>
        <w:tc>
          <w:tcPr>
            <w:tcW w:type="dxa" w:w="1300"/>
            <w:tcMar>
              <w:top w:type="dxa" w:w="55"/>
              <w:left w:type="dxa" w:w="90"/>
              <w:bottom w:type="dxa" w:w="55"/>
              <w:right w:type="dxa" w:w="90"/>
            </w:tcMar>
          </w:tcPr>
          <w:p>
            <w:r>
              <w:rPr>
                <w:b w:val="false"/>
                <w:bCs w:val="false"/>
                <w:sz w:val="17"/>
                <w:szCs w:val="17"/>
              </w:rPr>
              <w:t xml:space="preserve">Frontend</w:t>
            </w:r>
          </w:p>
        </w:tc>
        <w:tc>
          <w:tcPr>
            <w:tcW w:type="dxa" w:w="2310"/>
            <w:tcMar>
              <w:top w:type="dxa" w:w="55"/>
              <w:left w:type="dxa" w:w="90"/>
              <w:bottom w:type="dxa" w:w="55"/>
              <w:right w:type="dxa" w:w="90"/>
            </w:tcMar>
          </w:tcPr>
          <w:p>
            <w:r>
              <w:rPr>
                <w:b w:val="false"/>
                <w:bCs w:val="false"/>
                <w:sz w:val="17"/>
                <w:szCs w:val="17"/>
              </w:rPr>
              <w:t xml:space="preserve">dep T1-01..04</w:t>
            </w:r>
          </w:p>
        </w:tc>
      </w:tr>
    </w:tbl>
    <w:p>
      <w:pPr>
        <w:spacing w:after="150"/>
      </w:pPr>
    </w:p>
    <w:p>
      <w:pPr>
        <w:pStyle w:val="Heading1"/>
        <w:spacing w:after="120" w:before="280"/>
      </w:pPr>
      <w:r>
        <w:rPr>
          <w:color w:val="1F4E5F"/>
        </w:rPr>
        <w:t xml:space="preserve">Track 2 — Real Staging Deployment (full, no client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4900"/>
        <w:gridCol w:w="1300"/>
        <w:gridCol w:w="2310"/>
      </w:tblGrid>
      <w:tr>
        <w:trPr>
          <w:tblHeader/>
        </w:trPr>
        <w:tc>
          <w:tcPr>
            <w:tcW w:type="dxa" w:w="850"/>
            <w:shd w:fill="1F4E5F" w:val="clear"/>
            <w:tcMar>
              <w:top w:type="dxa" w:w="55"/>
              <w:left w:type="dxa" w:w="90"/>
              <w:bottom w:type="dxa" w:w="55"/>
              <w:right w:type="dxa" w:w="90"/>
            </w:tcMar>
          </w:tcPr>
          <w:p>
            <w:r>
              <w:rPr>
                <w:b/>
                <w:bCs/>
                <w:color w:val="FFFFFF"/>
                <w:sz w:val="17"/>
                <w:szCs w:val="17"/>
              </w:rPr>
              <w:t xml:space="preserve">ID</w:t>
            </w:r>
          </w:p>
        </w:tc>
        <w:tc>
          <w:tcPr>
            <w:tcW w:type="dxa" w:w="4900"/>
            <w:shd w:fill="1F4E5F" w:val="clear"/>
            <w:tcMar>
              <w:top w:type="dxa" w:w="55"/>
              <w:left w:type="dxa" w:w="90"/>
              <w:bottom w:type="dxa" w:w="55"/>
              <w:right w:type="dxa" w:w="90"/>
            </w:tcMar>
          </w:tcPr>
          <w:p>
            <w:r>
              <w:rPr>
                <w:b/>
                <w:bCs/>
                <w:color w:val="FFFFFF"/>
                <w:sz w:val="17"/>
                <w:szCs w:val="17"/>
              </w:rPr>
              <w:t xml:space="preserve">Ticket (acceptance gist)</w:t>
            </w:r>
          </w:p>
        </w:tc>
        <w:tc>
          <w:tcPr>
            <w:tcW w:type="dxa" w:w="1300"/>
            <w:shd w:fill="1F4E5F" w:val="clear"/>
            <w:tcMar>
              <w:top w:type="dxa" w:w="55"/>
              <w:left w:type="dxa" w:w="90"/>
              <w:bottom w:type="dxa" w:w="55"/>
              <w:right w:type="dxa" w:w="90"/>
            </w:tcMar>
          </w:tcPr>
          <w:p>
            <w:r>
              <w:rPr>
                <w:b/>
                <w:bCs/>
                <w:color w:val="FFFFFF"/>
                <w:sz w:val="17"/>
                <w:szCs w:val="17"/>
              </w:rPr>
              <w:t xml:space="preserve">Owner</w:t>
            </w:r>
          </w:p>
        </w:tc>
        <w:tc>
          <w:tcPr>
            <w:tcW w:type="dxa" w:w="2310"/>
            <w:shd w:fill="1F4E5F" w:val="clear"/>
            <w:tcMar>
              <w:top w:type="dxa" w:w="55"/>
              <w:left w:type="dxa" w:w="90"/>
              <w:bottom w:type="dxa" w:w="55"/>
              <w:right w:type="dxa" w:w="90"/>
            </w:tcMar>
          </w:tcPr>
          <w:p>
            <w:r>
              <w:rPr>
                <w:b/>
                <w:bCs/>
                <w:color w:val="FFFFFF"/>
                <w:sz w:val="17"/>
                <w:szCs w:val="17"/>
              </w:rPr>
              <w:t xml:space="preserve">Traces / dep</w:t>
            </w:r>
          </w:p>
        </w:tc>
      </w:tr>
      <w:tr>
        <w:tc>
          <w:tcPr>
            <w:tcW w:type="dxa" w:w="850"/>
            <w:tcMar>
              <w:top w:type="dxa" w:w="55"/>
              <w:left w:type="dxa" w:w="90"/>
              <w:bottom w:type="dxa" w:w="55"/>
              <w:right w:type="dxa" w:w="90"/>
            </w:tcMar>
          </w:tcPr>
          <w:p>
            <w:r>
              <w:rPr>
                <w:b w:val="false"/>
                <w:bCs w:val="false"/>
                <w:sz w:val="17"/>
                <w:szCs w:val="17"/>
              </w:rPr>
              <w:t xml:space="preserve">T2-01</w:t>
            </w:r>
          </w:p>
        </w:tc>
        <w:tc>
          <w:tcPr>
            <w:tcW w:type="dxa" w:w="4900"/>
            <w:tcMar>
              <w:top w:type="dxa" w:w="55"/>
              <w:left w:type="dxa" w:w="90"/>
              <w:bottom w:type="dxa" w:w="55"/>
              <w:right w:type="dxa" w:w="90"/>
            </w:tcMar>
          </w:tcPr>
          <w:p>
            <w:r>
              <w:rPr>
                <w:b w:val="false"/>
                <w:bCs w:val="false"/>
                <w:sz w:val="17"/>
                <w:szCs w:val="17"/>
              </w:rPr>
              <w:t xml:space="preserve">DNS: A record for staging.hms.zensynq.com; confirm propagation before proceeding.</w:t>
            </w:r>
          </w:p>
        </w:tc>
        <w:tc>
          <w:tcPr>
            <w:tcW w:type="dxa" w:w="1300"/>
            <w:tcMar>
              <w:top w:type="dxa" w:w="55"/>
              <w:left w:type="dxa" w:w="90"/>
              <w:bottom w:type="dxa" w:w="55"/>
              <w:right w:type="dxa" w:w="90"/>
            </w:tcMar>
          </w:tcPr>
          <w:p>
            <w:r>
              <w:rPr>
                <w:b w:val="false"/>
                <w:bCs w:val="false"/>
                <w:sz w:val="17"/>
                <w:szCs w:val="17"/>
              </w:rPr>
              <w:t xml:space="preserve">Infra</w:t>
            </w:r>
          </w:p>
        </w:tc>
        <w:tc>
          <w:tcPr>
            <w:tcW w:type="dxa" w:w="2310"/>
            <w:tcMar>
              <w:top w:type="dxa" w:w="55"/>
              <w:left w:type="dxa" w:w="90"/>
              <w:bottom w:type="dxa" w:w="55"/>
              <w:right w:type="dxa" w:w="90"/>
            </w:tcMar>
          </w:tcPr>
          <w:p>
            <w:r>
              <w:rPr>
                <w:b w:val="false"/>
                <w:bCs w:val="false"/>
                <w:sz w:val="17"/>
                <w:szCs w:val="17"/>
              </w:rPr>
              <w:t xml:space="preserve"/>
            </w:r>
          </w:p>
        </w:tc>
      </w:tr>
      <w:tr>
        <w:tc>
          <w:tcPr>
            <w:tcW w:type="dxa" w:w="850"/>
            <w:shd w:fill="EAF2F6" w:val="clear"/>
            <w:tcMar>
              <w:top w:type="dxa" w:w="55"/>
              <w:left w:type="dxa" w:w="90"/>
              <w:bottom w:type="dxa" w:w="55"/>
              <w:right w:type="dxa" w:w="90"/>
            </w:tcMar>
          </w:tcPr>
          <w:p>
            <w:r>
              <w:rPr>
                <w:b w:val="false"/>
                <w:bCs w:val="false"/>
                <w:sz w:val="17"/>
                <w:szCs w:val="17"/>
              </w:rPr>
              <w:t xml:space="preserve">T2-02</w:t>
            </w:r>
          </w:p>
        </w:tc>
        <w:tc>
          <w:tcPr>
            <w:tcW w:type="dxa" w:w="4900"/>
            <w:shd w:fill="EAF2F6" w:val="clear"/>
            <w:tcMar>
              <w:top w:type="dxa" w:w="55"/>
              <w:left w:type="dxa" w:w="90"/>
              <w:bottom w:type="dxa" w:w="55"/>
              <w:right w:type="dxa" w:w="90"/>
            </w:tcMar>
          </w:tcPr>
          <w:p>
            <w:r>
              <w:rPr>
                <w:b w:val="false"/>
                <w:bCs w:val="false"/>
                <w:sz w:val="17"/>
                <w:szCs w:val="17"/>
              </w:rPr>
              <w:t xml:space="preserve">Harden the VPS: firewall (22/80/443 only), SSH key-only, fail2ban, unattended upgrades.</w:t>
            </w:r>
          </w:p>
        </w:tc>
        <w:tc>
          <w:tcPr>
            <w:tcW w:type="dxa" w:w="1300"/>
            <w:shd w:fill="EAF2F6" w:val="clear"/>
            <w:tcMar>
              <w:top w:type="dxa" w:w="55"/>
              <w:left w:type="dxa" w:w="90"/>
              <w:bottom w:type="dxa" w:w="55"/>
              <w:right w:type="dxa" w:w="90"/>
            </w:tcMar>
          </w:tcPr>
          <w:p>
            <w:r>
              <w:rPr>
                <w:b w:val="false"/>
                <w:bCs w:val="false"/>
                <w:sz w:val="17"/>
                <w:szCs w:val="17"/>
              </w:rPr>
              <w:t xml:space="preserve">Infra</w:t>
            </w:r>
          </w:p>
        </w:tc>
        <w:tc>
          <w:tcPr>
            <w:tcW w:type="dxa" w:w="2310"/>
            <w:shd w:fill="EAF2F6" w:val="clear"/>
            <w:tcMar>
              <w:top w:type="dxa" w:w="55"/>
              <w:left w:type="dxa" w:w="90"/>
              <w:bottom w:type="dxa" w:w="55"/>
              <w:right w:type="dxa" w:w="90"/>
            </w:tcMar>
          </w:tcPr>
          <w:p>
            <w:r>
              <w:rPr>
                <w:b w:val="false"/>
                <w:bCs w:val="false"/>
                <w:sz w:val="17"/>
                <w:szCs w:val="17"/>
              </w:rPr>
              <w:t xml:space="preserve"/>
            </w:r>
          </w:p>
        </w:tc>
      </w:tr>
      <w:tr>
        <w:tc>
          <w:tcPr>
            <w:tcW w:type="dxa" w:w="850"/>
            <w:tcMar>
              <w:top w:type="dxa" w:w="55"/>
              <w:left w:type="dxa" w:w="90"/>
              <w:bottom w:type="dxa" w:w="55"/>
              <w:right w:type="dxa" w:w="90"/>
            </w:tcMar>
          </w:tcPr>
          <w:p>
            <w:r>
              <w:rPr>
                <w:b w:val="false"/>
                <w:bCs w:val="false"/>
                <w:sz w:val="17"/>
                <w:szCs w:val="17"/>
              </w:rPr>
              <w:t xml:space="preserve">T2-03</w:t>
            </w:r>
          </w:p>
        </w:tc>
        <w:tc>
          <w:tcPr>
            <w:tcW w:type="dxa" w:w="4900"/>
            <w:tcMar>
              <w:top w:type="dxa" w:w="55"/>
              <w:left w:type="dxa" w:w="90"/>
              <w:bottom w:type="dxa" w:w="55"/>
              <w:right w:type="dxa" w:w="90"/>
            </w:tcMar>
          </w:tcPr>
          <w:p>
            <w:r>
              <w:rPr>
                <w:b w:val="false"/>
                <w:bCs w:val="false"/>
                <w:sz w:val="17"/>
                <w:szCs w:val="17"/>
              </w:rPr>
              <w:t xml:space="preserve">Deploy current main of both repos with production env vars: real secrets, ALLOW_DEV_TOKENS=false, ENV not development.</w:t>
            </w:r>
          </w:p>
        </w:tc>
        <w:tc>
          <w:tcPr>
            <w:tcW w:type="dxa" w:w="1300"/>
            <w:tcMar>
              <w:top w:type="dxa" w:w="55"/>
              <w:left w:type="dxa" w:w="90"/>
              <w:bottom w:type="dxa" w:w="55"/>
              <w:right w:type="dxa" w:w="90"/>
            </w:tcMar>
          </w:tcPr>
          <w:p>
            <w:r>
              <w:rPr>
                <w:b w:val="false"/>
                <w:bCs w:val="false"/>
                <w:sz w:val="17"/>
                <w:szCs w:val="17"/>
              </w:rPr>
              <w:t xml:space="preserve">Infra+Backend</w:t>
            </w:r>
          </w:p>
        </w:tc>
        <w:tc>
          <w:tcPr>
            <w:tcW w:type="dxa" w:w="2310"/>
            <w:tcMar>
              <w:top w:type="dxa" w:w="55"/>
              <w:left w:type="dxa" w:w="90"/>
              <w:bottom w:type="dxa" w:w="55"/>
              <w:right w:type="dxa" w:w="90"/>
            </w:tcMar>
          </w:tcPr>
          <w:p>
            <w:r>
              <w:rPr>
                <w:b w:val="false"/>
                <w:bCs w:val="false"/>
                <w:sz w:val="17"/>
                <w:szCs w:val="17"/>
              </w:rPr>
              <w:t xml:space="preserve"/>
            </w:r>
          </w:p>
        </w:tc>
      </w:tr>
      <w:tr>
        <w:tc>
          <w:tcPr>
            <w:tcW w:type="dxa" w:w="850"/>
            <w:shd w:fill="EAF2F6" w:val="clear"/>
            <w:tcMar>
              <w:top w:type="dxa" w:w="55"/>
              <w:left w:type="dxa" w:w="90"/>
              <w:bottom w:type="dxa" w:w="55"/>
              <w:right w:type="dxa" w:w="90"/>
            </w:tcMar>
          </w:tcPr>
          <w:p>
            <w:r>
              <w:rPr>
                <w:b w:val="false"/>
                <w:bCs w:val="false"/>
                <w:sz w:val="17"/>
                <w:szCs w:val="17"/>
              </w:rPr>
              <w:t xml:space="preserve">T2-04</w:t>
            </w:r>
          </w:p>
        </w:tc>
        <w:tc>
          <w:tcPr>
            <w:tcW w:type="dxa" w:w="4900"/>
            <w:shd w:fill="EAF2F6" w:val="clear"/>
            <w:tcMar>
              <w:top w:type="dxa" w:w="55"/>
              <w:left w:type="dxa" w:w="90"/>
              <w:bottom w:type="dxa" w:w="55"/>
              <w:right w:type="dxa" w:w="90"/>
            </w:tcMar>
          </w:tcPr>
          <w:p>
            <w:r>
              <w:rPr>
                <w:b w:val="false"/>
                <w:bCs w:val="false"/>
                <w:sz w:val="17"/>
                <w:szCs w:val="17"/>
              </w:rPr>
              <w:t xml:space="preserve">TLS via certbot; enable nginx 443 + HSTS; confirm port 8000 not publicly exposed.</w:t>
            </w:r>
          </w:p>
        </w:tc>
        <w:tc>
          <w:tcPr>
            <w:tcW w:type="dxa" w:w="1300"/>
            <w:shd w:fill="EAF2F6" w:val="clear"/>
            <w:tcMar>
              <w:top w:type="dxa" w:w="55"/>
              <w:left w:type="dxa" w:w="90"/>
              <w:bottom w:type="dxa" w:w="55"/>
              <w:right w:type="dxa" w:w="90"/>
            </w:tcMar>
          </w:tcPr>
          <w:p>
            <w:r>
              <w:rPr>
                <w:b w:val="false"/>
                <w:bCs w:val="false"/>
                <w:sz w:val="17"/>
                <w:szCs w:val="17"/>
              </w:rPr>
              <w:t xml:space="preserve">Infra</w:t>
            </w:r>
          </w:p>
        </w:tc>
        <w:tc>
          <w:tcPr>
            <w:tcW w:type="dxa" w:w="2310"/>
            <w:shd w:fill="EAF2F6" w:val="clear"/>
            <w:tcMar>
              <w:top w:type="dxa" w:w="55"/>
              <w:left w:type="dxa" w:w="90"/>
              <w:bottom w:type="dxa" w:w="55"/>
              <w:right w:type="dxa" w:w="90"/>
            </w:tcMar>
          </w:tcPr>
          <w:p>
            <w:r>
              <w:rPr>
                <w:b w:val="false"/>
                <w:bCs w:val="false"/>
                <w:sz w:val="17"/>
                <w:szCs w:val="17"/>
              </w:rPr>
              <w:t xml:space="preserve"/>
            </w:r>
          </w:p>
        </w:tc>
      </w:tr>
      <w:tr>
        <w:tc>
          <w:tcPr>
            <w:tcW w:type="dxa" w:w="850"/>
            <w:tcMar>
              <w:top w:type="dxa" w:w="55"/>
              <w:left w:type="dxa" w:w="90"/>
              <w:bottom w:type="dxa" w:w="55"/>
              <w:right w:type="dxa" w:w="90"/>
            </w:tcMar>
          </w:tcPr>
          <w:p>
            <w:r>
              <w:rPr>
                <w:b w:val="false"/>
                <w:bCs w:val="false"/>
                <w:sz w:val="17"/>
                <w:szCs w:val="17"/>
              </w:rPr>
              <w:t xml:space="preserve">T2-05</w:t>
            </w:r>
          </w:p>
        </w:tc>
        <w:tc>
          <w:tcPr>
            <w:tcW w:type="dxa" w:w="4900"/>
            <w:tcMar>
              <w:top w:type="dxa" w:w="55"/>
              <w:left w:type="dxa" w:w="90"/>
              <w:bottom w:type="dxa" w:w="55"/>
              <w:right w:type="dxa" w:w="90"/>
            </w:tcMar>
          </w:tcPr>
          <w:p>
            <w:r>
              <w:rPr>
                <w:b w:val="false"/>
                <w:bCs w:val="false"/>
                <w:sz w:val="17"/>
                <w:szCs w:val="17"/>
              </w:rPr>
              <w:t xml:space="preserve">External verification: curl -I https://staging.hms.zensynq.com/health from a machine that is NOT the VPS. Paste literal output.</w:t>
            </w:r>
          </w:p>
        </w:tc>
        <w:tc>
          <w:tcPr>
            <w:tcW w:type="dxa" w:w="1300"/>
            <w:tcMar>
              <w:top w:type="dxa" w:w="55"/>
              <w:left w:type="dxa" w:w="90"/>
              <w:bottom w:type="dxa" w:w="55"/>
              <w:right w:type="dxa" w:w="90"/>
            </w:tcMar>
          </w:tcPr>
          <w:p>
            <w:r>
              <w:rPr>
                <w:b w:val="false"/>
                <w:bCs w:val="false"/>
                <w:sz w:val="17"/>
                <w:szCs w:val="17"/>
              </w:rPr>
              <w:t xml:space="preserve">Infra</w:t>
            </w:r>
          </w:p>
        </w:tc>
        <w:tc>
          <w:tcPr>
            <w:tcW w:type="dxa" w:w="2310"/>
            <w:tcMar>
              <w:top w:type="dxa" w:w="55"/>
              <w:left w:type="dxa" w:w="90"/>
              <w:bottom w:type="dxa" w:w="55"/>
              <w:right w:type="dxa" w:w="90"/>
            </w:tcMar>
          </w:tcPr>
          <w:p>
            <w:r>
              <w:rPr>
                <w:b w:val="false"/>
                <w:bCs w:val="false"/>
                <w:sz w:val="17"/>
                <w:szCs w:val="17"/>
              </w:rPr>
              <w:t xml:space="preserve">evidence required</w:t>
            </w:r>
          </w:p>
        </w:tc>
      </w:tr>
      <w:tr>
        <w:tc>
          <w:tcPr>
            <w:tcW w:type="dxa" w:w="850"/>
            <w:shd w:fill="EAF2F6" w:val="clear"/>
            <w:tcMar>
              <w:top w:type="dxa" w:w="55"/>
              <w:left w:type="dxa" w:w="90"/>
              <w:bottom w:type="dxa" w:w="55"/>
              <w:right w:type="dxa" w:w="90"/>
            </w:tcMar>
          </w:tcPr>
          <w:p>
            <w:r>
              <w:rPr>
                <w:b w:val="false"/>
                <w:bCs w:val="false"/>
                <w:sz w:val="17"/>
                <w:szCs w:val="17"/>
              </w:rPr>
              <w:t xml:space="preserve">T2-06</w:t>
            </w:r>
          </w:p>
        </w:tc>
        <w:tc>
          <w:tcPr>
            <w:tcW w:type="dxa" w:w="4900"/>
            <w:shd w:fill="EAF2F6" w:val="clear"/>
            <w:tcMar>
              <w:top w:type="dxa" w:w="55"/>
              <w:left w:type="dxa" w:w="90"/>
              <w:bottom w:type="dxa" w:w="55"/>
              <w:right w:type="dxa" w:w="90"/>
            </w:tcMar>
          </w:tcPr>
          <w:p>
            <w:r>
              <w:rPr>
                <w:b w:val="false"/>
                <w:bCs w:val="false"/>
                <w:sz w:val="17"/>
                <w:szCs w:val="17"/>
              </w:rPr>
              <w:t xml:space="preserve">Confirm dev tokens rejected on staging: curl with a dev Bearer token against a protected endpoint, expect 401.</w:t>
            </w:r>
          </w:p>
        </w:tc>
        <w:tc>
          <w:tcPr>
            <w:tcW w:type="dxa" w:w="1300"/>
            <w:shd w:fill="EAF2F6" w:val="clear"/>
            <w:tcMar>
              <w:top w:type="dxa" w:w="55"/>
              <w:left w:type="dxa" w:w="90"/>
              <w:bottom w:type="dxa" w:w="55"/>
              <w:right w:type="dxa" w:w="90"/>
            </w:tcMar>
          </w:tcPr>
          <w:p>
            <w:r>
              <w:rPr>
                <w:b w:val="false"/>
                <w:bCs w:val="false"/>
                <w:sz w:val="17"/>
                <w:szCs w:val="17"/>
              </w:rPr>
              <w:t xml:space="preserve">Backend</w:t>
            </w:r>
          </w:p>
        </w:tc>
        <w:tc>
          <w:tcPr>
            <w:tcW w:type="dxa" w:w="2310"/>
            <w:shd w:fill="EAF2F6" w:val="clear"/>
            <w:tcMar>
              <w:top w:type="dxa" w:w="55"/>
              <w:left w:type="dxa" w:w="90"/>
              <w:bottom w:type="dxa" w:w="55"/>
              <w:right w:type="dxa" w:w="90"/>
            </w:tcMar>
          </w:tcPr>
          <w:p>
            <w:r>
              <w:rPr>
                <w:b w:val="false"/>
                <w:bCs w:val="false"/>
                <w:sz w:val="17"/>
                <w:szCs w:val="17"/>
              </w:rPr>
              <w:t xml:space="preserve">evidence required</w:t>
            </w:r>
          </w:p>
        </w:tc>
      </w:tr>
      <w:tr>
        <w:tc>
          <w:tcPr>
            <w:tcW w:type="dxa" w:w="850"/>
            <w:tcMar>
              <w:top w:type="dxa" w:w="55"/>
              <w:left w:type="dxa" w:w="90"/>
              <w:bottom w:type="dxa" w:w="55"/>
              <w:right w:type="dxa" w:w="90"/>
            </w:tcMar>
          </w:tcPr>
          <w:p>
            <w:r>
              <w:rPr>
                <w:b w:val="false"/>
                <w:bCs w:val="false"/>
                <w:sz w:val="17"/>
                <w:szCs w:val="17"/>
              </w:rPr>
              <w:t xml:space="preserve">T2-07</w:t>
            </w:r>
          </w:p>
        </w:tc>
        <w:tc>
          <w:tcPr>
            <w:tcW w:type="dxa" w:w="4900"/>
            <w:tcMar>
              <w:top w:type="dxa" w:w="55"/>
              <w:left w:type="dxa" w:w="90"/>
              <w:bottom w:type="dxa" w:w="55"/>
              <w:right w:type="dxa" w:w="90"/>
            </w:tcMar>
          </w:tcPr>
          <w:p>
            <w:r>
              <w:rPr>
                <w:b w:val="false"/>
                <w:bCs w:val="false"/>
                <w:sz w:val="17"/>
                <w:szCs w:val="17"/>
              </w:rPr>
              <w:t xml:space="preserve">Run both flagship Playwright specs against staging (E2E_BASE_URL=https://staging...), twice consecutively.</w:t>
            </w:r>
          </w:p>
        </w:tc>
        <w:tc>
          <w:tcPr>
            <w:tcW w:type="dxa" w:w="1300"/>
            <w:tcMar>
              <w:top w:type="dxa" w:w="55"/>
              <w:left w:type="dxa" w:w="90"/>
              <w:bottom w:type="dxa" w:w="55"/>
              <w:right w:type="dxa" w:w="90"/>
            </w:tcMar>
          </w:tcPr>
          <w:p>
            <w:r>
              <w:rPr>
                <w:b w:val="false"/>
                <w:bCs w:val="false"/>
                <w:sz w:val="17"/>
                <w:szCs w:val="17"/>
              </w:rPr>
              <w:t xml:space="preserve">Frontend</w:t>
            </w:r>
          </w:p>
        </w:tc>
        <w:tc>
          <w:tcPr>
            <w:tcW w:type="dxa" w:w="2310"/>
            <w:tcMar>
              <w:top w:type="dxa" w:w="55"/>
              <w:left w:type="dxa" w:w="90"/>
              <w:bottom w:type="dxa" w:w="55"/>
              <w:right w:type="dxa" w:w="90"/>
            </w:tcMar>
          </w:tcPr>
          <w:p>
            <w:r>
              <w:rPr>
                <w:b w:val="false"/>
                <w:bCs w:val="false"/>
                <w:sz w:val="17"/>
                <w:szCs w:val="17"/>
              </w:rPr>
              <w:t xml:space="preserve">evidence required</w:t>
            </w:r>
          </w:p>
        </w:tc>
      </w:tr>
      <w:tr>
        <w:tc>
          <w:tcPr>
            <w:tcW w:type="dxa" w:w="850"/>
            <w:shd w:fill="EAF2F6" w:val="clear"/>
            <w:tcMar>
              <w:top w:type="dxa" w:w="55"/>
              <w:left w:type="dxa" w:w="90"/>
              <w:bottom w:type="dxa" w:w="55"/>
              <w:right w:type="dxa" w:w="90"/>
            </w:tcMar>
          </w:tcPr>
          <w:p>
            <w:r>
              <w:rPr>
                <w:b w:val="false"/>
                <w:bCs w:val="false"/>
                <w:sz w:val="17"/>
                <w:szCs w:val="17"/>
              </w:rPr>
              <w:t xml:space="preserve">T2-08</w:t>
            </w:r>
          </w:p>
        </w:tc>
        <w:tc>
          <w:tcPr>
            <w:tcW w:type="dxa" w:w="4900"/>
            <w:shd w:fill="EAF2F6" w:val="clear"/>
            <w:tcMar>
              <w:top w:type="dxa" w:w="55"/>
              <w:left w:type="dxa" w:w="90"/>
              <w:bottom w:type="dxa" w:w="55"/>
              <w:right w:type="dxa" w:w="90"/>
            </w:tcMar>
          </w:tcPr>
          <w:p>
            <w:r>
              <w:rPr>
                <w:b w:val="false"/>
                <w:bCs w:val="false"/>
                <w:sz w:val="17"/>
                <w:szCs w:val="17"/>
              </w:rPr>
              <w:t xml:space="preserve">Off-box encrypted backup + one test restore ON staging specifically; confirm passphrase handling.</w:t>
            </w:r>
          </w:p>
        </w:tc>
        <w:tc>
          <w:tcPr>
            <w:tcW w:type="dxa" w:w="1300"/>
            <w:shd w:fill="EAF2F6" w:val="clear"/>
            <w:tcMar>
              <w:top w:type="dxa" w:w="55"/>
              <w:left w:type="dxa" w:w="90"/>
              <w:bottom w:type="dxa" w:w="55"/>
              <w:right w:type="dxa" w:w="90"/>
            </w:tcMar>
          </w:tcPr>
          <w:p>
            <w:r>
              <w:rPr>
                <w:b w:val="false"/>
                <w:bCs w:val="false"/>
                <w:sz w:val="17"/>
                <w:szCs w:val="17"/>
              </w:rPr>
              <w:t xml:space="preserve">Infra</w:t>
            </w:r>
          </w:p>
        </w:tc>
        <w:tc>
          <w:tcPr>
            <w:tcW w:type="dxa" w:w="2310"/>
            <w:shd w:fill="EAF2F6" w:val="clear"/>
            <w:tcMar>
              <w:top w:type="dxa" w:w="55"/>
              <w:left w:type="dxa" w:w="90"/>
              <w:bottom w:type="dxa" w:w="55"/>
              <w:right w:type="dxa" w:w="90"/>
            </w:tcMar>
          </w:tcPr>
          <w:p>
            <w:r>
              <w:rPr>
                <w:b w:val="false"/>
                <w:bCs w:val="false"/>
                <w:sz w:val="17"/>
                <w:szCs w:val="17"/>
              </w:rPr>
              <w:t xml:space="preserve">evidence required</w:t>
            </w:r>
          </w:p>
        </w:tc>
      </w:tr>
    </w:tbl>
    <w:p>
      <w:pPr>
        <w:spacing w:after="150"/>
      </w:pPr>
    </w:p>
    <w:p>
      <w:pPr>
        <w:pStyle w:val="Heading1"/>
        <w:spacing w:after="120" w:before="280"/>
      </w:pPr>
      <w:r>
        <w:rPr>
          <w:color w:val="1F4E5F"/>
        </w:rPr>
        <w:t xml:space="preserve">Track 3 — Platform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4900"/>
        <w:gridCol w:w="1300"/>
        <w:gridCol w:w="2310"/>
      </w:tblGrid>
      <w:tr>
        <w:trPr>
          <w:tblHeader/>
        </w:trPr>
        <w:tc>
          <w:tcPr>
            <w:tcW w:type="dxa" w:w="850"/>
            <w:shd w:fill="1F4E5F" w:val="clear"/>
            <w:tcMar>
              <w:top w:type="dxa" w:w="55"/>
              <w:left w:type="dxa" w:w="90"/>
              <w:bottom w:type="dxa" w:w="55"/>
              <w:right w:type="dxa" w:w="90"/>
            </w:tcMar>
          </w:tcPr>
          <w:p>
            <w:r>
              <w:rPr>
                <w:b/>
                <w:bCs/>
                <w:color w:val="FFFFFF"/>
                <w:sz w:val="17"/>
                <w:szCs w:val="17"/>
              </w:rPr>
              <w:t xml:space="preserve">ID</w:t>
            </w:r>
          </w:p>
        </w:tc>
        <w:tc>
          <w:tcPr>
            <w:tcW w:type="dxa" w:w="4900"/>
            <w:shd w:fill="1F4E5F" w:val="clear"/>
            <w:tcMar>
              <w:top w:type="dxa" w:w="55"/>
              <w:left w:type="dxa" w:w="90"/>
              <w:bottom w:type="dxa" w:w="55"/>
              <w:right w:type="dxa" w:w="90"/>
            </w:tcMar>
          </w:tcPr>
          <w:p>
            <w:r>
              <w:rPr>
                <w:b/>
                <w:bCs/>
                <w:color w:val="FFFFFF"/>
                <w:sz w:val="17"/>
                <w:szCs w:val="17"/>
              </w:rPr>
              <w:t xml:space="preserve">Ticket (acceptance gist)</w:t>
            </w:r>
          </w:p>
        </w:tc>
        <w:tc>
          <w:tcPr>
            <w:tcW w:type="dxa" w:w="1300"/>
            <w:shd w:fill="1F4E5F" w:val="clear"/>
            <w:tcMar>
              <w:top w:type="dxa" w:w="55"/>
              <w:left w:type="dxa" w:w="90"/>
              <w:bottom w:type="dxa" w:w="55"/>
              <w:right w:type="dxa" w:w="90"/>
            </w:tcMar>
          </w:tcPr>
          <w:p>
            <w:r>
              <w:rPr>
                <w:b/>
                <w:bCs/>
                <w:color w:val="FFFFFF"/>
                <w:sz w:val="17"/>
                <w:szCs w:val="17"/>
              </w:rPr>
              <w:t xml:space="preserve">Owner</w:t>
            </w:r>
          </w:p>
        </w:tc>
        <w:tc>
          <w:tcPr>
            <w:tcW w:type="dxa" w:w="2310"/>
            <w:shd w:fill="1F4E5F" w:val="clear"/>
            <w:tcMar>
              <w:top w:type="dxa" w:w="55"/>
              <w:left w:type="dxa" w:w="90"/>
              <w:bottom w:type="dxa" w:w="55"/>
              <w:right w:type="dxa" w:w="90"/>
            </w:tcMar>
          </w:tcPr>
          <w:p>
            <w:r>
              <w:rPr>
                <w:b/>
                <w:bCs/>
                <w:color w:val="FFFFFF"/>
                <w:sz w:val="17"/>
                <w:szCs w:val="17"/>
              </w:rPr>
              <w:t xml:space="preserve">Traces / dep</w:t>
            </w:r>
          </w:p>
        </w:tc>
      </w:tr>
      <w:tr>
        <w:tc>
          <w:tcPr>
            <w:tcW w:type="dxa" w:w="850"/>
            <w:tcMar>
              <w:top w:type="dxa" w:w="55"/>
              <w:left w:type="dxa" w:w="90"/>
              <w:bottom w:type="dxa" w:w="55"/>
              <w:right w:type="dxa" w:w="90"/>
            </w:tcMar>
          </w:tcPr>
          <w:p>
            <w:r>
              <w:rPr>
                <w:b w:val="false"/>
                <w:bCs w:val="false"/>
                <w:sz w:val="17"/>
                <w:szCs w:val="17"/>
              </w:rPr>
              <w:t xml:space="preserve">T3-01</w:t>
            </w:r>
          </w:p>
        </w:tc>
        <w:tc>
          <w:tcPr>
            <w:tcW w:type="dxa" w:w="4900"/>
            <w:tcMar>
              <w:top w:type="dxa" w:w="55"/>
              <w:left w:type="dxa" w:w="90"/>
              <w:bottom w:type="dxa" w:w="55"/>
              <w:right w:type="dxa" w:w="90"/>
            </w:tcMar>
          </w:tcPr>
          <w:p>
            <w:r>
              <w:rPr>
                <w:b w:val="false"/>
                <w:bCs w:val="false"/>
                <w:sz w:val="17"/>
                <w:szCs w:val="17"/>
              </w:rPr>
              <w:t xml:space="preserve">Tenant offboarding/cascade-delete: replace the ad hoc manual DELETE chase with a real script or ON DELETE CASCADE on tenant-scoped FKs — one safe operation to remove a tenant.</w:t>
            </w:r>
          </w:p>
        </w:tc>
        <w:tc>
          <w:tcPr>
            <w:tcW w:type="dxa" w:w="1300"/>
            <w:tcMar>
              <w:top w:type="dxa" w:w="55"/>
              <w:left w:type="dxa" w:w="90"/>
              <w:bottom w:type="dxa" w:w="55"/>
              <w:right w:type="dxa" w:w="90"/>
            </w:tcMar>
          </w:tcPr>
          <w:p>
            <w:r>
              <w:rPr>
                <w:b w:val="false"/>
                <w:bCs w:val="false"/>
                <w:sz w:val="17"/>
                <w:szCs w:val="17"/>
              </w:rPr>
              <w:t xml:space="preserve">Backend</w:t>
            </w:r>
          </w:p>
        </w:tc>
        <w:tc>
          <w:tcPr>
            <w:tcW w:type="dxa" w:w="2310"/>
            <w:tcMar>
              <w:top w:type="dxa" w:w="55"/>
              <w:left w:type="dxa" w:w="90"/>
              <w:bottom w:type="dxa" w:w="55"/>
              <w:right w:type="dxa" w:w="90"/>
            </w:tcMar>
          </w:tcPr>
          <w:p>
            <w:r>
              <w:rPr>
                <w:b w:val="false"/>
                <w:bCs w:val="false"/>
                <w:sz w:val="17"/>
                <w:szCs w:val="17"/>
              </w:rPr>
              <w:t xml:space="preserve">found during demo prep</w:t>
            </w:r>
          </w:p>
        </w:tc>
      </w:tr>
      <w:tr>
        <w:tc>
          <w:tcPr>
            <w:tcW w:type="dxa" w:w="850"/>
            <w:shd w:fill="EAF2F6" w:val="clear"/>
            <w:tcMar>
              <w:top w:type="dxa" w:w="55"/>
              <w:left w:type="dxa" w:w="90"/>
              <w:bottom w:type="dxa" w:w="55"/>
              <w:right w:type="dxa" w:w="90"/>
            </w:tcMar>
          </w:tcPr>
          <w:p>
            <w:r>
              <w:rPr>
                <w:b w:val="false"/>
                <w:bCs w:val="false"/>
                <w:sz w:val="17"/>
                <w:szCs w:val="17"/>
              </w:rPr>
              <w:t xml:space="preserve">T3-02</w:t>
            </w:r>
          </w:p>
        </w:tc>
        <w:tc>
          <w:tcPr>
            <w:tcW w:type="dxa" w:w="4900"/>
            <w:shd w:fill="EAF2F6" w:val="clear"/>
            <w:tcMar>
              <w:top w:type="dxa" w:w="55"/>
              <w:left w:type="dxa" w:w="90"/>
              <w:bottom w:type="dxa" w:w="55"/>
              <w:right w:type="dxa" w:w="90"/>
            </w:tcMar>
          </w:tcPr>
          <w:p>
            <w:r>
              <w:rPr>
                <w:b w:val="false"/>
                <w:bCs w:val="false"/>
                <w:sz w:val="17"/>
                <w:szCs w:val="17"/>
              </w:rPr>
              <w:t xml:space="preserve">TEN-301–304 (subscription invoicing, Aarogyasri aggregates, suspend, override): produce real pytest + curl evidence for each. Reconfirm suspend/override still carry the cross-tenant isolation test.</w:t>
            </w:r>
          </w:p>
        </w:tc>
        <w:tc>
          <w:tcPr>
            <w:tcW w:type="dxa" w:w="1300"/>
            <w:shd w:fill="EAF2F6" w:val="clear"/>
            <w:tcMar>
              <w:top w:type="dxa" w:w="55"/>
              <w:left w:type="dxa" w:w="90"/>
              <w:bottom w:type="dxa" w:w="55"/>
              <w:right w:type="dxa" w:w="90"/>
            </w:tcMar>
          </w:tcPr>
          <w:p>
            <w:r>
              <w:rPr>
                <w:b w:val="false"/>
                <w:bCs w:val="false"/>
                <w:sz w:val="17"/>
                <w:szCs w:val="17"/>
              </w:rPr>
              <w:t xml:space="preserve">Backend</w:t>
            </w:r>
          </w:p>
        </w:tc>
        <w:tc>
          <w:tcPr>
            <w:tcW w:type="dxa" w:w="2310"/>
            <w:shd w:fill="EAF2F6" w:val="clear"/>
            <w:tcMar>
              <w:top w:type="dxa" w:w="55"/>
              <w:left w:type="dxa" w:w="90"/>
              <w:bottom w:type="dxa" w:w="55"/>
              <w:right w:type="dxa" w:w="90"/>
            </w:tcMar>
          </w:tcPr>
          <w:p>
            <w:r>
              <w:rPr>
                <w:b w:val="false"/>
                <w:bCs w:val="false"/>
                <w:sz w:val="17"/>
                <w:szCs w:val="17"/>
              </w:rPr>
              <w:t xml:space="preserve">standing gap</w:t>
            </w:r>
          </w:p>
        </w:tc>
      </w:tr>
      <w:tr>
        <w:tc>
          <w:tcPr>
            <w:tcW w:type="dxa" w:w="850"/>
            <w:tcMar>
              <w:top w:type="dxa" w:w="55"/>
              <w:left w:type="dxa" w:w="90"/>
              <w:bottom w:type="dxa" w:w="55"/>
              <w:right w:type="dxa" w:w="90"/>
            </w:tcMar>
          </w:tcPr>
          <w:p>
            <w:r>
              <w:rPr>
                <w:b w:val="false"/>
                <w:bCs w:val="false"/>
                <w:sz w:val="17"/>
                <w:szCs w:val="17"/>
              </w:rPr>
              <w:t xml:space="preserve">T3-03</w:t>
            </w:r>
          </w:p>
        </w:tc>
        <w:tc>
          <w:tcPr>
            <w:tcW w:type="dxa" w:w="4900"/>
            <w:tcMar>
              <w:top w:type="dxa" w:w="55"/>
              <w:left w:type="dxa" w:w="90"/>
              <w:bottom w:type="dxa" w:w="55"/>
              <w:right w:type="dxa" w:w="90"/>
            </w:tcMar>
          </w:tcPr>
          <w:p>
            <w:r>
              <w:rPr>
                <w:b w:val="false"/>
                <w:bCs w:val="false"/>
                <w:sz w:val="17"/>
                <w:szCs w:val="17"/>
              </w:rPr>
              <w:t xml:space="preserve">Re-confirm CI required-checks (gh api ... --jq '.required_status_checks.contexts') on both repos after this sprint's merges.</w:t>
            </w:r>
          </w:p>
        </w:tc>
        <w:tc>
          <w:tcPr>
            <w:tcW w:type="dxa" w:w="1300"/>
            <w:tcMar>
              <w:top w:type="dxa" w:w="55"/>
              <w:left w:type="dxa" w:w="90"/>
              <w:bottom w:type="dxa" w:w="55"/>
              <w:right w:type="dxa" w:w="90"/>
            </w:tcMar>
          </w:tcPr>
          <w:p>
            <w:r>
              <w:rPr>
                <w:b w:val="false"/>
                <w:bCs w:val="false"/>
                <w:sz w:val="17"/>
                <w:szCs w:val="17"/>
              </w:rPr>
              <w:t xml:space="preserve">Both</w:t>
            </w:r>
          </w:p>
        </w:tc>
        <w:tc>
          <w:tcPr>
            <w:tcW w:type="dxa" w:w="2310"/>
            <w:tcMar>
              <w:top w:type="dxa" w:w="55"/>
              <w:left w:type="dxa" w:w="90"/>
              <w:bottom w:type="dxa" w:w="55"/>
              <w:right w:type="dxa" w:w="90"/>
            </w:tcMar>
          </w:tcPr>
          <w:p>
            <w:r>
              <w:rPr>
                <w:b w:val="false"/>
                <w:bCs w:val="false"/>
                <w:sz w:val="17"/>
                <w:szCs w:val="17"/>
              </w:rPr>
              <w:t xml:space="preserve">N1 criterion 5 re-check</w:t>
            </w:r>
          </w:p>
        </w:tc>
      </w:tr>
    </w:tbl>
    <w:p>
      <w:pPr>
        <w:spacing w:after="150"/>
      </w:pPr>
    </w:p>
    <w:p>
      <w:pPr>
        <w:pStyle w:val="Heading1"/>
        <w:spacing w:after="120" w:before="280"/>
      </w:pPr>
      <w:r>
        <w:rPr>
          <w:color w:val="1F4E5F"/>
        </w:rPr>
        <w:t xml:space="preserve">Parallel, Non-Engineering: Schedule the Client Meeting</w:t>
      </w:r>
    </w:p>
    <w:p>
      <w:pPr>
        <w:spacing w:after="120" w:line="284"/>
        <w:jc w:val="both"/>
      </w:pPr>
      <w:r>
        <w:rPr>
          <w:sz w:val="22"/>
          <w:szCs w:val="22"/>
        </w:rPr>
        <w:t xml:space="preserve">Send the decision list and proposed agenda (already prepared) to the client this week, independent of sprint progress — minus the theme item, which is on hold. The remaining decisions (flag F1, migration ownership, go-live approval, plan naming, staging/ABDM timelines) don't need theme work finished to discuss.</w:t>
      </w:r>
    </w:p>
    <w:p>
      <w:pPr>
        <w:spacing w:after="150"/>
      </w:pPr>
    </w:p>
    <w:p>
      <w:pPr>
        <w:pStyle w:val="Heading1"/>
        <w:spacing w:after="120" w:before="280"/>
      </w:pPr>
      <w:r>
        <w:rPr>
          <w:color w:val="1F4E5F"/>
        </w:rPr>
        <w:t xml:space="preserve">Sequencing</w:t>
      </w:r>
    </w:p>
    <w:p>
      <w:pPr>
        <w:spacing w:after="120" w:line="284"/>
        <w:jc w:val="both"/>
      </w:pPr>
      <w:r>
        <w:rPr>
          <w:sz w:val="22"/>
          <w:szCs w:val="22"/>
        </w:rPr>
        <w:t xml:space="preserve">All three tracks run in parallel with no cross-dependencies. Track 2 (staging) is the largest and should not slip — if VPS/DNS access sits outside this sprint's active contributors, loop them in today. Track 1 and Track 3 can proceed on the existing dev stack without waiting on Track 2.</w:t>
      </w:r>
    </w:p>
    <w:p>
      <w:pPr>
        <w:spacing w:after="150"/>
      </w:pPr>
    </w:p>
    <w:p>
      <w:pPr>
        <w:pStyle w:val="Heading1"/>
        <w:spacing w:after="120" w:before="280"/>
      </w:pPr>
      <w:r>
        <w:rPr>
          <w:color w:val="1F4E5F"/>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5F" w:val="clear"/>
            <w:tcMar>
              <w:top w:type="dxa" w:w="55"/>
              <w:left w:type="dxa" w:w="90"/>
              <w:bottom w:type="dxa" w:w="55"/>
              <w:right w:type="dxa" w:w="90"/>
            </w:tcMar>
          </w:tcPr>
          <w:p>
            <w:r>
              <w:rPr>
                <w:b/>
                <w:bCs/>
                <w:color w:val="FFFFFF"/>
                <w:sz w:val="17"/>
                <w:szCs w:val="17"/>
              </w:rPr>
              <w:t xml:space="preserve">Track</w:t>
            </w:r>
          </w:p>
        </w:tc>
        <w:tc>
          <w:tcPr>
            <w:tcW w:type="dxa" w:w="8160"/>
            <w:shd w:fill="1F4E5F" w:val="clear"/>
            <w:tcMar>
              <w:top w:type="dxa" w:w="55"/>
              <w:left w:type="dxa" w:w="90"/>
              <w:bottom w:type="dxa" w:w="55"/>
              <w:right w:type="dxa" w:w="90"/>
            </w:tcMar>
          </w:tcPr>
          <w:p>
            <w:r>
              <w:rPr>
                <w:b/>
                <w:bCs/>
                <w:color w:val="FFFFFF"/>
                <w:sz w:val="17"/>
                <w:szCs w:val="17"/>
              </w:rPr>
              <w:t xml:space="preserve">Done means</w:t>
            </w:r>
          </w:p>
        </w:tc>
      </w:tr>
      <w:tr>
        <w:tc>
          <w:tcPr>
            <w:tcW w:type="dxa" w:w="1200"/>
            <w:tcMar>
              <w:top w:type="dxa" w:w="55"/>
              <w:left w:type="dxa" w:w="90"/>
              <w:bottom w:type="dxa" w:w="55"/>
              <w:right w:type="dxa" w:w="90"/>
            </w:tcMar>
          </w:tcPr>
          <w:p>
            <w:r>
              <w:rPr>
                <w:b w:val="false"/>
                <w:bCs w:val="false"/>
                <w:sz w:val="17"/>
                <w:szCs w:val="17"/>
              </w:rPr>
              <w:t xml:space="preserve">1</w:t>
            </w:r>
          </w:p>
        </w:tc>
        <w:tc>
          <w:tcPr>
            <w:tcW w:type="dxa" w:w="8160"/>
            <w:tcMar>
              <w:top w:type="dxa" w:w="55"/>
              <w:left w:type="dxa" w:w="90"/>
              <w:bottom w:type="dxa" w:w="55"/>
              <w:right w:type="dxa" w:w="90"/>
            </w:tcMar>
          </w:tcPr>
          <w:p>
            <w:r>
              <w:rPr>
                <w:b w:val="false"/>
                <w:bCs w:val="false"/>
                <w:sz w:val="17"/>
                <w:szCs w:val="17"/>
              </w:rPr>
              <w:t xml:space="preserve">Wizard and tenant screens are component-consistent (Card/FieldCell/StatusPill throughout); all 4 states (loading/empty/error/success) present; STAFF_ENROLLED accurate; full lifecycle dry-run complete under the current theme.</w:t>
            </w:r>
          </w:p>
        </w:tc>
      </w:tr>
      <w:tr>
        <w:tc>
          <w:tcPr>
            <w:tcW w:type="dxa" w:w="1200"/>
            <w:shd w:fill="EAF2F6" w:val="clear"/>
            <w:tcMar>
              <w:top w:type="dxa" w:w="55"/>
              <w:left w:type="dxa" w:w="90"/>
              <w:bottom w:type="dxa" w:w="55"/>
              <w:right w:type="dxa" w:w="90"/>
            </w:tcMar>
          </w:tcPr>
          <w:p>
            <w:r>
              <w:rPr>
                <w:b w:val="false"/>
                <w:bCs w:val="false"/>
                <w:sz w:val="17"/>
                <w:szCs w:val="17"/>
              </w:rPr>
              <w:t xml:space="preserve">2</w:t>
            </w:r>
          </w:p>
        </w:tc>
        <w:tc>
          <w:tcPr>
            <w:tcW w:type="dxa" w:w="8160"/>
            <w:shd w:fill="EAF2F6" w:val="clear"/>
            <w:tcMar>
              <w:top w:type="dxa" w:w="55"/>
              <w:left w:type="dxa" w:w="90"/>
              <w:bottom w:type="dxa" w:w="55"/>
              <w:right w:type="dxa" w:w="90"/>
            </w:tcMar>
          </w:tcPr>
          <w:p>
            <w:r>
              <w:rPr>
                <w:b w:val="false"/>
                <w:bCs w:val="false"/>
                <w:sz w:val="17"/>
                <w:szCs w:val="17"/>
              </w:rPr>
              <w:t xml:space="preserve">staging.hms.zensynq.com reachable via curl -I from outside the VPS with valid TLS; dev tokens rejected; both flagship specs green against staging twice; one tested backup restore on staging.</w:t>
            </w:r>
          </w:p>
        </w:tc>
      </w:tr>
      <w:tr>
        <w:tc>
          <w:tcPr>
            <w:tcW w:type="dxa" w:w="1200"/>
            <w:tcMar>
              <w:top w:type="dxa" w:w="55"/>
              <w:left w:type="dxa" w:w="90"/>
              <w:bottom w:type="dxa" w:w="55"/>
              <w:right w:type="dxa" w:w="90"/>
            </w:tcMar>
          </w:tcPr>
          <w:p>
            <w:r>
              <w:rPr>
                <w:b w:val="false"/>
                <w:bCs w:val="false"/>
                <w:sz w:val="17"/>
                <w:szCs w:val="17"/>
              </w:rPr>
              <w:t xml:space="preserve">3</w:t>
            </w:r>
          </w:p>
        </w:tc>
        <w:tc>
          <w:tcPr>
            <w:tcW w:type="dxa" w:w="8160"/>
            <w:tcMar>
              <w:top w:type="dxa" w:w="55"/>
              <w:left w:type="dxa" w:w="90"/>
              <w:bottom w:type="dxa" w:w="55"/>
              <w:right w:type="dxa" w:w="90"/>
            </w:tcMar>
          </w:tcPr>
          <w:p>
            <w:r>
              <w:rPr>
                <w:b w:val="false"/>
                <w:bCs w:val="false"/>
                <w:sz w:val="17"/>
                <w:szCs w:val="17"/>
              </w:rPr>
              <w:t xml:space="preserve">Tenant deletion is a single safe operation; TEN-301–304 each have real pasted evidence; CI required checks reconfirmed.</w:t>
            </w:r>
          </w:p>
        </w:tc>
      </w:tr>
    </w:tbl>
    <w:p>
      <w:pPr>
        <w:spacing w:after="150"/>
      </w:pPr>
    </w:p>
    <w:p>
      <w:pPr>
        <w:spacing w:after="120" w:line="284"/>
        <w:jc w:val="both"/>
      </w:pPr>
      <w:r>
        <w:rPr>
          <w:sz w:val="22"/>
          <w:szCs w:val="22"/>
        </w:rPr>
        <w:t xml:space="preserve">When the client meeting happens — this week or next — it walks a genuinely finished demo and a live staging environment, and works through the decision list minus the theme question. Visual direction stays available to revisit any time, with zero rework lost, since it was set aside rather than half-built.</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Sprint — Ready-to-Execute (No Client Blockers)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2026-07-27T17:56:44.757Z</dcterms:created>
  <dcterms:modified xsi:type="dcterms:W3CDTF">2026-07-27T17:56:44.758Z</dcterms:modified>
</cp:coreProperties>
</file>

<file path=docProps/custom.xml><?xml version="1.0" encoding="utf-8"?>
<Properties xmlns="http://schemas.openxmlformats.org/officeDocument/2006/custom-properties" xmlns:vt="http://schemas.openxmlformats.org/officeDocument/2006/docPropsVTypes"/>
</file>