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"/>
      </w:pPr>
      <w:r>
        <w:rPr>
          <w:b/>
          <w:bCs/>
          <w:color w:val="1F4E5F"/>
          <w:sz w:val="38"/>
          <w:szCs w:val="38"/>
        </w:rPr>
        <w:t xml:space="preserve">HMS — Execution Plan</w:t>
      </w:r>
    </w:p>
    <w:p>
      <w:pPr>
        <w:spacing w:after="180"/>
      </w:pPr>
      <w:r>
        <w:rPr>
          <w:i/>
          <w:iCs/>
          <w:color w:val="555555"/>
          <w:sz w:val="22"/>
          <w:szCs w:val="22"/>
        </w:rPr>
        <w:t xml:space="preserve">Close N1 → land N2 (auth+staging) → resume feature scope. Single source of truth for what to do, in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8A4B08"/>
                <w:sz w:val="20"/>
                <w:szCs w:val="20"/>
              </w:rPr>
              <w:t xml:space="preserve">Standing rule.  </w:t>
            </w:r>
          </w:p>
          <w:p>
            <w:pPr>
              <w:spacing w:before="40"/>
            </w:pPr>
            <w:r>
              <w:rPr>
                <w:color w:val="5A4326"/>
                <w:sz w:val="20"/>
                <w:szCs w:val="20"/>
              </w:rPr>
              <w:t xml:space="preserve">Nothing from the tenant-onboarding plan, Control Center, or any new feature starts until N1's 5 exit criteria are all green with evidence. This document supersedes prior status-report language — track progress against the checkboxes below, not against summaries.</w:t>
            </w:r>
          </w:p>
        </w:tc>
      </w:tr>
    </w:tbl>
    <w:p>
      <w:pPr>
        <w:spacing w:after="150"/>
      </w:pPr>
    </w:p>
    <w:p>
      <w:pPr>
        <w:pStyle w:val="Heading1"/>
        <w:spacing w:after="120" w:before="300"/>
      </w:pPr>
      <w:r>
        <w:rPr>
          <w:color w:val="1F4E5F"/>
        </w:rPr>
        <w:t xml:space="preserve">PHASE A — Today: diagnose and fix the one failing test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Referral flow fails at 'book CT with prerequisite checklist attached' (REF-060). Open the trace, find the exact error, apply the matching fix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If the trace shows…</w:t>
            </w:r>
          </w:p>
        </w:tc>
        <w:tc>
          <w:tcPr>
            <w:tcW w:type="dxa" w:w="28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 means…</w:t>
            </w:r>
          </w:p>
        </w:tc>
        <w:tc>
          <w:tcPr>
            <w:tcW w:type="dxa" w:w="336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Timeout waiting for getByTestId('book-service') or similar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Booking screen missing data-testid attributes</w:t>
            </w:r>
          </w:p>
        </w:tc>
        <w:tc>
          <w:tcPr>
            <w:tcW w:type="dxa" w:w="3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the testids to the booking/prereq components (search, service select, slot, prereq item) — no assertion changes</w:t>
            </w:r>
          </w:p>
        </w:tc>
      </w:tr>
      <w:tr>
        <w:tc>
          <w:tcPr>
            <w:tcW w:type="dxa" w:w="32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selectOption: no &lt;option&gt; matching label CT</w:t>
            </w:r>
          </w:p>
        </w:tc>
        <w:tc>
          <w:tcPr>
            <w:tcW w:type="dxa" w:w="28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CT service in the tenant's seeded service catalog</w:t>
            </w:r>
          </w:p>
        </w:tc>
        <w:tc>
          <w:tcPr>
            <w:tcW w:type="dxa" w:w="33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a CT scan entry to the seed script's service/charge-master data for the demo tenant</w:t>
            </w:r>
          </w:p>
        </w:tc>
      </w:tr>
      <w:tr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prereq-item-hardstop not visible / times out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CT service has no hard-stop prerequisite in the seeded prereq library</w:t>
            </w:r>
          </w:p>
        </w:tc>
        <w:tc>
          <w:tcPr>
            <w:tcW w:type="dxa" w:w="3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Seed a hard-stop prerequisite (e.g. contrast-allergy check) linked to the CT service</w:t>
            </w:r>
          </w:p>
        </w:tc>
      </w:tr>
      <w:tr>
        <w:tc>
          <w:tcPr>
            <w:tcW w:type="dxa" w:w="32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4xx/5xx network error in the trace's Network tab</w:t>
            </w:r>
          </w:p>
        </w:tc>
        <w:tc>
          <w:tcPr>
            <w:tcW w:type="dxa" w:w="28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Backend booking/prereq endpoint bug, not a frontend/data issue</w:t>
            </w:r>
          </w:p>
        </w:tc>
        <w:tc>
          <w:tcPr>
            <w:tcW w:type="dxa" w:w="33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Reproduce with curl against the same payload; fix the endpoint; add a regression test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116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CDE0FF"/>
                <w:sz w:val="16"/>
                <w:szCs w:val="16"/>
              </w:rPr>
              <w:t xml:space="preserve"># after the fix, re-run just this spec first (fast feedback):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CDE0FF"/>
                <w:sz w:val="16"/>
                <w:szCs w:val="16"/>
              </w:rPr>
              <w:t xml:space="preserve">npx playwright test e2e/referral-flow.spec.ts --headed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CDE0FF"/>
                <w:sz w:val="16"/>
                <w:szCs w:val="16"/>
              </w:rPr>
              <w:t xml:space="preserve"> 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CDE0FF"/>
                <w:sz w:val="16"/>
                <w:szCs w:val="16"/>
              </w:rPr>
              <w:t xml:space="preserve"># once it's green, run the full suite twice to catch flakiness: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CDE0FF"/>
                <w:sz w:val="16"/>
                <w:szCs w:val="16"/>
              </w:rPr>
              <w:t xml:space="preserve">npx playwright test &amp;&amp; npx playwright test</w:t>
            </w:r>
          </w:p>
        </w:tc>
      </w:tr>
    </w:tbl>
    <w:p>
      <w:pPr>
        <w:spacing w:after="120" w:line="284"/>
        <w:jc w:val="both"/>
      </w:pPr>
      <w:r>
        <w:rPr>
          <w:sz w:val="22"/>
          <w:szCs w:val="22"/>
        </w:rPr>
        <w:t xml:space="preserve">Checkbox A1: [ ] referral-flow.spec.ts — all 6 steps pass, two consecutive clean runs.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Checkbox A2: [ ] rx-followup.spec.ts — reconfirm still green (already achieved) after any shared-code changes.</w:t>
      </w:r>
    </w:p>
    <w:p>
      <w:pPr>
        <w:spacing w:after="150"/>
      </w:pPr>
    </w:p>
    <w:p>
      <w:pPr>
        <w:pStyle w:val="Heading1"/>
        <w:spacing w:after="120" w:before="300"/>
      </w:pPr>
      <w:r>
        <w:rPr>
          <w:color w:val="1F4E5F"/>
        </w:rPr>
        <w:t xml:space="preserve">PHASE B — This week: close the operator-context bug properly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The RLS violation found during Step 2 (operator writing into a target tenant while authenticated in their own tenant context) is a real bug class, not a one-off. Close it completely, not just at the spot that happened to fail.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B1. Grep every operator-initiated write path: provision, tenant config update, sites/services/charge-master setup, go-live flip, suspend/resume, any endpoint under the operator router that writes a row carrying tenant_id.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B2. For each one, confirm the DB session is opened bound to the TARGET tenant's RequestContext (via tenant_session), never the calling operator's own tenant. Fix any that aren't.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B3. Add one permanent isolation-test case: operator/admin authenticated as tenant A performs a provisioning/config write for tenant B → assert it lands correctly scoped to B and A can never read or affect it.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B4. Re-run the full backend suite (this touched shared session code, db.py) plus the isolation test.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Checkbox B: [ ] every operator write path audited and fixed · [ ] regression test added · [ ] full suite green.</w:t>
      </w:r>
    </w:p>
    <w:p>
      <w:pPr>
        <w:spacing w:after="150"/>
      </w:pPr>
    </w:p>
    <w:p>
      <w:pPr>
        <w:pStyle w:val="Heading1"/>
        <w:spacing w:after="120" w:before="300"/>
      </w:pPr>
      <w:r>
        <w:rPr>
          <w:color w:val="1F4E5F"/>
        </w:rPr>
        <w:t xml:space="preserve">PHASE C — This week: wire the 4 permanent CI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3600"/>
        <w:gridCol w:w="1260"/>
      </w:tblGrid>
      <w:tr>
        <w:trPr>
          <w:tblHeader/>
        </w:trPr>
        <w:tc>
          <w:tcPr>
            <w:tcW w:type="dxa" w:w="27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Job</w:t>
            </w:r>
          </w:p>
        </w:tc>
        <w:tc>
          <w:tcPr>
            <w:tcW w:type="dxa" w:w="18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Repo</w:t>
            </w:r>
          </w:p>
        </w:tc>
        <w:tc>
          <w:tcPr>
            <w:tcW w:type="dxa" w:w="36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it proves</w:t>
            </w:r>
          </w:p>
        </w:tc>
        <w:tc>
          <w:tcPr>
            <w:tcW w:type="dxa" w:w="126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Required check?</w:t>
            </w:r>
          </w:p>
        </w:tc>
      </w:tr>
      <w:tr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No-DB refusal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hms-platform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 refuses to start without a real, RLS-verified database</w:t>
            </w:r>
          </w:p>
        </w:tc>
        <w:tc>
          <w:tcPr>
            <w:tcW w:type="dxa" w:w="12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7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 suite vs real Postgres</w:t>
            </w:r>
          </w:p>
        </w:tc>
        <w:tc>
          <w:tcPr>
            <w:tcW w:type="dxa" w:w="18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hms-platform</w:t>
            </w:r>
          </w:p>
        </w:tc>
        <w:tc>
          <w:tcPr>
            <w:tcW w:type="dxa" w:w="36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backend tests pass against actual RLS, not mock_db.py</w:t>
            </w:r>
          </w:p>
        </w:tc>
        <w:tc>
          <w:tcPr>
            <w:tcW w:type="dxa" w:w="12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MockAsyncSession grep gate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hms-platform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Lint step fails build if the mock is importable from app/</w:t>
            </w:r>
          </w:p>
        </w:tc>
        <w:tc>
          <w:tcPr>
            <w:tcW w:type="dxa" w:w="12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7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E2E vs live stack</w:t>
            </w:r>
          </w:p>
        </w:tc>
        <w:tc>
          <w:tcPr>
            <w:tcW w:type="dxa" w:w="18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hms-web</w:t>
            </w:r>
          </w:p>
        </w:tc>
        <w:tc>
          <w:tcPr>
            <w:tcW w:type="dxa" w:w="36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Both flagship flows pass headless against docker compose</w:t>
            </w:r>
          </w:p>
        </w:tc>
        <w:tc>
          <w:tcPr>
            <w:tcW w:type="dxa" w:w="12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150"/>
      </w:pPr>
    </w:p>
    <w:p>
      <w:pPr>
        <w:spacing w:after="120" w:line="284"/>
        <w:jc w:val="both"/>
      </w:pPr>
      <w:r>
        <w:rPr>
          <w:sz w:val="22"/>
          <w:szCs w:val="22"/>
        </w:rPr>
        <w:t xml:space="preserve">C1. Add the two backend CI jobs (isolated no-DB job; full-suite job with a real Postgres service container) plus the grep step.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C2. Add the web CI job: bring up compose (or CI-equivalent Postgres+API), start the app, run npx playwright test headless with VITE_USE_MOCKS=false.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C3. In each repo's branch settings, mark all new jobs as required status checks on main.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C4. Prove it for real: open one trivial PR per repo (e.g. a comment or README tweak) and watch the required checks actually run and pass/block on the PR — not just locally.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Checkbox C: [ ] 4 jobs wired · [ ] required on both mains · [ ] proven on a real PR in each repo.</w:t>
      </w:r>
    </w:p>
    <w:p>
      <w:pPr>
        <w:spacing w:after="150"/>
      </w:pPr>
    </w:p>
    <w:p>
      <w:pPr>
        <w:pStyle w:val="Heading1"/>
        <w:spacing w:after="120" w:before="300"/>
      </w:pPr>
      <w:r>
        <w:rPr>
          <w:color w:val="1F4E5F"/>
        </w:rPr>
        <w:t xml:space="preserve">N1 EXIT CRITERIA — the only definition of 'done' that counts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260"/>
      </w:tblGrid>
      <w:tr>
        <w:trPr>
          <w:tblHeader/>
        </w:trPr>
        <w:tc>
          <w:tcPr>
            <w:tcW w:type="dxa" w:w="5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5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326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 required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Startup guard passes clean against real Postgres, all tenant tables</w:t>
            </w:r>
          </w:p>
        </w:tc>
        <w:tc>
          <w:tcPr>
            <w:tcW w:type="dxa" w:w="32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committed log output</w:t>
            </w:r>
          </w:p>
        </w:tc>
      </w:tr>
      <w:tr>
        <w:tc>
          <w:tcPr>
            <w:tcW w:type="dxa" w:w="5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5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Isolation test covers every tenant-scoped table incl. the operator-context case</w:t>
            </w:r>
          </w:p>
        </w:tc>
        <w:tc>
          <w:tcPr>
            <w:tcW w:type="dxa" w:w="32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 run link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 backend suite green against real Postgres (not mock_db.py)</w:t>
            </w:r>
          </w:p>
        </w:tc>
        <w:tc>
          <w:tcPr>
            <w:tcW w:type="dxa" w:w="32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 run link</w:t>
            </w:r>
          </w:p>
        </w:tc>
      </w:tr>
      <w:tr>
        <w:tc>
          <w:tcPr>
            <w:tcW w:type="dxa" w:w="5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5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Both Playwright specs green, 2 consecutive runs, live compose stack</w:t>
            </w:r>
          </w:p>
        </w:tc>
        <w:tc>
          <w:tcPr>
            <w:tcW w:type="dxa" w:w="32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recording + CI run link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4 CI jobs required-and-passing on protected main, both repos, proven on a real PR</w:t>
            </w:r>
          </w:p>
        </w:tc>
        <w:tc>
          <w:tcPr>
            <w:tcW w:type="dxa" w:w="32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 links showing checks</w:t>
            </w:r>
          </w:p>
        </w:tc>
      </w:tr>
    </w:tbl>
    <w:p>
      <w:pPr>
        <w:spacing w:after="150"/>
      </w:pPr>
    </w:p>
    <w:p>
      <w:pPr>
        <w:pStyle w:val="Heading1"/>
        <w:spacing w:after="120" w:before="300"/>
      </w:pPr>
      <w:r>
        <w:rPr>
          <w:color w:val="1F4E5F"/>
        </w:rPr>
        <w:t xml:space="preserve">PHASE D — Next: N2 (only after N1 exit criteria are all checked)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D1. Deploy Keycloak as a compose service; configure realm, clients, tenant+role token claims, TOTP MFA policy.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D2. Backend: replace hms_auth stub internals with real OIDC JWT validation producing the same RequestContext shape; dev tokens rejected outside a dev flag; auth failures audited.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D3. Frontend: swap AuthProvider internals to OIDC code+PKCE flow with silent refresh; verify zero diffs outside src/auth/ — screens must not change.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D4. Deploy to staging.hms.zensynq.com on the India VPS: harden (firewall, SSH keys, fail2ban, unattended-upgrades), TLS+HSTS, nginx same-origin for web+api, unpublish port 8000.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D5. Turn on hourly encrypted off-box backups and RUN ONE TEST RESTORE before calling this done.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D6. Run both Playwright specs against staging; wire a staging smoke check.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D7. Deliver the client demo from staging; get flag F1 (DRAFT follow-up) formally signed off in that meeting.</w:t>
      </w:r>
    </w:p>
    <w:p>
      <w:pPr>
        <w:spacing w:after="150"/>
      </w:pPr>
    </w:p>
    <w:p>
      <w:pPr>
        <w:pStyle w:val="Heading1"/>
        <w:spacing w:after="120" w:before="300"/>
      </w:pPr>
      <w:r>
        <w:rPr>
          <w:color w:val="1F4E5F"/>
        </w:rPr>
        <w:t xml:space="preserve">PHASE E — After N2: resume feature scope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Only once D1–D7 are done: resume the Tenant Management &amp; Onboarding plan (TEN-101...208, sprints N3–N4), then the Platform Control Center (N5 / TEN-301...308), with ABDM as a continuous parallel workstream starting alongside N2 given its 3–6 month external certification timeline.</w:t>
      </w:r>
    </w:p>
    <w:p>
      <w:pPr>
        <w:spacing w:after="150"/>
      </w:pPr>
    </w:p>
    <w:p>
      <w:pPr>
        <w:pStyle w:val="Heading1"/>
        <w:spacing w:after="120" w:before="300"/>
      </w:pPr>
      <w:r>
        <w:rPr>
          <w:color w:val="1F4E5F"/>
        </w:rPr>
        <w:t xml:space="preserve">Reporting format going forward</w:t>
      </w:r>
    </w:p>
    <w:p>
      <w:pPr>
        <w:spacing w:after="120" w:line="284"/>
        <w:jc w:val="both"/>
      </w:pPr>
      <w:r>
        <w:rPr>
          <w:sz w:val="22"/>
          <w:szCs w:val="22"/>
        </w:rPr>
        <w:t xml:space="preserve">Status updates should reference the checkbox IDs above (A1, B, C, D1...) as done/not-done with a link to evidence (CI run, PR, recording, log file) — not narrative summaries. This document is the single checklist; update it in place as items close rather than issuing new status reports.</w:t>
      </w:r>
    </w:p>
    <w:sectPr>
      <w:footerReference w:type="default" r:id="rId7"/>
      <w:pgSz w:w="12240" w:h="15840" w:orient="portrait"/>
      <w:pgMar w:top="1150" w:right="940" w:bottom="115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HMS Execution Plan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29"/>
      <w:szCs w:val="2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2026-07-25T14:44:53.595Z</dcterms:created>
  <dcterms:modified xsi:type="dcterms:W3CDTF">2026-07-25T14:44:53.630Z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