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"/>
      </w:pPr>
      <w:r>
        <w:rPr>
          <w:b/>
          <w:bCs/>
          <w:color w:val="1F4E5F"/>
          <w:sz w:val="38"/>
          <w:szCs w:val="38"/>
        </w:rPr>
        <w:t xml:space="preserve">HMS — Next Sprints Plan (N1–N5)</w:t>
      </w:r>
    </w:p>
    <w:p>
      <w:r>
        <w:rPr>
          <w:i/>
          <w:iCs/>
          <w:color w:val="555555"/>
          <w:sz w:val="22"/>
          <w:szCs w:val="22"/>
        </w:rPr>
        <w:t xml:space="preserve">Combined backend (hms-platform) + frontend (hms-web) · from feature-complete-on-mocks to onboarded tenants on staging</w:t>
      </w:r>
    </w:p>
    <w:p>
      <w:pPr>
        <w:spacing w:after="160"/>
      </w:pPr>
      <w:r>
        <w:rPr>
          <w:color w:val="777777"/>
          <w:sz w:val="19"/>
          <w:szCs w:val="19"/>
        </w:rPr>
        <w:t xml:space="preserve">Supersedes sequencing in prior plans; ticket IDs from TEN plan carried over · July 2026</w:t>
      </w:r>
    </w:p>
    <w:p>
      <w:pPr>
        <w:pStyle w:val="Heading1"/>
        <w:spacing w:after="130" w:before="320"/>
      </w:pPr>
      <w:r>
        <w:rPr>
          <w:color w:val="1F4E5F"/>
        </w:rPr>
        <w:t xml:space="preserve">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320"/>
      </w:pPr>
      <w:r>
        <w:rPr>
          <w:color w:val="1F4E5F"/>
        </w:rPr>
        <w:t xml:space="preserve">0. Where We Are &amp; Plan Logic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Both repos are feature-complete but unproven: the UI has run only against MSW mocks, the backend's nine bulk-built modules have never served the real UI, auth is a dev stub on both sides, and neither repo is under version control. The client's next commercial ask is end-to-end tenant management/onboarding, with a governed Platform Control Center behind it. The plan therefore runs: protect &amp; integrate (N1) → real auth &amp; staging (N2) → tenant onboarding (N3–N4 = TEN T1/T2) → control center + hardening (N5), with ABDM as a parallel workstream from N2 because its 3–6 month clock must start now. Cadence stays 2-week sprints; both teams work the same sprint on coupled tickets.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8A4B08"/>
                <w:sz w:val="20"/>
                <w:szCs w:val="20"/>
              </w:rPr>
              <w:t xml:space="preserve">Sprint N1 cannot start on unversioned code.  </w:t>
            </w:r>
          </w:p>
          <w:p>
            <w:pPr>
              <w:spacing w:before="40"/>
            </w:pPr>
            <w:r>
              <w:rPr>
                <w:color w:val="5A4326"/>
                <w:sz w:val="20"/>
                <w:szCs w:val="20"/>
              </w:rPr>
              <w:t xml:space="preserve">Day 1, hour 1 of N1 is git init/commit/push + branch protection on BOTH repos (ticket N1-00). Integration means bisecting, reverting, and diffing — impossible without history. No other ticket may merge before N1-00 is done.</w:t>
            </w:r>
          </w:p>
        </w:tc>
      </w:tr>
    </w:tbl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N1 — Protect &amp; Integrate (the truth sprint)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Goal &amp; demo:  </w:t>
            </w:r>
            <w:r>
              <w:rPr>
                <w:color w:val="1F4E5F"/>
                <w:sz w:val="20"/>
                <w:szCs w:val="20"/>
              </w:rPr>
              <w:t xml:space="preserve">MSW off; the full UI runs against the real FastAPI stack; both flagship Playwright specs green against docker compose; backend test suite verified. Demo: live end-to-end walkthrough of both flagship flows on the compose stack, plus CI running on both repos.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50"/>
        <w:gridCol w:w="1300"/>
        <w:gridCol w:w="2360"/>
      </w:tblGrid>
      <w:tr>
        <w:trPr>
          <w:tblHeader/>
        </w:trPr>
        <w:tc>
          <w:tcPr>
            <w:tcW w:type="dxa" w:w="95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75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Ticket (acceptance gist)</w:t>
            </w:r>
          </w:p>
        </w:tc>
        <w:tc>
          <w:tcPr>
            <w:tcW w:type="dxa" w:w="13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Team</w:t>
            </w:r>
          </w:p>
        </w:tc>
        <w:tc>
          <w:tcPr>
            <w:tcW w:type="dxa" w:w="23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Traces / dep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N1-00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Version control both repos: init on main, baseline commit, push, branch protection (PR + CI required); .gitignore verified (env, egg-info, node_modules, dist).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BLOCKER · 0.5d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N1-01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Backend suite verification: run full pytest; fix reds; confirm the isolation test covers EVERY tenant-scoped table added by the nine modules (add missing cases); wire suite into CI on push.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PLT-002 gate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N1-02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Seed expansion: realistic synthetic dataset (2 tenants × ~50 patients, schedules, encounters, orders, invoices, referrers, prereq library) so real-data screens aren't empty-state-only.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supports N1-03+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N1-03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MSW-off integration, wave 1: patients + scheduling + check-in against live API; fix contract breaks on whichever side violates the FRD; regenerate + commit schema per backend fix.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FE+BE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REG/SCH/REF-061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N1-04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Integration wave 2: EMR + Rx + next-visit follow-up; verify 409-duplicate shape, alert/override payloads, DRAFT follow-up creation against real API.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FE+BE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EMR-013/RX-003 · dep N1-03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N1-05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Integration wave 3: orders/results + billing/till + referral timeline + portal reads; verify result flags, invoice splits, Aarogyasri indicator fixtures.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FE+BE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ORD/BIL/REF-064 · dep N1-04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N1-06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Playwright specs against live compose (not MSW): both flagship flows green headless in CI; MSW retained only as an explicit dev mode flag.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UI-605 truly passes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N1-07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Telemetry/PII scrub verification against REAL response shapes; audit-event spot check: every patient-data screen action lands an audit row.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FE+BE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PLT-005, UI-703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N1-08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Contract debt log: every mock-vs-real mismatch recorded with which side changed and why — feeds FRD errata and prevents silent spec drift.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process</w:t>
            </w:r>
          </w:p>
        </w:tc>
      </w:tr>
    </w:tbl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N2 — Real Auth &amp; Staging (client-visible milestone)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Goal &amp; demo:  </w:t>
            </w:r>
            <w:r>
              <w:rPr>
                <w:color w:val="1F4E5F"/>
                <w:sz w:val="20"/>
                <w:szCs w:val="20"/>
              </w:rPr>
              <w:t xml:space="preserve">Keycloak/OIDC live on both sides with MFA; full stack deployed to staging.hms.zensynq.com over HTTPS with backups; client demo delivered from staging. Demo: login via real OIDC with TOTP, run both flagship flows on staging from a phone and a laptop.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50"/>
        <w:gridCol w:w="1300"/>
        <w:gridCol w:w="2360"/>
      </w:tblGrid>
      <w:tr>
        <w:trPr>
          <w:tblHeader/>
        </w:trPr>
        <w:tc>
          <w:tcPr>
            <w:tcW w:type="dxa" w:w="95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75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Ticket (acceptance gist)</w:t>
            </w:r>
          </w:p>
        </w:tc>
        <w:tc>
          <w:tcPr>
            <w:tcW w:type="dxa" w:w="13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Team</w:t>
            </w:r>
          </w:p>
        </w:tc>
        <w:tc>
          <w:tcPr>
            <w:tcW w:type="dxa" w:w="23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Traces / dep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N2-01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Keycloak deployment (compose service): realm, clients, tenant+role claims, TOTP MFA policy; admin bootstrap documented.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TEN-106a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N2-02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Backend token validation: hms_auth internals replaced with OIDC JWT verification producing the same RequestContext; dev tokens rejected outside dev flag; auth failures audited.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IAM-001/006/007 · dep N2-01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N2-03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Frontend AuthProvider swap: OIDC code+PKCE flow, silent refresh, logout; screens untouched (verified by zero diffs outside auth/); session-expiry mid-form preserves input.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IAM-003 · dep N2-02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N2-04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Staging deploy: VPS hardened per checklist, DNS staging.hms.zensynq.com, TLS+HSTS, nginx serving web+api same-origin, 8000 unpublished, hourly encrypted off-box backups + one tested restore.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DEV_SETUP §B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N2-05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Staging smoke + E2E: Playwright specs against staging; uptime/health monitoring + alert to ops channel.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FE+BE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 N2-04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N2-06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Client demo pack: walkthrough script (both flows + portal), demo tenants reset script, recording; F1 (DRAFT follow-up) formally signed off in the demo meeting.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U7 script, flag F1</w:t>
            </w:r>
          </w:p>
        </w:tc>
      </w:tr>
    </w:tbl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N3 — Tenant Onboarding I (executes TEN T1)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Goal &amp; demo:  </w:t>
            </w:r>
            <w:r>
              <w:rPr>
                <w:color w:val="1F4E5F"/>
                <w:sz w:val="20"/>
                <w:szCs w:val="20"/>
              </w:rPr>
              <w:t xml:space="preserve">An operator provisions a new tenant; its admin logs in via OIDC invite, completes the Setup Wizard, invites MFA-enrolled staff — under 30 minutes, recorded. Tickets TEN-101…TEN-108 as specified in the Tenant Management &amp; Onboarding plan (provision API + lifecycle states, Operator Console shell with separate auth audience, editable config APIs + Admin Console v2, sites/services/charge-master setup, invite flow, Setup Wizard v1). TEN-106 shrinks to claim-mapping work since Keycloak landed in N2.</w:t>
            </w:r>
          </w:p>
        </w:tc>
      </w:tr>
    </w:tbl>
    <w:p>
      <w:pPr>
        <w:spacing w:after="120" w:line="284"/>
        <w:jc w:val="both"/>
      </w:pPr>
      <w:r>
        <w:rPr>
          <w:sz w:val="22"/>
          <w:szCs w:val="22"/>
        </w:rPr>
        <w:t xml:space="preserve">Ticket detail lives in HMS-Tenant-Onboarding-Plan §3; this sprint imports them unchanged. Add here: N3-X1 (Both) — operator-route boundary test joins CI (tenant token can never reach operator endpoints), per the two-console rule.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N4 — Tenant Onboarding II (executes TEN T2)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Goal &amp; demo:  </w:t>
            </w:r>
            <w:r>
              <w:rPr>
                <w:color w:val="1F4E5F"/>
                <w:sz w:val="20"/>
                <w:szCs w:val="20"/>
              </w:rPr>
              <w:t xml:space="preserve">A 500-row legacy CSV is imported, reconciled through the clinician gate, readiness checklist goes green, operator flips the tenant LIVE, and a full FHIR export downloads. Tickets TEN-201…TEN-208 (Migration Workbench with staged imports, critical-data clinician confirmation, readiness checklist engine, go-live flow, attestation service, operate views, offboard/export).</w:t>
            </w:r>
          </w:p>
        </w:tc>
      </w:tr>
    </w:tbl>
    <w:p>
      <w:pPr>
        <w:spacing w:after="120" w:line="284"/>
        <w:jc w:val="both"/>
      </w:pPr>
      <w:r>
        <w:rPr>
          <w:sz w:val="22"/>
          <w:szCs w:val="22"/>
        </w:rPr>
        <w:t xml:space="preserve">Ticket detail in HMS-Tenant-Onboarding-Plan §4. Client decisions (a)–(c) from that plan's §5 — package names, who drives migration, operator-approved go-live — must be confirmed before N4 planning; chase them during N2's demo meeting. Exit of N4 = the client's 'end-to-end tenant management and onboarding' acceptance recording (plan §6).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Sprint N5 — Platform Control Center &amp; Hardening (executes T3)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3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Goal &amp; demo:  </w:t>
            </w:r>
            <w:r>
              <w:rPr>
                <w:color w:val="1F4E5F"/>
                <w:sz w:val="20"/>
                <w:szCs w:val="20"/>
              </w:rPr>
              <w:t xml:space="preserve">The operator sees and manages the whole platform: health wall, tenant vitals, flags, audited support impersonation with tenant-visible disclosure, break-glass with second approver, alerting. Demo: monitor → act → impersonate with banner → show the hospital's own audit recording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50"/>
        <w:gridCol w:w="1300"/>
        <w:gridCol w:w="2360"/>
      </w:tblGrid>
      <w:tr>
        <w:trPr>
          <w:tblHeader/>
        </w:trPr>
        <w:tc>
          <w:tcPr>
            <w:tcW w:type="dxa" w:w="95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75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Ticket (acceptance gist)</w:t>
            </w:r>
          </w:p>
        </w:tc>
        <w:tc>
          <w:tcPr>
            <w:tcW w:type="dxa" w:w="13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Team</w:t>
            </w:r>
          </w:p>
        </w:tc>
        <w:tc>
          <w:tcPr>
            <w:tcW w:type="dxa" w:w="23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Traces / dep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TEN-301/302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Operator metrics API (PHI-free by construction) + Control Center dashboard: health wall, tenant grid, activity stream, alert badges.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BE+FE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 T3 spec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TEN-303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 actions with reason + audit: flags, suspend/resume, force-logout, jobs, announcements.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BE+FE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TEN-304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Support impersonation: token exchange, banner, time-box, patient-content exclusion default, tenant-visible audit entry.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BE+FE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 OIDC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TEN-305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Break-glass inspection: coded reason + ticket ref, second approver beyond single record, per-record logging, tenant disclosure.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BE+FE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IAM-004 pattern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TEN-306/307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Alerting rules → ops channel; boundary tests extended (operator cannot write clinical data outside break-glass) into permanent CI gate.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TEN-308</w:t>
            </w:r>
          </w:p>
        </w:tc>
        <w:tc>
          <w:tcPr>
            <w:tcW w:type="dxa" w:w="475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transparency view: operator accesses visible in the hospital's own audit screen.</w:t>
            </w:r>
          </w:p>
        </w:tc>
        <w:tc>
          <w:tcPr>
            <w:tcW w:type="dxa" w:w="13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</w:t>
            </w:r>
          </w:p>
        </w:tc>
        <w:tc>
          <w:tcPr>
            <w:tcW w:type="dxa" w:w="2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trust feature</w:t>
            </w:r>
          </w:p>
        </w:tc>
      </w:tr>
      <w:tr>
        <w:tc>
          <w:tcPr>
            <w:tcW w:type="dxa" w:w="9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N5-X1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Performance/load sanity on staging at NFR-ish volumes (seeded 50k patients one tenant): patient search &lt;2s, summary &lt;3s measured.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BE+FE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NFR</w:t>
            </w:r>
          </w:p>
        </w:tc>
      </w:tr>
    </w:tbl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Parallel Workstream P — ABDM (starts in N2, runs through N5+)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ABDM is 3–6 months of calendar time driven by external certification; it cannot wait for a sprint slot. One engineer (rotating pair) owns it continuously: P-1 sandbox registration + credentials (N2); P-2 ABHA create/verify at registration wired into REG + the registration UI's ABHA field (N3); P-3 HFR facility + HPR provider linkage in tenant onboarding (N4 — lands naturally inside the Setup Wizard as an 'ABDM' step for Indian tenants); P-4 FHIR conformance for M1 records + sandbox milestone testing (N5). Certification submission targets end of N5; production ABDM follows in the release train after.</w:t>
      </w:r>
    </w:p>
    <w:p>
      <w:pPr>
        <w:spacing w:after="150"/>
      </w:pPr>
    </w:p>
    <w:p>
      <w:pPr>
        <w:pStyle w:val="Heading1"/>
        <w:spacing w:after="130" w:before="320"/>
      </w:pPr>
      <w:r>
        <w:rPr>
          <w:color w:val="1F4E5F"/>
        </w:rPr>
        <w:t xml:space="preserve">Exit Summary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84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Exit criteria (all required)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</w:t>
            </w:r>
          </w:p>
        </w:tc>
        <w:tc>
          <w:tcPr>
            <w:tcW w:type="dxa" w:w="84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 repos on protected main with CI; backend suite green incl. extended isolation coverage; MSW off; both Playwright flows green vs compose; contract-debt log written</w:t>
            </w:r>
          </w:p>
        </w:tc>
      </w:tr>
      <w:tr>
        <w:tc>
          <w:tcPr>
            <w:tcW w:type="dxa" w:w="9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N2</w:t>
            </w:r>
          </w:p>
        </w:tc>
        <w:tc>
          <w:tcPr>
            <w:tcW w:type="dxa" w:w="84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OIDC+MFA on staging; staging HTTPS live with tested backup restore; client demo delivered from staging; F1 signed off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N3</w:t>
            </w:r>
          </w:p>
        </w:tc>
        <w:tc>
          <w:tcPr>
            <w:tcW w:type="dxa" w:w="84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New-tenant provision→configured→staffed &lt;30 min recorded; operator-route boundary test in CI</w:t>
            </w:r>
          </w:p>
        </w:tc>
      </w:tr>
      <w:tr>
        <w:tc>
          <w:tcPr>
            <w:tcW w:type="dxa" w:w="9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N4</w:t>
            </w:r>
          </w:p>
        </w:tc>
        <w:tc>
          <w:tcPr>
            <w:tcW w:type="dxa" w:w="84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onboarding acceptance recording per TEN plan §6; client decisions (a)–(c) resolved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N5</w:t>
            </w:r>
          </w:p>
        </w:tc>
        <w:tc>
          <w:tcPr>
            <w:tcW w:type="dxa" w:w="84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Control Center demo (monitor→act→impersonate→tenant-visible audit); load sanity numbers recorded; ABDM sandbox milestones on track</w:t>
            </w:r>
          </w:p>
        </w:tc>
      </w:tr>
    </w:tbl>
    <w:p>
      <w:pPr>
        <w:spacing w:after="150"/>
      </w:pPr>
    </w:p>
    <w:p>
      <w:pPr>
        <w:spacing w:after="120" w:line="284"/>
        <w:jc w:val="both"/>
      </w:pPr>
      <w:r>
        <w:rPr>
          <w:sz w:val="22"/>
          <w:szCs w:val="22"/>
        </w:rPr>
        <w:t xml:space="preserve">Top risks: integration surfacing deep backend defects in the bulk-built modules (buffer: N1 has no feature tickets, only truth-finding; spill into early N2 is acceptable, staging slips a week); Keycloak learning curve (mitigate: N2-01 starts day 1 of N2 with the compose service, not mid-sprint); client decision latency on TEN §5 items (chase at the N2 demo, or N4 plans to the recommended defaults); ABDM external dependencies (owned continuously, never parked). Standing rule unchanged: synthetic data only until production infrastructure and counsel sign-offs exist.</w:t>
      </w:r>
    </w:p>
    <w:sectPr>
      <w:footerReference w:type="default" r:id="rId7"/>
      <w:pgSz w:w="12240" w:h="15840" w:orient="portrait"/>
      <w:pgMar w:top="1150" w:right="940" w:bottom="115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HMS Next Sprints (N1–N5) v1.0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2026-07-21T15:46:48.489Z</dcterms:created>
  <dcterms:modified xsi:type="dcterms:W3CDTF">2026-07-21T15:46:48.505Z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