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86AB"/>
          <w:sz w:val="26"/>
          <w:szCs w:val="26"/>
        </w:rPr>
        <w:t xml:space="preserve">FUNCTIONAL REQUIREMENTS DOCUMENT</w:t>
      </w:r>
    </w:p>
    <w:p>
      <w:pPr>
        <w:spacing w:after="200" w:before="200"/>
        <w:jc w:val="center"/>
      </w:pPr>
      <w:r>
        <w:rPr>
          <w:b/>
          <w:bCs/>
          <w:color w:val="1F4E5F"/>
          <w:sz w:val="52"/>
          <w:szCs w:val="52"/>
        </w:rPr>
        <w:t xml:space="preserve">Next-Generation HMS (SaaS)</w:t>
      </w:r>
    </w:p>
    <w:p>
      <w:pPr>
        <w:jc w:val="center"/>
      </w:pPr>
      <w:r>
        <w:rPr>
          <w:i/>
          <w:iCs/>
          <w:color w:val="555555"/>
          <w:sz w:val="24"/>
          <w:szCs w:val="24"/>
        </w:rPr>
        <w:t xml:space="preserve">MVP Scope: Core Package + Laboratory Connectivity + Dashboards</w:t>
      </w:r>
    </w:p>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60"/>
              <w:left w:type="dxa" w:w="100"/>
              <w:bottom w:type="dxa" w:w="60"/>
              <w:right w:type="dxa" w:w="100"/>
            </w:tcMar>
          </w:tcPr>
          <w:p>
            <w:r>
              <w:rPr>
                <w:b/>
                <w:bCs/>
                <w:color w:val="FFFFFF"/>
                <w:sz w:val="18"/>
                <w:szCs w:val="18"/>
              </w:rPr>
              <w:t xml:space="preserve">Field</w:t>
            </w:r>
          </w:p>
        </w:tc>
        <w:tc>
          <w:tcPr>
            <w:tcW w:type="dxa" w:w="6960"/>
            <w:shd w:fill="1F4E5F" w:val="clear"/>
            <w:tcMar>
              <w:top w:type="dxa" w:w="60"/>
              <w:left w:type="dxa" w:w="100"/>
              <w:bottom w:type="dxa" w:w="60"/>
              <w:right w:type="dxa" w:w="100"/>
            </w:tcMar>
          </w:tcPr>
          <w:p>
            <w:r>
              <w:rPr>
                <w:b/>
                <w:bCs/>
                <w:color w:val="FFFFFF"/>
                <w:sz w:val="18"/>
                <w:szCs w:val="18"/>
              </w:rPr>
              <w:t xml:space="preserve">Value</w:t>
            </w:r>
          </w:p>
        </w:tc>
      </w:tr>
      <w:tr>
        <w:tc>
          <w:tcPr>
            <w:tcW w:type="dxa" w:w="2400"/>
            <w:tcMar>
              <w:top w:type="dxa" w:w="60"/>
              <w:left w:type="dxa" w:w="100"/>
              <w:bottom w:type="dxa" w:w="60"/>
              <w:right w:type="dxa" w:w="100"/>
            </w:tcMar>
          </w:tcPr>
          <w:p>
            <w:r>
              <w:rPr>
                <w:b w:val="false"/>
                <w:bCs w:val="false"/>
                <w:sz w:val="18"/>
                <w:szCs w:val="18"/>
              </w:rPr>
              <w:t xml:space="preserve">Document ID</w:t>
            </w:r>
          </w:p>
        </w:tc>
        <w:tc>
          <w:tcPr>
            <w:tcW w:type="dxa" w:w="6960"/>
            <w:tcMar>
              <w:top w:type="dxa" w:w="60"/>
              <w:left w:type="dxa" w:w="100"/>
              <w:bottom w:type="dxa" w:w="60"/>
              <w:right w:type="dxa" w:w="100"/>
            </w:tcMar>
          </w:tcPr>
          <w:p>
            <w:r>
              <w:rPr>
                <w:b w:val="false"/>
                <w:bCs w:val="false"/>
                <w:sz w:val="18"/>
                <w:szCs w:val="18"/>
              </w:rPr>
              <w:t xml:space="preserve">HMS-FRD-001</w:t>
            </w:r>
          </w:p>
        </w:tc>
      </w:tr>
      <w:tr>
        <w:tc>
          <w:tcPr>
            <w:tcW w:type="dxa" w:w="2400"/>
            <w:shd w:fill="EAF2F6" w:val="clear"/>
            <w:tcMar>
              <w:top w:type="dxa" w:w="60"/>
              <w:left w:type="dxa" w:w="100"/>
              <w:bottom w:type="dxa" w:w="60"/>
              <w:right w:type="dxa" w:w="100"/>
            </w:tcMar>
          </w:tcPr>
          <w:p>
            <w:r>
              <w:rPr>
                <w:b w:val="false"/>
                <w:bCs w:val="false"/>
                <w:sz w:val="18"/>
                <w:szCs w:val="18"/>
              </w:rPr>
              <w:t xml:space="preserve">Version</w:t>
            </w:r>
          </w:p>
        </w:tc>
        <w:tc>
          <w:tcPr>
            <w:tcW w:type="dxa" w:w="6960"/>
            <w:shd w:fill="EAF2F6" w:val="clear"/>
            <w:tcMar>
              <w:top w:type="dxa" w:w="60"/>
              <w:left w:type="dxa" w:w="100"/>
              <w:bottom w:type="dxa" w:w="60"/>
              <w:right w:type="dxa" w:w="100"/>
            </w:tcMar>
          </w:tcPr>
          <w:p>
            <w:r>
              <w:rPr>
                <w:b w:val="false"/>
                <w:bCs w:val="false"/>
                <w:sz w:val="18"/>
                <w:szCs w:val="18"/>
              </w:rPr>
              <w:t xml:space="preserve">1.0 (Draft for engineering review)</w:t>
            </w:r>
          </w:p>
        </w:tc>
      </w:tr>
      <w:tr>
        <w:tc>
          <w:tcPr>
            <w:tcW w:type="dxa" w:w="2400"/>
            <w:tcMar>
              <w:top w:type="dxa" w:w="60"/>
              <w:left w:type="dxa" w:w="100"/>
              <w:bottom w:type="dxa" w:w="60"/>
              <w:right w:type="dxa" w:w="100"/>
            </w:tcMar>
          </w:tcPr>
          <w:p>
            <w:r>
              <w:rPr>
                <w:b w:val="false"/>
                <w:bCs w:val="false"/>
                <w:sz w:val="18"/>
                <w:szCs w:val="18"/>
              </w:rPr>
              <w:t xml:space="preserve">Date</w:t>
            </w:r>
          </w:p>
        </w:tc>
        <w:tc>
          <w:tcPr>
            <w:tcW w:type="dxa" w:w="6960"/>
            <w:tcMar>
              <w:top w:type="dxa" w:w="60"/>
              <w:left w:type="dxa" w:w="100"/>
              <w:bottom w:type="dxa" w:w="60"/>
              <w:right w:type="dxa" w:w="100"/>
            </w:tcMar>
          </w:tcPr>
          <w:p>
            <w:r>
              <w:rPr>
                <w:b w:val="false"/>
                <w:bCs w:val="false"/>
                <w:sz w:val="18"/>
                <w:szCs w:val="18"/>
              </w:rPr>
              <w:t xml:space="preserve">July 2026</w:t>
            </w:r>
          </w:p>
        </w:tc>
      </w:tr>
      <w:tr>
        <w:tc>
          <w:tcPr>
            <w:tcW w:type="dxa" w:w="2400"/>
            <w:shd w:fill="EAF2F6" w:val="clear"/>
            <w:tcMar>
              <w:top w:type="dxa" w:w="60"/>
              <w:left w:type="dxa" w:w="100"/>
              <w:bottom w:type="dxa" w:w="60"/>
              <w:right w:type="dxa" w:w="100"/>
            </w:tcMar>
          </w:tcPr>
          <w:p>
            <w:r>
              <w:rPr>
                <w:b w:val="false"/>
                <w:bCs w:val="false"/>
                <w:sz w:val="18"/>
                <w:szCs w:val="18"/>
              </w:rPr>
              <w:t xml:space="preserve">Status</w:t>
            </w:r>
          </w:p>
        </w:tc>
        <w:tc>
          <w:tcPr>
            <w:tcW w:type="dxa" w:w="6960"/>
            <w:shd w:fill="EAF2F6" w:val="clear"/>
            <w:tcMar>
              <w:top w:type="dxa" w:w="60"/>
              <w:left w:type="dxa" w:w="100"/>
              <w:bottom w:type="dxa" w:w="60"/>
              <w:right w:type="dxa" w:w="100"/>
            </w:tcMar>
          </w:tcPr>
          <w:p>
            <w:r>
              <w:rPr>
                <w:b w:val="false"/>
                <w:bCs w:val="false"/>
                <w:sz w:val="18"/>
                <w:szCs w:val="18"/>
              </w:rPr>
              <w:t xml:space="preserve">Baseline for MVP build (Stages 1–2 of product roadmap)</w:t>
            </w:r>
          </w:p>
        </w:tc>
      </w:tr>
      <w:tr>
        <w:tc>
          <w:tcPr>
            <w:tcW w:type="dxa" w:w="2400"/>
            <w:tcMar>
              <w:top w:type="dxa" w:w="60"/>
              <w:left w:type="dxa" w:w="100"/>
              <w:bottom w:type="dxa" w:w="60"/>
              <w:right w:type="dxa" w:w="100"/>
            </w:tcMar>
          </w:tcPr>
          <w:p>
            <w:r>
              <w:rPr>
                <w:b w:val="false"/>
                <w:bCs w:val="false"/>
                <w:sz w:val="18"/>
                <w:szCs w:val="18"/>
              </w:rPr>
              <w:t xml:space="preserve">Related documents</w:t>
            </w:r>
          </w:p>
        </w:tc>
        <w:tc>
          <w:tcPr>
            <w:tcW w:type="dxa" w:w="6960"/>
            <w:tcMar>
              <w:top w:type="dxa" w:w="60"/>
              <w:left w:type="dxa" w:w="100"/>
              <w:bottom w:type="dxa" w:w="60"/>
              <w:right w:type="dxa" w:w="100"/>
            </w:tcMar>
          </w:tcPr>
          <w:p>
            <w:r>
              <w:rPr>
                <w:b w:val="false"/>
                <w:bCs w:val="false"/>
                <w:sz w:val="18"/>
                <w:szCs w:val="18"/>
              </w:rPr>
              <w:t xml:space="preserve">HMS SaaS Product Proposal v1.0; NFR Specification (companion); API Specification (to be derived)</w:t>
            </w:r>
          </w:p>
        </w:tc>
      </w:tr>
      <w:tr>
        <w:tc>
          <w:tcPr>
            <w:tcW w:type="dxa" w:w="2400"/>
            <w:shd w:fill="EAF2F6" w:val="clear"/>
            <w:tcMar>
              <w:top w:type="dxa" w:w="60"/>
              <w:left w:type="dxa" w:w="100"/>
              <w:bottom w:type="dxa" w:w="60"/>
              <w:right w:type="dxa" w:w="100"/>
            </w:tcMar>
          </w:tcPr>
          <w:p>
            <w:r>
              <w:rPr>
                <w:b w:val="false"/>
                <w:bCs w:val="false"/>
                <w:sz w:val="18"/>
                <w:szCs w:val="18"/>
              </w:rPr>
              <w:t xml:space="preserve">Audience</w:t>
            </w:r>
          </w:p>
        </w:tc>
        <w:tc>
          <w:tcPr>
            <w:tcW w:type="dxa" w:w="6960"/>
            <w:shd w:fill="EAF2F6" w:val="clear"/>
            <w:tcMar>
              <w:top w:type="dxa" w:w="60"/>
              <w:left w:type="dxa" w:w="100"/>
              <w:bottom w:type="dxa" w:w="60"/>
              <w:right w:type="dxa" w:w="100"/>
            </w:tcMar>
          </w:tcPr>
          <w:p>
            <w:r>
              <w:rPr>
                <w:b w:val="false"/>
                <w:bCs w:val="false"/>
                <w:sz w:val="18"/>
                <w:szCs w:val="18"/>
              </w:rPr>
              <w:t xml:space="preserve">Engineering, product, QA, security, implementation</w:t>
            </w:r>
          </w:p>
        </w:tc>
      </w:tr>
    </w:tbl>
    <w:p>
      <w:r>
        <w:br w:type="page"/>
      </w:r>
    </w:p>
    <w:p>
      <w:pPr>
        <w:pStyle w:val="Heading1"/>
        <w:spacing w:after="160" w:before="360"/>
      </w:pPr>
      <w:r>
        <w:rPr>
          <w:color w:val="1F4E5F"/>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4E5F"/>
        </w:rPr>
        <w:t xml:space="preserve">1. Introduction</w:t>
      </w:r>
    </w:p>
    <w:p>
      <w:pPr>
        <w:pStyle w:val="Heading2"/>
        <w:spacing w:after="120" w:before="280"/>
      </w:pPr>
      <w:r>
        <w:rPr>
          <w:color w:val="2E86AB"/>
        </w:rPr>
        <w:t xml:space="preserve">1.1 Purpose and Scope</w:t>
      </w:r>
    </w:p>
    <w:p>
      <w:pPr>
        <w:spacing w:after="160" w:line="300"/>
        <w:jc w:val="both"/>
      </w:pPr>
      <w:r>
        <w:rPr>
          <w:sz w:val="22"/>
          <w:szCs w:val="22"/>
        </w:rPr>
        <w:t xml:space="preserve">This document specifies the functional requirements for the MVP release of the Next-Generation HMS SaaS platform, sufficient for engineering to begin design, estimation, and implementation. The MVP delivers a complete outpatient journey for a multi-tenant deployment: patient registration through scheduling, clinical encounter, prescribing, lab ordering and results, billing and claims, patient portal, and operational dashboards, on the shared platform core. Requirements for later packages (Inpatient, Clinical Ops, full Engage, Intelligence, Network) will be issued as separate FRD increments and are out of scope here except where the platform core must anticipate them.</w:t>
      </w:r>
    </w:p>
    <w:p>
      <w:pPr>
        <w:pStyle w:val="Heading2"/>
        <w:spacing w:after="120" w:before="280"/>
      </w:pPr>
      <w:r>
        <w:rPr>
          <w:color w:val="2E86AB"/>
        </w:rPr>
        <w:t xml:space="preserve">1.2 Requirement Conventions</w:t>
      </w:r>
    </w:p>
    <w:p>
      <w:pPr>
        <w:spacing w:after="160" w:line="300"/>
        <w:jc w:val="both"/>
      </w:pPr>
      <w:r>
        <w:rPr>
          <w:sz w:val="22"/>
          <w:szCs w:val="22"/>
        </w:rPr>
        <w:t xml:space="preserve">Each requirement has a unique ID (MODULE-NNN) that must be referenced in tickets, code review, tests, and traceability reports. Requirements are written as testable statements. Priority uses MoSCoW: M (Must have — MVP does not ship without it), S (Should have — targeted for MVP, may slip to fast-follow with product sign-off), C (Could have — opportunistic). The word 'configurable' always means per-tenant configuration through the admin console with no code change or redeploy. All patient-data behavior implicitly inherits the audit, isolation, and consent requirements of the PLT module.</w:t>
      </w:r>
    </w:p>
    <w:p>
      <w:pPr>
        <w:pStyle w:val="Heading2"/>
        <w:spacing w:after="120" w:before="280"/>
      </w:pPr>
      <w:r>
        <w:rPr>
          <w:color w:val="2E86AB"/>
        </w:rPr>
        <w:t xml:space="preserve">1.3 Definitions</w:t>
      </w:r>
    </w:p>
    <w:p>
      <w:pPr>
        <w:spacing w:after="160" w:line="300"/>
        <w:jc w:val="both"/>
      </w:pPr>
      <w:r>
        <w:rPr>
          <w:sz w:val="22"/>
          <w:szCs w:val="22"/>
        </w:rPr>
        <w:t xml:space="preserve">Tenant: one customer organization (a facility or a group). Site: a physical location within a tenant. MPI: master patient index. Encounter: a single patient-clinician interaction record. FHIR: HL7 Fast Healthcare Interoperability Resources R4. LIS: laboratory information system. e-Rx: electronic prescription. DLQ: dead-letter queue. RLS: row-level security. Clinical user: physician, nurse, or other licensed role delivering care.</w:t>
      </w:r>
    </w:p>
    <w:p>
      <w:pPr>
        <w:pStyle w:val="Heading2"/>
        <w:spacing w:after="120" w:before="280"/>
      </w:pPr>
      <w:r>
        <w:rPr>
          <w:color w:val="2E86AB"/>
        </w:rPr>
        <w:t xml:space="preserve">1.4 Out of Scope for MVP</w:t>
      </w:r>
    </w:p>
    <w:p>
      <w:pPr>
        <w:spacing w:after="160" w:line="300"/>
        <w:jc w:val="both"/>
      </w:pPr>
      <w:r>
        <w:rPr>
          <w:sz w:val="22"/>
          <w:szCs w:val="22"/>
        </w:rPr>
        <w:t xml:space="preserve">Inpatient/ward management, operating theatres, pharmacy dispensing and inventory, imaging workflow beyond report delivery, telehealth video, AI modules (scribe, coding assist, prediction), multi-facility network administration, payer eligibility connectors where no regional connector exists (manual entry applies), and offline mode (design must not preclude it). The data model and APIs must be built so these can be added without breaking changes.</w:t>
      </w:r>
    </w:p>
    <w:p>
      <w:pPr>
        <w:pStyle w:val="Heading1"/>
        <w:spacing w:after="160" w:before="360"/>
      </w:pPr>
      <w:r>
        <w:rPr>
          <w:color w:val="1F4E5F"/>
        </w:rPr>
        <w:t xml:space="preserve">2. Users and Roles</w:t>
      </w:r>
    </w:p>
    <w:p>
      <w:pPr>
        <w:spacing w:after="160" w:line="300"/>
        <w:jc w:val="both"/>
      </w:pPr>
      <w:r>
        <w:rPr>
          <w:sz w:val="22"/>
          <w:szCs w:val="22"/>
        </w:rPr>
        <w:t xml:space="preserve">The platform ships with the predefined roles below; tenants may clone and adjust them from granular permissions (IAM-002). Every functional requirement should be read against this role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4E5F" w:val="clear"/>
            <w:tcMar>
              <w:top w:type="dxa" w:w="60"/>
              <w:left w:type="dxa" w:w="100"/>
              <w:bottom w:type="dxa" w:w="60"/>
              <w:right w:type="dxa" w:w="100"/>
            </w:tcMar>
          </w:tcPr>
          <w:p>
            <w:r>
              <w:rPr>
                <w:b/>
                <w:bCs/>
                <w:color w:val="FFFFFF"/>
                <w:sz w:val="18"/>
                <w:szCs w:val="18"/>
              </w:rPr>
              <w:t xml:space="preserve">Role</w:t>
            </w:r>
          </w:p>
        </w:tc>
        <w:tc>
          <w:tcPr>
            <w:tcW w:type="dxa" w:w="6860"/>
            <w:shd w:fill="1F4E5F" w:val="clear"/>
            <w:tcMar>
              <w:top w:type="dxa" w:w="60"/>
              <w:left w:type="dxa" w:w="100"/>
              <w:bottom w:type="dxa" w:w="60"/>
              <w:right w:type="dxa" w:w="100"/>
            </w:tcMar>
          </w:tcPr>
          <w:p>
            <w:r>
              <w:rPr>
                <w:b/>
                <w:bCs/>
                <w:color w:val="FFFFFF"/>
                <w:sz w:val="18"/>
                <w:szCs w:val="18"/>
              </w:rPr>
              <w:t xml:space="preserve">Description / primary permissions</w:t>
            </w:r>
          </w:p>
        </w:tc>
      </w:tr>
      <w:tr>
        <w:tc>
          <w:tcPr>
            <w:tcW w:type="dxa" w:w="2500"/>
            <w:tcMar>
              <w:top w:type="dxa" w:w="60"/>
              <w:left w:type="dxa" w:w="100"/>
              <w:bottom w:type="dxa" w:w="60"/>
              <w:right w:type="dxa" w:w="100"/>
            </w:tcMar>
          </w:tcPr>
          <w:p>
            <w:r>
              <w:rPr>
                <w:b w:val="false"/>
                <w:bCs w:val="false"/>
                <w:sz w:val="18"/>
                <w:szCs w:val="18"/>
              </w:rPr>
              <w:t xml:space="preserve">Tenant Admin</w:t>
            </w:r>
          </w:p>
        </w:tc>
        <w:tc>
          <w:tcPr>
            <w:tcW w:type="dxa" w:w="6860"/>
            <w:tcMar>
              <w:top w:type="dxa" w:w="60"/>
              <w:left w:type="dxa" w:w="100"/>
              <w:bottom w:type="dxa" w:w="60"/>
              <w:right w:type="dxa" w:w="100"/>
            </w:tcMar>
          </w:tcPr>
          <w:p>
            <w:r>
              <w:rPr>
                <w:b w:val="false"/>
                <w:bCs w:val="false"/>
                <w:sz w:val="18"/>
                <w:szCs w:val="18"/>
              </w:rPr>
              <w:t xml:space="preserve">Configures tenant: users, roles, catalogs, templates, schedules, branding, integrations; no clinical documentation rights by default</w:t>
            </w:r>
          </w:p>
        </w:tc>
      </w:tr>
      <w:tr>
        <w:tc>
          <w:tcPr>
            <w:tcW w:type="dxa" w:w="2500"/>
            <w:shd w:fill="EAF2F6" w:val="clear"/>
            <w:tcMar>
              <w:top w:type="dxa" w:w="60"/>
              <w:left w:type="dxa" w:w="100"/>
              <w:bottom w:type="dxa" w:w="60"/>
              <w:right w:type="dxa" w:w="100"/>
            </w:tcMar>
          </w:tcPr>
          <w:p>
            <w:r>
              <w:rPr>
                <w:b w:val="false"/>
                <w:bCs w:val="false"/>
                <w:sz w:val="18"/>
                <w:szCs w:val="18"/>
              </w:rPr>
              <w:t xml:space="preserve">Receptionist / Front Desk</w:t>
            </w:r>
          </w:p>
        </w:tc>
        <w:tc>
          <w:tcPr>
            <w:tcW w:type="dxa" w:w="6860"/>
            <w:shd w:fill="EAF2F6" w:val="clear"/>
            <w:tcMar>
              <w:top w:type="dxa" w:w="60"/>
              <w:left w:type="dxa" w:w="100"/>
              <w:bottom w:type="dxa" w:w="60"/>
              <w:right w:type="dxa" w:w="100"/>
            </w:tcMar>
          </w:tcPr>
          <w:p>
            <w:r>
              <w:rPr>
                <w:b w:val="false"/>
                <w:bCs w:val="false"/>
                <w:sz w:val="18"/>
                <w:szCs w:val="18"/>
              </w:rPr>
              <w:t xml:space="preserve">Registration, appointment booking, check-in, basic invoicing and payment collection</w:t>
            </w:r>
          </w:p>
        </w:tc>
      </w:tr>
      <w:tr>
        <w:tc>
          <w:tcPr>
            <w:tcW w:type="dxa" w:w="2500"/>
            <w:tcMar>
              <w:top w:type="dxa" w:w="60"/>
              <w:left w:type="dxa" w:w="100"/>
              <w:bottom w:type="dxa" w:w="60"/>
              <w:right w:type="dxa" w:w="100"/>
            </w:tcMar>
          </w:tcPr>
          <w:p>
            <w:r>
              <w:rPr>
                <w:b w:val="false"/>
                <w:bCs w:val="false"/>
                <w:sz w:val="18"/>
                <w:szCs w:val="18"/>
              </w:rPr>
              <w:t xml:space="preserve">Physician</w:t>
            </w:r>
          </w:p>
        </w:tc>
        <w:tc>
          <w:tcPr>
            <w:tcW w:type="dxa" w:w="6860"/>
            <w:tcMar>
              <w:top w:type="dxa" w:w="60"/>
              <w:left w:type="dxa" w:w="100"/>
              <w:bottom w:type="dxa" w:w="60"/>
              <w:right w:type="dxa" w:w="100"/>
            </w:tcMar>
          </w:tcPr>
          <w:p>
            <w:r>
              <w:rPr>
                <w:b w:val="false"/>
                <w:bCs w:val="false"/>
                <w:sz w:val="18"/>
                <w:szCs w:val="18"/>
              </w:rPr>
              <w:t xml:space="preserve">Full clinical documentation, prescribing, ordering, result review and sign-off for own patients</w:t>
            </w:r>
          </w:p>
        </w:tc>
      </w:tr>
      <w:tr>
        <w:tc>
          <w:tcPr>
            <w:tcW w:type="dxa" w:w="2500"/>
            <w:shd w:fill="EAF2F6" w:val="clear"/>
            <w:tcMar>
              <w:top w:type="dxa" w:w="60"/>
              <w:left w:type="dxa" w:w="100"/>
              <w:bottom w:type="dxa" w:w="60"/>
              <w:right w:type="dxa" w:w="100"/>
            </w:tcMar>
          </w:tcPr>
          <w:p>
            <w:r>
              <w:rPr>
                <w:b w:val="false"/>
                <w:bCs w:val="false"/>
                <w:sz w:val="18"/>
                <w:szCs w:val="18"/>
              </w:rPr>
              <w:t xml:space="preserve">Nurse</w:t>
            </w:r>
          </w:p>
        </w:tc>
        <w:tc>
          <w:tcPr>
            <w:tcW w:type="dxa" w:w="6860"/>
            <w:shd w:fill="EAF2F6" w:val="clear"/>
            <w:tcMar>
              <w:top w:type="dxa" w:w="60"/>
              <w:left w:type="dxa" w:w="100"/>
              <w:bottom w:type="dxa" w:w="60"/>
              <w:right w:type="dxa" w:w="100"/>
            </w:tcMar>
          </w:tcPr>
          <w:p>
            <w:r>
              <w:rPr>
                <w:b w:val="false"/>
                <w:bCs w:val="false"/>
                <w:sz w:val="18"/>
                <w:szCs w:val="18"/>
              </w:rPr>
              <w:t xml:space="preserve">Vitals, triage, task execution, documentation per scope; no prescribing</w:t>
            </w:r>
          </w:p>
        </w:tc>
      </w:tr>
      <w:tr>
        <w:tc>
          <w:tcPr>
            <w:tcW w:type="dxa" w:w="2500"/>
            <w:tcMar>
              <w:top w:type="dxa" w:w="60"/>
              <w:left w:type="dxa" w:w="100"/>
              <w:bottom w:type="dxa" w:w="60"/>
              <w:right w:type="dxa" w:w="100"/>
            </w:tcMar>
          </w:tcPr>
          <w:p>
            <w:r>
              <w:rPr>
                <w:b w:val="false"/>
                <w:bCs w:val="false"/>
                <w:sz w:val="18"/>
                <w:szCs w:val="18"/>
              </w:rPr>
              <w:t xml:space="preserve">Lab Liaison</w:t>
            </w:r>
          </w:p>
        </w:tc>
        <w:tc>
          <w:tcPr>
            <w:tcW w:type="dxa" w:w="6860"/>
            <w:tcMar>
              <w:top w:type="dxa" w:w="60"/>
              <w:left w:type="dxa" w:w="100"/>
              <w:bottom w:type="dxa" w:w="60"/>
              <w:right w:type="dxa" w:w="100"/>
            </w:tcMar>
          </w:tcPr>
          <w:p>
            <w:r>
              <w:rPr>
                <w:b w:val="false"/>
                <w:bCs w:val="false"/>
                <w:sz w:val="18"/>
                <w:szCs w:val="18"/>
              </w:rPr>
              <w:t xml:space="preserve">Order status monitoring, unmatched-result queue resolution</w:t>
            </w:r>
          </w:p>
        </w:tc>
      </w:tr>
      <w:tr>
        <w:tc>
          <w:tcPr>
            <w:tcW w:type="dxa" w:w="2500"/>
            <w:shd w:fill="EAF2F6" w:val="clear"/>
            <w:tcMar>
              <w:top w:type="dxa" w:w="60"/>
              <w:left w:type="dxa" w:w="100"/>
              <w:bottom w:type="dxa" w:w="60"/>
              <w:right w:type="dxa" w:w="100"/>
            </w:tcMar>
          </w:tcPr>
          <w:p>
            <w:r>
              <w:rPr>
                <w:b w:val="false"/>
                <w:bCs w:val="false"/>
                <w:sz w:val="18"/>
                <w:szCs w:val="18"/>
              </w:rPr>
              <w:t xml:space="preserve">Billing Clerk / Cashier</w:t>
            </w:r>
          </w:p>
        </w:tc>
        <w:tc>
          <w:tcPr>
            <w:tcW w:type="dxa" w:w="6860"/>
            <w:shd w:fill="EAF2F6" w:val="clear"/>
            <w:tcMar>
              <w:top w:type="dxa" w:w="60"/>
              <w:left w:type="dxa" w:w="100"/>
              <w:bottom w:type="dxa" w:w="60"/>
              <w:right w:type="dxa" w:w="100"/>
            </w:tcMar>
          </w:tcPr>
          <w:p>
            <w:r>
              <w:rPr>
                <w:b w:val="false"/>
                <w:bCs w:val="false"/>
                <w:sz w:val="18"/>
                <w:szCs w:val="18"/>
              </w:rPr>
              <w:t xml:space="preserve">Charge review, invoicing, payments, claims preparation, denials; no clinical write access</w:t>
            </w:r>
          </w:p>
        </w:tc>
      </w:tr>
      <w:tr>
        <w:tc>
          <w:tcPr>
            <w:tcW w:type="dxa" w:w="2500"/>
            <w:tcMar>
              <w:top w:type="dxa" w:w="60"/>
              <w:left w:type="dxa" w:w="100"/>
              <w:bottom w:type="dxa" w:w="60"/>
              <w:right w:type="dxa" w:w="100"/>
            </w:tcMar>
          </w:tcPr>
          <w:p>
            <w:r>
              <w:rPr>
                <w:b w:val="false"/>
                <w:bCs w:val="false"/>
                <w:sz w:val="18"/>
                <w:szCs w:val="18"/>
              </w:rPr>
              <w:t xml:space="preserve">Finance Manager</w:t>
            </w:r>
          </w:p>
        </w:tc>
        <w:tc>
          <w:tcPr>
            <w:tcW w:type="dxa" w:w="6860"/>
            <w:tcMar>
              <w:top w:type="dxa" w:w="60"/>
              <w:left w:type="dxa" w:w="100"/>
              <w:bottom w:type="dxa" w:w="60"/>
              <w:right w:type="dxa" w:w="100"/>
            </w:tcMar>
          </w:tcPr>
          <w:p>
            <w:r>
              <w:rPr>
                <w:b w:val="false"/>
                <w:bCs w:val="false"/>
                <w:sz w:val="18"/>
                <w:szCs w:val="18"/>
              </w:rPr>
              <w:t xml:space="preserve">Approvals (refunds, discounts above threshold), financial reports, charge master</w:t>
            </w:r>
          </w:p>
        </w:tc>
      </w:tr>
      <w:tr>
        <w:tc>
          <w:tcPr>
            <w:tcW w:type="dxa" w:w="2500"/>
            <w:shd w:fill="EAF2F6" w:val="clear"/>
            <w:tcMar>
              <w:top w:type="dxa" w:w="60"/>
              <w:left w:type="dxa" w:w="100"/>
              <w:bottom w:type="dxa" w:w="60"/>
              <w:right w:type="dxa" w:w="100"/>
            </w:tcMar>
          </w:tcPr>
          <w:p>
            <w:r>
              <w:rPr>
                <w:b w:val="false"/>
                <w:bCs w:val="false"/>
                <w:sz w:val="18"/>
                <w:szCs w:val="18"/>
              </w:rPr>
              <w:t xml:space="preserve">Privacy / Compliance Officer</w:t>
            </w:r>
          </w:p>
        </w:tc>
        <w:tc>
          <w:tcPr>
            <w:tcW w:type="dxa" w:w="6860"/>
            <w:shd w:fill="EAF2F6" w:val="clear"/>
            <w:tcMar>
              <w:top w:type="dxa" w:w="60"/>
              <w:left w:type="dxa" w:w="100"/>
              <w:bottom w:type="dxa" w:w="60"/>
              <w:right w:type="dxa" w:w="100"/>
            </w:tcMar>
          </w:tcPr>
          <w:p>
            <w:r>
              <w:rPr>
                <w:b w:val="false"/>
                <w:bCs w:val="false"/>
                <w:sz w:val="18"/>
                <w:szCs w:val="18"/>
              </w:rPr>
              <w:t xml:space="preserve">Audit log review, break-the-glass review, consent management</w:t>
            </w:r>
          </w:p>
        </w:tc>
      </w:tr>
      <w:tr>
        <w:tc>
          <w:tcPr>
            <w:tcW w:type="dxa" w:w="2500"/>
            <w:tcMar>
              <w:top w:type="dxa" w:w="60"/>
              <w:left w:type="dxa" w:w="100"/>
              <w:bottom w:type="dxa" w:w="60"/>
              <w:right w:type="dxa" w:w="100"/>
            </w:tcMar>
          </w:tcPr>
          <w:p>
            <w:r>
              <w:rPr>
                <w:b w:val="false"/>
                <w:bCs w:val="false"/>
                <w:sz w:val="18"/>
                <w:szCs w:val="18"/>
              </w:rPr>
              <w:t xml:space="preserve">Patient / Proxy</w:t>
            </w:r>
          </w:p>
        </w:tc>
        <w:tc>
          <w:tcPr>
            <w:tcW w:type="dxa" w:w="6860"/>
            <w:tcMar>
              <w:top w:type="dxa" w:w="60"/>
              <w:left w:type="dxa" w:w="100"/>
              <w:bottom w:type="dxa" w:w="60"/>
              <w:right w:type="dxa" w:w="100"/>
            </w:tcMar>
          </w:tcPr>
          <w:p>
            <w:r>
              <w:rPr>
                <w:b w:val="false"/>
                <w:bCs w:val="false"/>
                <w:sz w:val="18"/>
                <w:szCs w:val="18"/>
              </w:rPr>
              <w:t xml:space="preserve">Portal: own record, appointments, results, invoices, forms</w:t>
            </w:r>
          </w:p>
        </w:tc>
      </w:tr>
      <w:tr>
        <w:tc>
          <w:tcPr>
            <w:tcW w:type="dxa" w:w="2500"/>
            <w:shd w:fill="EAF2F6" w:val="clear"/>
            <w:tcMar>
              <w:top w:type="dxa" w:w="60"/>
              <w:left w:type="dxa" w:w="100"/>
              <w:bottom w:type="dxa" w:w="60"/>
              <w:right w:type="dxa" w:w="100"/>
            </w:tcMar>
          </w:tcPr>
          <w:p>
            <w:r>
              <w:rPr>
                <w:b w:val="false"/>
                <w:bCs w:val="false"/>
                <w:sz w:val="18"/>
                <w:szCs w:val="18"/>
              </w:rPr>
              <w:t xml:space="preserve">Platform Operator (internal)</w:t>
            </w:r>
          </w:p>
        </w:tc>
        <w:tc>
          <w:tcPr>
            <w:tcW w:type="dxa" w:w="6860"/>
            <w:shd w:fill="EAF2F6" w:val="clear"/>
            <w:tcMar>
              <w:top w:type="dxa" w:w="60"/>
              <w:left w:type="dxa" w:w="100"/>
              <w:bottom w:type="dxa" w:w="60"/>
              <w:right w:type="dxa" w:w="100"/>
            </w:tcMar>
          </w:tcPr>
          <w:p>
            <w:r>
              <w:rPr>
                <w:b w:val="false"/>
                <w:bCs w:val="false"/>
                <w:sz w:val="18"/>
                <w:szCs w:val="18"/>
              </w:rPr>
              <w:t xml:space="preserve">Cross-tenant operations via separated internal tooling; never through tenant UI; all access audited</w:t>
            </w:r>
          </w:p>
        </w:tc>
      </w:tr>
    </w:tbl>
    <w:p>
      <w:pPr>
        <w:spacing w:after="200"/>
      </w:pPr>
    </w:p>
    <w:p>
      <w:pPr>
        <w:pStyle w:val="Heading1"/>
        <w:spacing w:after="160" w:before="360"/>
      </w:pPr>
      <w:r>
        <w:rPr>
          <w:color w:val="1F4E5F"/>
        </w:rPr>
        <w:t xml:space="preserve">3. Platform Core and Tenancy (PLT)</w:t>
      </w:r>
    </w:p>
    <w:p>
      <w:pPr>
        <w:spacing w:after="160" w:line="300"/>
        <w:jc w:val="both"/>
      </w:pPr>
      <w:r>
        <w:rPr>
          <w:sz w:val="22"/>
          <w:szCs w:val="22"/>
        </w:rPr>
        <w:t xml:space="preserve">The platform core provides multi-tenancy, configuration, audit, consent, and notifications for every module. These requirements are foundational and block all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PLT-001</w:t>
            </w:r>
          </w:p>
        </w:tc>
        <w:tc>
          <w:tcPr>
            <w:tcW w:type="dxa" w:w="7250"/>
            <w:tcMar>
              <w:top w:type="dxa" w:w="60"/>
              <w:left w:type="dxa" w:w="100"/>
              <w:bottom w:type="dxa" w:w="60"/>
              <w:right w:type="dxa" w:w="100"/>
            </w:tcMar>
          </w:tcPr>
          <w:p>
            <w:r>
              <w:rPr>
                <w:b w:val="false"/>
                <w:bCs w:val="false"/>
                <w:sz w:val="18"/>
                <w:szCs w:val="18"/>
              </w:rPr>
              <w:t xml:space="preserve">Provision a new tenant from the internal admin console — tenant ID, region, locale set, default catalogs and templates — completing in under 30 minutes with no code change or deployment.</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PLT-002</w:t>
            </w:r>
          </w:p>
        </w:tc>
        <w:tc>
          <w:tcPr>
            <w:tcW w:type="dxa" w:w="7250"/>
            <w:shd w:fill="EAF2F6" w:val="clear"/>
            <w:tcMar>
              <w:top w:type="dxa" w:w="60"/>
              <w:left w:type="dxa" w:w="100"/>
              <w:bottom w:type="dxa" w:w="60"/>
              <w:right w:type="dxa" w:w="100"/>
            </w:tcMar>
          </w:tcPr>
          <w:p>
            <w:r>
              <w:rPr>
                <w:b w:val="false"/>
                <w:bCs w:val="false"/>
                <w:sz w:val="18"/>
                <w:szCs w:val="18"/>
              </w:rPr>
              <w:t xml:space="preserve">Enforce tenant isolation on every data access path via RLS keyed to tenant ID; no API, query, report, or export may return another tenant's data. Isolation is verified by automated tests executed in every CI pipeline.</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PLT-003</w:t>
            </w:r>
          </w:p>
        </w:tc>
        <w:tc>
          <w:tcPr>
            <w:tcW w:type="dxa" w:w="7250"/>
            <w:tcMar>
              <w:top w:type="dxa" w:w="60"/>
              <w:left w:type="dxa" w:w="100"/>
              <w:bottom w:type="dxa" w:w="60"/>
              <w:right w:type="dxa" w:w="100"/>
            </w:tcMar>
          </w:tcPr>
          <w:p>
            <w:r>
              <w:rPr>
                <w:b w:val="false"/>
                <w:bCs w:val="false"/>
                <w:sz w:val="18"/>
                <w:szCs w:val="18"/>
              </w:rPr>
              <w:t xml:space="preserve">Support per-tenant configuration of branding (logo, colors), locales, time zone, currency, calendar, terminology value sets, and module enablement via feature flags, effective at next page load without redeploy.</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PLT-004</w:t>
            </w:r>
          </w:p>
        </w:tc>
        <w:tc>
          <w:tcPr>
            <w:tcW w:type="dxa" w:w="7250"/>
            <w:shd w:fill="EAF2F6" w:val="clear"/>
            <w:tcMar>
              <w:top w:type="dxa" w:w="60"/>
              <w:left w:type="dxa" w:w="100"/>
              <w:bottom w:type="dxa" w:w="60"/>
              <w:right w:type="dxa" w:w="100"/>
            </w:tcMar>
          </w:tcPr>
          <w:p>
            <w:r>
              <w:rPr>
                <w:b w:val="false"/>
                <w:bCs w:val="false"/>
                <w:sz w:val="18"/>
                <w:szCs w:val="18"/>
              </w:rPr>
              <w:t xml:space="preserve">Stamp every record with tenant ID, creating/updating actor, and UTC timestamps; soft-delete only for clinical data (no physical delete), with deletion events audited.</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PLT-005</w:t>
            </w:r>
          </w:p>
        </w:tc>
        <w:tc>
          <w:tcPr>
            <w:tcW w:type="dxa" w:w="7250"/>
            <w:tcMar>
              <w:top w:type="dxa" w:w="60"/>
              <w:left w:type="dxa" w:w="100"/>
              <w:bottom w:type="dxa" w:w="60"/>
              <w:right w:type="dxa" w:w="100"/>
            </w:tcMar>
          </w:tcPr>
          <w:p>
            <w:r>
              <w:rPr>
                <w:b w:val="false"/>
                <w:bCs w:val="false"/>
                <w:sz w:val="18"/>
                <w:szCs w:val="18"/>
              </w:rPr>
              <w:t xml:space="preserve">Write an immutable audit event for every create, read, update, and export of patient-identifiable data (actor, role, patient, resource, action, timestamp, source IP/device, access context), retained per tenant policy (default 7 years) and queryable by the Privacy Officer role with filters and CSV export.</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PLT-006</w:t>
            </w:r>
          </w:p>
        </w:tc>
        <w:tc>
          <w:tcPr>
            <w:tcW w:type="dxa" w:w="7250"/>
            <w:shd w:fill="EAF2F6" w:val="clear"/>
            <w:tcMar>
              <w:top w:type="dxa" w:w="60"/>
              <w:left w:type="dxa" w:w="100"/>
              <w:bottom w:type="dxa" w:w="60"/>
              <w:right w:type="dxa" w:w="100"/>
            </w:tcMar>
          </w:tcPr>
          <w:p>
            <w:r>
              <w:rPr>
                <w:b w:val="false"/>
                <w:bCs w:val="false"/>
                <w:sz w:val="18"/>
                <w:szCs w:val="18"/>
              </w:rPr>
              <w:t xml:space="preserve">Provide on-demand full tenant data export as FHIR R4 bulk (NDJSON) plus attachments, generated asynchronously with notification on completion.</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PLT-007</w:t>
            </w:r>
          </w:p>
        </w:tc>
        <w:tc>
          <w:tcPr>
            <w:tcW w:type="dxa" w:w="7250"/>
            <w:tcMar>
              <w:top w:type="dxa" w:w="60"/>
              <w:left w:type="dxa" w:w="100"/>
              <w:bottom w:type="dxa" w:w="60"/>
              <w:right w:type="dxa" w:w="100"/>
            </w:tcMar>
          </w:tcPr>
          <w:p>
            <w:r>
              <w:rPr>
                <w:b w:val="false"/>
                <w:bCs w:val="false"/>
                <w:sz w:val="18"/>
                <w:szCs w:val="18"/>
              </w:rPr>
              <w:t xml:space="preserve">Gate every licensable capability behind a per-tenant feature flag evaluated at runtime; flags changeable by the platform operator and, where delegated, tenant admins.</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PLT-008</w:t>
            </w:r>
          </w:p>
        </w:tc>
        <w:tc>
          <w:tcPr>
            <w:tcW w:type="dxa" w:w="7250"/>
            <w:shd w:fill="EAF2F6" w:val="clear"/>
            <w:tcMar>
              <w:top w:type="dxa" w:w="60"/>
              <w:left w:type="dxa" w:w="100"/>
              <w:bottom w:type="dxa" w:w="60"/>
              <w:right w:type="dxa" w:w="100"/>
            </w:tcMar>
          </w:tcPr>
          <w:p>
            <w:r>
              <w:rPr>
                <w:b w:val="false"/>
                <w:bCs w:val="false"/>
                <w:sz w:val="18"/>
                <w:szCs w:val="18"/>
              </w:rPr>
              <w:t xml:space="preserve">Provide each tenant a sandbox environment seeded with synthetic patients, isolated from production data, resettable by the tenant admin.</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PLT-009</w:t>
            </w:r>
          </w:p>
        </w:tc>
        <w:tc>
          <w:tcPr>
            <w:tcW w:type="dxa" w:w="7250"/>
            <w:tcMar>
              <w:top w:type="dxa" w:w="60"/>
              <w:left w:type="dxa" w:w="100"/>
              <w:bottom w:type="dxa" w:w="60"/>
              <w:right w:type="dxa" w:w="100"/>
            </w:tcMar>
          </w:tcPr>
          <w:p>
            <w:r>
              <w:rPr>
                <w:b w:val="false"/>
                <w:bCs w:val="false"/>
                <w:sz w:val="18"/>
                <w:szCs w:val="18"/>
              </w:rPr>
              <w:t xml:space="preserve">Provide a notification service supporting in-app, email, and SMS channels with per-tenant templates, localization, delivery status tracking, and per-channel opt-out honoring patient communication consent.</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PLT-010</w:t>
            </w:r>
          </w:p>
        </w:tc>
        <w:tc>
          <w:tcPr>
            <w:tcW w:type="dxa" w:w="7250"/>
            <w:shd w:fill="EAF2F6" w:val="clear"/>
            <w:tcMar>
              <w:top w:type="dxa" w:w="60"/>
              <w:left w:type="dxa" w:w="100"/>
              <w:bottom w:type="dxa" w:w="60"/>
              <w:right w:type="dxa" w:w="100"/>
            </w:tcMar>
          </w:tcPr>
          <w:p>
            <w:r>
              <w:rPr>
                <w:b w:val="false"/>
                <w:bCs w:val="false"/>
                <w:sz w:val="18"/>
                <w:szCs w:val="18"/>
              </w:rPr>
              <w:t xml:space="preserve">Record patient consents (treatment, privacy notice, data sharing, communications) as versioned documents with capture method, signatory, and timestamp; expose current consent state to all modules; block portal result release and marketing communications when the relevant consent is absent.</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4. Identity and Access Management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IAM-001</w:t>
            </w:r>
          </w:p>
        </w:tc>
        <w:tc>
          <w:tcPr>
            <w:tcW w:type="dxa" w:w="7250"/>
            <w:tcMar>
              <w:top w:type="dxa" w:w="60"/>
              <w:left w:type="dxa" w:w="100"/>
              <w:bottom w:type="dxa" w:w="60"/>
              <w:right w:type="dxa" w:w="100"/>
            </w:tcMar>
          </w:tcPr>
          <w:p>
            <w:r>
              <w:rPr>
                <w:b w:val="false"/>
                <w:bCs w:val="false"/>
                <w:sz w:val="18"/>
                <w:szCs w:val="18"/>
              </w:rPr>
              <w:t xml:space="preserve">Authenticate all users via OpenID Connect with mandatory MFA capability (TOTP; SMS as fallback), enforceable per tenant and per role.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IAM-002</w:t>
            </w:r>
          </w:p>
        </w:tc>
        <w:tc>
          <w:tcPr>
            <w:tcW w:type="dxa" w:w="7250"/>
            <w:shd w:fill="EAF2F6" w:val="clear"/>
            <w:tcMar>
              <w:top w:type="dxa" w:w="60"/>
              <w:left w:type="dxa" w:w="100"/>
              <w:bottom w:type="dxa" w:w="60"/>
              <w:right w:type="dxa" w:w="100"/>
            </w:tcMar>
          </w:tcPr>
          <w:p>
            <w:r>
              <w:rPr>
                <w:b w:val="false"/>
                <w:bCs w:val="false"/>
                <w:sz w:val="18"/>
                <w:szCs w:val="18"/>
              </w:rPr>
              <w:t xml:space="preserve">Implement RBAC: granular permissions grouped into the shipped roles in Section 2; tenant admins can create custom roles from permissions but cannot exceed their own grant.</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IAM-003</w:t>
            </w:r>
          </w:p>
        </w:tc>
        <w:tc>
          <w:tcPr>
            <w:tcW w:type="dxa" w:w="7250"/>
            <w:tcMar>
              <w:top w:type="dxa" w:w="60"/>
              <w:left w:type="dxa" w:w="100"/>
              <w:bottom w:type="dxa" w:w="60"/>
              <w:right w:type="dxa" w:w="100"/>
            </w:tcMar>
          </w:tcPr>
          <w:p>
            <w:r>
              <w:rPr>
                <w:b w:val="false"/>
                <w:bCs w:val="false"/>
                <w:sz w:val="18"/>
                <w:szCs w:val="18"/>
              </w:rPr>
              <w:t xml:space="preserve">Expire idle sessions after a per-tenant timeout (default 15 minutes for clinical roles); re-authentication resumes in-progress work without data loss (autosaved state).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IAM-004</w:t>
            </w:r>
          </w:p>
        </w:tc>
        <w:tc>
          <w:tcPr>
            <w:tcW w:type="dxa" w:w="7250"/>
            <w:shd w:fill="EAF2F6" w:val="clear"/>
            <w:tcMar>
              <w:top w:type="dxa" w:w="60"/>
              <w:left w:type="dxa" w:w="100"/>
              <w:bottom w:type="dxa" w:w="60"/>
              <w:right w:type="dxa" w:w="100"/>
            </w:tcMar>
          </w:tcPr>
          <w:p>
            <w:r>
              <w:rPr>
                <w:b w:val="false"/>
                <w:bCs w:val="false"/>
                <w:sz w:val="18"/>
                <w:szCs w:val="18"/>
              </w:rPr>
              <w:t xml:space="preserve">Provide break-the-glass access to records outside a user's normal scope: mandatory reason capture before access, prominent UI banner during access, immediate audit event, and automatic notification to the Privacy Officer with a review workflow.</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IAM-005</w:t>
            </w:r>
          </w:p>
        </w:tc>
        <w:tc>
          <w:tcPr>
            <w:tcW w:type="dxa" w:w="7250"/>
            <w:tcMar>
              <w:top w:type="dxa" w:w="60"/>
              <w:left w:type="dxa" w:w="100"/>
              <w:bottom w:type="dxa" w:w="60"/>
              <w:right w:type="dxa" w:w="100"/>
            </w:tcMar>
          </w:tcPr>
          <w:p>
            <w:r>
              <w:rPr>
                <w:b w:val="false"/>
                <w:bCs w:val="false"/>
                <w:sz w:val="18"/>
                <w:szCs w:val="18"/>
              </w:rPr>
              <w:t xml:space="preserve">Support enterprise SSO federation (SAML 2.0 / OIDC) to a tenant's identity provider, with just-in-time user provisioning mapped to roles.</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IAM-006</w:t>
            </w:r>
          </w:p>
        </w:tc>
        <w:tc>
          <w:tcPr>
            <w:tcW w:type="dxa" w:w="7250"/>
            <w:shd w:fill="EAF2F6" w:val="clear"/>
            <w:tcMar>
              <w:top w:type="dxa" w:w="60"/>
              <w:left w:type="dxa" w:w="100"/>
              <w:bottom w:type="dxa" w:w="60"/>
              <w:right w:type="dxa" w:w="100"/>
            </w:tcMar>
          </w:tcPr>
          <w:p>
            <w:r>
              <w:rPr>
                <w:b w:val="false"/>
                <w:bCs w:val="false"/>
                <w:sz w:val="18"/>
                <w:szCs w:val="18"/>
              </w:rPr>
              <w:t xml:space="preserve">Issue OAuth 2.0 tenant-scoped tokens for all API access (authorization code with PKCE for user context; client credentials for system context); scopes align to FHIR resource types and actions.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IAM-007</w:t>
            </w:r>
          </w:p>
        </w:tc>
        <w:tc>
          <w:tcPr>
            <w:tcW w:type="dxa" w:w="7250"/>
            <w:tcMar>
              <w:top w:type="dxa" w:w="60"/>
              <w:left w:type="dxa" w:w="100"/>
              <w:bottom w:type="dxa" w:w="60"/>
              <w:right w:type="dxa" w:w="100"/>
            </w:tcMar>
          </w:tcPr>
          <w:p>
            <w:r>
              <w:rPr>
                <w:b w:val="false"/>
                <w:bCs w:val="false"/>
                <w:sz w:val="18"/>
                <w:szCs w:val="18"/>
              </w:rPr>
              <w:t xml:space="preserve">Enforce configurable password policy and progressive lockout on failed attempts; log all authentication successes and failures to the audit service.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IAM-008</w:t>
            </w:r>
          </w:p>
        </w:tc>
        <w:tc>
          <w:tcPr>
            <w:tcW w:type="dxa" w:w="7250"/>
            <w:shd w:fill="EAF2F6" w:val="clear"/>
            <w:tcMar>
              <w:top w:type="dxa" w:w="60"/>
              <w:left w:type="dxa" w:w="100"/>
              <w:bottom w:type="dxa" w:w="60"/>
              <w:right w:type="dxa" w:w="100"/>
            </w:tcMar>
          </w:tcPr>
          <w:p>
            <w:r>
              <w:rPr>
                <w:b w:val="false"/>
                <w:bCs w:val="false"/>
                <w:sz w:val="18"/>
                <w:szCs w:val="18"/>
              </w:rPr>
              <w:t xml:space="preserve">Deactivate users immediately platform-wide on tenant admin action; active sessions terminate within 60 seconds.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5. Patient Registration and MPI (REG)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REG-001</w:t>
            </w:r>
          </w:p>
        </w:tc>
        <w:tc>
          <w:tcPr>
            <w:tcW w:type="dxa" w:w="7250"/>
            <w:tcMar>
              <w:top w:type="dxa" w:w="60"/>
              <w:left w:type="dxa" w:w="100"/>
              <w:bottom w:type="dxa" w:w="60"/>
              <w:right w:type="dxa" w:w="100"/>
            </w:tcMar>
          </w:tcPr>
          <w:p>
            <w:r>
              <w:rPr>
                <w:b w:val="false"/>
                <w:bCs w:val="false"/>
                <w:sz w:val="18"/>
                <w:szCs w:val="18"/>
              </w:rPr>
              <w:t xml:space="preserve">Register a patient with demographics: legal and preferred names, date of birth, administrative sex and gender identity, national/insurance identifiers, phone(s), email, address, next of kin, and preferred language; field set and mandatory flags configurable per tenant.</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REG-002</w:t>
            </w:r>
          </w:p>
        </w:tc>
        <w:tc>
          <w:tcPr>
            <w:tcW w:type="dxa" w:w="7250"/>
            <w:shd w:fill="EAF2F6" w:val="clear"/>
            <w:tcMar>
              <w:top w:type="dxa" w:w="60"/>
              <w:left w:type="dxa" w:w="100"/>
              <w:bottom w:type="dxa" w:w="60"/>
              <w:right w:type="dxa" w:w="100"/>
            </w:tcMar>
          </w:tcPr>
          <w:p>
            <w:r>
              <w:rPr>
                <w:b w:val="false"/>
                <w:bCs w:val="false"/>
                <w:sz w:val="18"/>
                <w:szCs w:val="18"/>
              </w:rPr>
              <w:t xml:space="preserve">Validate identifier formats per region configuration (checksum where applicable) and enforce uniqueness of national ID within tenant, with an override path for verified exceptions (audited).</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REG-003</w:t>
            </w:r>
          </w:p>
        </w:tc>
        <w:tc>
          <w:tcPr>
            <w:tcW w:type="dxa" w:w="7250"/>
            <w:tcMar>
              <w:top w:type="dxa" w:w="60"/>
              <w:left w:type="dxa" w:w="100"/>
              <w:bottom w:type="dxa" w:w="60"/>
              <w:right w:type="dxa" w:w="100"/>
            </w:tcMar>
          </w:tcPr>
          <w:p>
            <w:r>
              <w:rPr>
                <w:b w:val="false"/>
                <w:bCs w:val="false"/>
                <w:sz w:val="18"/>
                <w:szCs w:val="18"/>
              </w:rPr>
              <w:t xml:space="preserve">On save, run duplicate detection combining deterministic (exact identifier) and probabilistic (name, DOB, sex, phone) matching; present ranked candidate matches with a similarity score before allowing creation of a new record.</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REG-004</w:t>
            </w:r>
          </w:p>
        </w:tc>
        <w:tc>
          <w:tcPr>
            <w:tcW w:type="dxa" w:w="7250"/>
            <w:shd w:fill="EAF2F6" w:val="clear"/>
            <w:tcMar>
              <w:top w:type="dxa" w:w="60"/>
              <w:left w:type="dxa" w:w="100"/>
              <w:bottom w:type="dxa" w:w="60"/>
              <w:right w:type="dxa" w:w="100"/>
            </w:tcMar>
          </w:tcPr>
          <w:p>
            <w:r>
              <w:rPr>
                <w:b w:val="false"/>
                <w:bCs w:val="false"/>
                <w:sz w:val="18"/>
                <w:szCs w:val="18"/>
              </w:rPr>
              <w:t xml:space="preserve">Merge two patient records with field-level survivorship selection, repointing of all clinical and financial child records, an unmerge capability restoring the prior state, and full audit of both operations.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REG-005</w:t>
            </w:r>
          </w:p>
        </w:tc>
        <w:tc>
          <w:tcPr>
            <w:tcW w:type="dxa" w:w="7250"/>
            <w:tcMar>
              <w:top w:type="dxa" w:w="60"/>
              <w:left w:type="dxa" w:w="100"/>
              <w:bottom w:type="dxa" w:w="60"/>
              <w:right w:type="dxa" w:w="100"/>
            </w:tcMar>
          </w:tcPr>
          <w:p>
            <w:r>
              <w:rPr>
                <w:b w:val="false"/>
                <w:bCs w:val="false"/>
                <w:sz w:val="18"/>
                <w:szCs w:val="18"/>
              </w:rPr>
              <w:t xml:space="preserve">Search patients by any combination of name (phonetic/fuzzy), identifier, date of birth, and phone; return results in under 2 seconds at the data volumes in the NFR specification.</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REG-006</w:t>
            </w:r>
          </w:p>
        </w:tc>
        <w:tc>
          <w:tcPr>
            <w:tcW w:type="dxa" w:w="7250"/>
            <w:shd w:fill="EAF2F6" w:val="clear"/>
            <w:tcMar>
              <w:top w:type="dxa" w:w="60"/>
              <w:left w:type="dxa" w:w="100"/>
              <w:bottom w:type="dxa" w:w="60"/>
              <w:right w:type="dxa" w:w="100"/>
            </w:tcMar>
          </w:tcPr>
          <w:p>
            <w:r>
              <w:rPr>
                <w:b w:val="false"/>
                <w:bCs w:val="false"/>
                <w:sz w:val="18"/>
                <w:szCs w:val="18"/>
              </w:rPr>
              <w:t xml:space="preserve">Capture and store scans/photos of identity and insurance documents against the patient record (file types and size limits configurable).</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REG-007</w:t>
            </w:r>
          </w:p>
        </w:tc>
        <w:tc>
          <w:tcPr>
            <w:tcW w:type="dxa" w:w="7250"/>
            <w:tcMar>
              <w:top w:type="dxa" w:w="60"/>
              <w:left w:type="dxa" w:w="100"/>
              <w:bottom w:type="dxa" w:w="60"/>
              <w:right w:type="dxa" w:w="100"/>
            </w:tcMar>
          </w:tcPr>
          <w:p>
            <w:r>
              <w:rPr>
                <w:b w:val="false"/>
                <w:bCs w:val="false"/>
                <w:sz w:val="18"/>
                <w:szCs w:val="18"/>
              </w:rPr>
              <w:t xml:space="preserve">Capture registration consents per PLT-010 with support for digital signature on a tablet/touch device.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REG-008</w:t>
            </w:r>
          </w:p>
        </w:tc>
        <w:tc>
          <w:tcPr>
            <w:tcW w:type="dxa" w:w="7250"/>
            <w:shd w:fill="EAF2F6" w:val="clear"/>
            <w:tcMar>
              <w:top w:type="dxa" w:w="60"/>
              <w:left w:type="dxa" w:w="100"/>
              <w:bottom w:type="dxa" w:w="60"/>
              <w:right w:type="dxa" w:w="100"/>
            </w:tcMar>
          </w:tcPr>
          <w:p>
            <w:r>
              <w:rPr>
                <w:b w:val="false"/>
                <w:bCs w:val="false"/>
                <w:sz w:val="18"/>
                <w:szCs w:val="18"/>
              </w:rPr>
              <w:t xml:space="preserve">Support portal pre-registration: patient-submitted demographics enter a verification queue and are matched/merged into the MPI by front-desk staff before becoming an active record.</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REG-009</w:t>
            </w:r>
          </w:p>
        </w:tc>
        <w:tc>
          <w:tcPr>
            <w:tcW w:type="dxa" w:w="7250"/>
            <w:tcMar>
              <w:top w:type="dxa" w:w="60"/>
              <w:left w:type="dxa" w:w="100"/>
              <w:bottom w:type="dxa" w:w="60"/>
              <w:right w:type="dxa" w:w="100"/>
            </w:tcMar>
          </w:tcPr>
          <w:p>
            <w:r>
              <w:rPr>
                <w:b w:val="false"/>
                <w:bCs w:val="false"/>
                <w:sz w:val="18"/>
                <w:szCs w:val="18"/>
              </w:rPr>
              <w:t xml:space="preserve">Expose patient demographics as FHIR Patient resources; every registration create/update emits a patient.updated event on the platform event bus.</w:t>
            </w:r>
          </w:p>
        </w:tc>
        <w:tc>
          <w:tcPr>
            <w:tcW w:type="dxa" w:w="960"/>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6. Scheduling and Front Desk (SCH)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SCH-001</w:t>
            </w:r>
          </w:p>
        </w:tc>
        <w:tc>
          <w:tcPr>
            <w:tcW w:type="dxa" w:w="7250"/>
            <w:tcMar>
              <w:top w:type="dxa" w:w="60"/>
              <w:left w:type="dxa" w:w="100"/>
              <w:bottom w:type="dxa" w:w="60"/>
              <w:right w:type="dxa" w:w="100"/>
            </w:tcMar>
          </w:tcPr>
          <w:p>
            <w:r>
              <w:rPr>
                <w:b w:val="false"/>
                <w:bCs w:val="false"/>
                <w:sz w:val="18"/>
                <w:szCs w:val="18"/>
              </w:rPr>
              <w:t xml:space="preserve">Model practitioners, sites, rooms, services, and visit types with durations; tenant admins define recurring availability templates with exceptions (leave, holidays, blocked time).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SCH-002</w:t>
            </w:r>
          </w:p>
        </w:tc>
        <w:tc>
          <w:tcPr>
            <w:tcW w:type="dxa" w:w="7250"/>
            <w:shd w:fill="EAF2F6" w:val="clear"/>
            <w:tcMar>
              <w:top w:type="dxa" w:w="60"/>
              <w:left w:type="dxa" w:w="100"/>
              <w:bottom w:type="dxa" w:w="60"/>
              <w:right w:type="dxa" w:w="100"/>
            </w:tcMar>
          </w:tcPr>
          <w:p>
            <w:r>
              <w:rPr>
                <w:b w:val="false"/>
                <w:bCs w:val="false"/>
                <w:sz w:val="18"/>
                <w:szCs w:val="18"/>
              </w:rPr>
              <w:t xml:space="preserve">Book, reschedule, and cancel appointments with hard conflict detection on practitioner, room, and patient; per-tenant rules for overbooking limits and cancellation reasons.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SCH-003</w:t>
            </w:r>
          </w:p>
        </w:tc>
        <w:tc>
          <w:tcPr>
            <w:tcW w:type="dxa" w:w="7250"/>
            <w:tcMar>
              <w:top w:type="dxa" w:w="60"/>
              <w:left w:type="dxa" w:w="100"/>
              <w:bottom w:type="dxa" w:w="60"/>
              <w:right w:type="dxa" w:w="100"/>
            </w:tcMar>
          </w:tcPr>
          <w:p>
            <w:r>
              <w:rPr>
                <w:b w:val="false"/>
                <w:bCs w:val="false"/>
                <w:sz w:val="18"/>
                <w:szCs w:val="18"/>
              </w:rPr>
              <w:t xml:space="preserve">Provide day and week calendar views per practitioner and per site with drag-and-drop rescheduling honoring all booking rules.</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SCH-004</w:t>
            </w:r>
          </w:p>
        </w:tc>
        <w:tc>
          <w:tcPr>
            <w:tcW w:type="dxa" w:w="7250"/>
            <w:shd w:fill="EAF2F6" w:val="clear"/>
            <w:tcMar>
              <w:top w:type="dxa" w:w="60"/>
              <w:left w:type="dxa" w:w="100"/>
              <w:bottom w:type="dxa" w:w="60"/>
              <w:right w:type="dxa" w:w="100"/>
            </w:tcMar>
          </w:tcPr>
          <w:p>
            <w:r>
              <w:rPr>
                <w:b w:val="false"/>
                <w:bCs w:val="false"/>
                <w:sz w:val="18"/>
                <w:szCs w:val="18"/>
              </w:rPr>
              <w:t xml:space="preserve">Find the earliest available slot across selected practitioners for a given service and present the top options within 2 seconds.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SCH-005</w:t>
            </w:r>
          </w:p>
        </w:tc>
        <w:tc>
          <w:tcPr>
            <w:tcW w:type="dxa" w:w="7250"/>
            <w:tcMar>
              <w:top w:type="dxa" w:w="60"/>
              <w:left w:type="dxa" w:w="100"/>
              <w:bottom w:type="dxa" w:w="60"/>
              <w:right w:type="dxa" w:w="100"/>
            </w:tcMar>
          </w:tcPr>
          <w:p>
            <w:r>
              <w:rPr>
                <w:b w:val="false"/>
                <w:bCs w:val="false"/>
                <w:sz w:val="18"/>
                <w:szCs w:val="18"/>
              </w:rPr>
              <w:t xml:space="preserve">Manage a walk-in queue: check-in (booked or walk-in), ordered queue per clinic, and patient status progression (arrived, waiting, in consultation, completed) visible to clinical users in real time.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SCH-006</w:t>
            </w:r>
          </w:p>
        </w:tc>
        <w:tc>
          <w:tcPr>
            <w:tcW w:type="dxa" w:w="7250"/>
            <w:shd w:fill="EAF2F6" w:val="clear"/>
            <w:tcMar>
              <w:top w:type="dxa" w:w="60"/>
              <w:left w:type="dxa" w:w="100"/>
              <w:bottom w:type="dxa" w:w="60"/>
              <w:right w:type="dxa" w:w="100"/>
            </w:tcMar>
          </w:tcPr>
          <w:p>
            <w:r>
              <w:rPr>
                <w:b w:val="false"/>
                <w:bCs w:val="false"/>
                <w:sz w:val="18"/>
                <w:szCs w:val="18"/>
              </w:rPr>
              <w:t xml:space="preserve">Send automated appointment reminders via the notification service at configurable offsets (e.g., 72 h and 24 h) containing confirm/cancel links that update appointment status and are audited.</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SCH-007</w:t>
            </w:r>
          </w:p>
        </w:tc>
        <w:tc>
          <w:tcPr>
            <w:tcW w:type="dxa" w:w="7250"/>
            <w:tcMar>
              <w:top w:type="dxa" w:w="60"/>
              <w:left w:type="dxa" w:w="100"/>
              <w:bottom w:type="dxa" w:w="60"/>
              <w:right w:type="dxa" w:w="100"/>
            </w:tcMar>
          </w:tcPr>
          <w:p>
            <w:r>
              <w:rPr>
                <w:b w:val="false"/>
                <w:bCs w:val="false"/>
                <w:sz w:val="18"/>
                <w:szCs w:val="18"/>
              </w:rPr>
              <w:t xml:space="preserve">Record no-shows automatically at a configurable time after the slot ends if not checked in, with reason capture on later amendment; feed no-show data to reporting.</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SCH-008</w:t>
            </w:r>
          </w:p>
        </w:tc>
        <w:tc>
          <w:tcPr>
            <w:tcW w:type="dxa" w:w="7250"/>
            <w:shd w:fill="EAF2F6" w:val="clear"/>
            <w:tcMar>
              <w:top w:type="dxa" w:w="60"/>
              <w:left w:type="dxa" w:w="100"/>
              <w:bottom w:type="dxa" w:w="60"/>
              <w:right w:type="dxa" w:w="100"/>
            </w:tcMar>
          </w:tcPr>
          <w:p>
            <w:r>
              <w:rPr>
                <w:b w:val="false"/>
                <w:bCs w:val="false"/>
                <w:sz w:val="18"/>
                <w:szCs w:val="18"/>
              </w:rPr>
              <w:t xml:space="preserve">Maintain a waitlist per service; on cancellation, notify the top waitlisted patients (configurable count) with a time-boxed booking link.</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SCH-009</w:t>
            </w:r>
          </w:p>
        </w:tc>
        <w:tc>
          <w:tcPr>
            <w:tcW w:type="dxa" w:w="7250"/>
            <w:tcMar>
              <w:top w:type="dxa" w:w="60"/>
              <w:left w:type="dxa" w:w="100"/>
              <w:bottom w:type="dxa" w:w="60"/>
              <w:right w:type="dxa" w:w="100"/>
            </w:tcMar>
          </w:tcPr>
          <w:p>
            <w:r>
              <w:rPr>
                <w:b w:val="false"/>
                <w:bCs w:val="false"/>
                <w:sz w:val="18"/>
                <w:szCs w:val="18"/>
              </w:rPr>
              <w:t xml:space="preserve">Support recurring appointment series with per-occurrence exceptions.</w:t>
            </w:r>
          </w:p>
        </w:tc>
        <w:tc>
          <w:tcPr>
            <w:tcW w:type="dxa" w:w="960"/>
            <w:tcMar>
              <w:top w:type="dxa" w:w="60"/>
              <w:left w:type="dxa" w:w="100"/>
              <w:bottom w:type="dxa" w:w="60"/>
              <w:right w:type="dxa" w:w="100"/>
            </w:tcMar>
          </w:tcPr>
          <w:p>
            <w:r>
              <w:rPr>
                <w:b w:val="false"/>
                <w:bCs w:val="false"/>
                <w:sz w:val="18"/>
                <w:szCs w:val="18"/>
              </w:rPr>
              <w:t xml:space="preserve">C</w:t>
            </w:r>
          </w:p>
        </w:tc>
      </w:tr>
      <w:tr>
        <w:tc>
          <w:tcPr>
            <w:tcW w:type="dxa" w:w="1150"/>
            <w:shd w:fill="EAF2F6" w:val="clear"/>
            <w:tcMar>
              <w:top w:type="dxa" w:w="60"/>
              <w:left w:type="dxa" w:w="100"/>
              <w:bottom w:type="dxa" w:w="60"/>
              <w:right w:type="dxa" w:w="100"/>
            </w:tcMar>
          </w:tcPr>
          <w:p>
            <w:r>
              <w:rPr>
                <w:b w:val="false"/>
                <w:bCs w:val="false"/>
                <w:sz w:val="18"/>
                <w:szCs w:val="18"/>
              </w:rPr>
              <w:t xml:space="preserve">SCH-010</w:t>
            </w:r>
          </w:p>
        </w:tc>
        <w:tc>
          <w:tcPr>
            <w:tcW w:type="dxa" w:w="7250"/>
            <w:shd w:fill="EAF2F6" w:val="clear"/>
            <w:tcMar>
              <w:top w:type="dxa" w:w="60"/>
              <w:left w:type="dxa" w:w="100"/>
              <w:bottom w:type="dxa" w:w="60"/>
              <w:right w:type="dxa" w:w="100"/>
            </w:tcMar>
          </w:tcPr>
          <w:p>
            <w:r>
              <w:rPr>
                <w:b w:val="false"/>
                <w:bCs w:val="false"/>
                <w:sz w:val="18"/>
                <w:szCs w:val="18"/>
              </w:rPr>
              <w:t xml:space="preserve">Expose scheduling as FHIR Schedule, Slot, and Appointment resources; emit appointment.created / .updated / .cancelled events on the bus.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7. Outpatient Clinical Record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EMR-001</w:t>
            </w:r>
          </w:p>
        </w:tc>
        <w:tc>
          <w:tcPr>
            <w:tcW w:type="dxa" w:w="7250"/>
            <w:tcMar>
              <w:top w:type="dxa" w:w="60"/>
              <w:left w:type="dxa" w:w="100"/>
              <w:bottom w:type="dxa" w:w="60"/>
              <w:right w:type="dxa" w:w="100"/>
            </w:tcMar>
          </w:tcPr>
          <w:p>
            <w:r>
              <w:rPr>
                <w:b w:val="false"/>
                <w:bCs w:val="false"/>
                <w:sz w:val="18"/>
                <w:szCs w:val="18"/>
              </w:rPr>
              <w:t xml:space="preserve">Create an encounter from a checked-in appointment or walk-in, linked to patient, practitioner, site, and visit type; encounters progress through open, in-documentation, signed, and amended states.</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EMR-002</w:t>
            </w:r>
          </w:p>
        </w:tc>
        <w:tc>
          <w:tcPr>
            <w:tcW w:type="dxa" w:w="7250"/>
            <w:shd w:fill="EAF2F6" w:val="clear"/>
            <w:tcMar>
              <w:top w:type="dxa" w:w="60"/>
              <w:left w:type="dxa" w:w="100"/>
              <w:bottom w:type="dxa" w:w="60"/>
              <w:right w:type="dxa" w:w="100"/>
            </w:tcMar>
          </w:tcPr>
          <w:p>
            <w:r>
              <w:rPr>
                <w:b w:val="false"/>
                <w:bCs w:val="false"/>
                <w:sz w:val="18"/>
                <w:szCs w:val="18"/>
              </w:rPr>
              <w:t xml:space="preserve">Provide clinical note capture using per-specialty templates composed of structured fields and rich text sections; templates are tenant-configurable from a shipped library; notes autosave at most every 10 seconds and are versioned.</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EMR-003</w:t>
            </w:r>
          </w:p>
        </w:tc>
        <w:tc>
          <w:tcPr>
            <w:tcW w:type="dxa" w:w="7250"/>
            <w:tcMar>
              <w:top w:type="dxa" w:w="60"/>
              <w:left w:type="dxa" w:w="100"/>
              <w:bottom w:type="dxa" w:w="60"/>
              <w:right w:type="dxa" w:w="100"/>
            </w:tcMar>
          </w:tcPr>
          <w:p>
            <w:r>
              <w:rPr>
                <w:b w:val="false"/>
                <w:bCs w:val="false"/>
                <w:sz w:val="18"/>
                <w:szCs w:val="18"/>
              </w:rPr>
              <w:t xml:space="preserve">Require sign-off to finalize a note: signed content becomes immutable; later changes are addenda that display with author and timestamp alongside the original.</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EMR-004</w:t>
            </w:r>
          </w:p>
        </w:tc>
        <w:tc>
          <w:tcPr>
            <w:tcW w:type="dxa" w:w="7250"/>
            <w:shd w:fill="EAF2F6" w:val="clear"/>
            <w:tcMar>
              <w:top w:type="dxa" w:w="60"/>
              <w:left w:type="dxa" w:w="100"/>
              <w:bottom w:type="dxa" w:w="60"/>
              <w:right w:type="dxa" w:w="100"/>
            </w:tcMar>
          </w:tcPr>
          <w:p>
            <w:r>
              <w:rPr>
                <w:b w:val="false"/>
                <w:bCs w:val="false"/>
                <w:sz w:val="18"/>
                <w:szCs w:val="18"/>
              </w:rPr>
              <w:t xml:space="preserve">Maintain a coded problem list (ICD-10 and SNOMED CT search) with onset/resolution dates and active/resolved status, editable by clinical users and visible across encounters.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EMR-005</w:t>
            </w:r>
          </w:p>
        </w:tc>
        <w:tc>
          <w:tcPr>
            <w:tcW w:type="dxa" w:w="7250"/>
            <w:tcMar>
              <w:top w:type="dxa" w:w="60"/>
              <w:left w:type="dxa" w:w="100"/>
              <w:bottom w:type="dxa" w:w="60"/>
              <w:right w:type="dxa" w:w="100"/>
            </w:tcMar>
          </w:tcPr>
          <w:p>
            <w:r>
              <w:rPr>
                <w:b w:val="false"/>
                <w:bCs w:val="false"/>
                <w:sz w:val="18"/>
                <w:szCs w:val="18"/>
              </w:rPr>
              <w:t xml:space="preserve">Maintain an allergy and intolerance list (coded substance, reaction, severity, criticality) with an explicit 'no known allergies' assertion; display an allergy banner on every clinical screen for the patient; block closing a first encounter until allergy status is asserted.</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EMR-006</w:t>
            </w:r>
          </w:p>
        </w:tc>
        <w:tc>
          <w:tcPr>
            <w:tcW w:type="dxa" w:w="7250"/>
            <w:shd w:fill="EAF2F6" w:val="clear"/>
            <w:tcMar>
              <w:top w:type="dxa" w:w="60"/>
              <w:left w:type="dxa" w:w="100"/>
              <w:bottom w:type="dxa" w:w="60"/>
              <w:right w:type="dxa" w:w="100"/>
            </w:tcMar>
          </w:tcPr>
          <w:p>
            <w:r>
              <w:rPr>
                <w:b w:val="false"/>
                <w:bCs w:val="false"/>
                <w:sz w:val="18"/>
                <w:szCs w:val="18"/>
              </w:rPr>
              <w:t xml:space="preserve">Maintain a current medication list (active and historical, including externally reported medicines); prompt medication reconciliation at encounter start with one-click confirm/update.</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EMR-007</w:t>
            </w:r>
          </w:p>
        </w:tc>
        <w:tc>
          <w:tcPr>
            <w:tcW w:type="dxa" w:w="7250"/>
            <w:tcMar>
              <w:top w:type="dxa" w:w="60"/>
              <w:left w:type="dxa" w:w="100"/>
              <w:bottom w:type="dxa" w:w="60"/>
              <w:right w:type="dxa" w:w="100"/>
            </w:tcMar>
          </w:tcPr>
          <w:p>
            <w:r>
              <w:rPr>
                <w:b w:val="false"/>
                <w:bCs w:val="false"/>
                <w:sz w:val="18"/>
                <w:szCs w:val="18"/>
              </w:rPr>
              <w:t xml:space="preserve">Capture vital signs with unit validation and configurable reference ranges; flag out-of-range values visually; display trends as table and graph across encounters.</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EMR-008</w:t>
            </w:r>
          </w:p>
        </w:tc>
        <w:tc>
          <w:tcPr>
            <w:tcW w:type="dxa" w:w="7250"/>
            <w:shd w:fill="EAF2F6" w:val="clear"/>
            <w:tcMar>
              <w:top w:type="dxa" w:w="60"/>
              <w:left w:type="dxa" w:w="100"/>
              <w:bottom w:type="dxa" w:w="60"/>
              <w:right w:type="dxa" w:w="100"/>
            </w:tcMar>
          </w:tcPr>
          <w:p>
            <w:r>
              <w:rPr>
                <w:b w:val="false"/>
                <w:bCs w:val="false"/>
                <w:sz w:val="18"/>
                <w:szCs w:val="18"/>
              </w:rPr>
              <w:t xml:space="preserve">Require at least one coded diagnosis (ICD-10) per encounter before sign-off (configurable per visit type); support primary/secondary designation feeding billing and reporting.</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EMR-009</w:t>
            </w:r>
          </w:p>
        </w:tc>
        <w:tc>
          <w:tcPr>
            <w:tcW w:type="dxa" w:w="7250"/>
            <w:tcMar>
              <w:top w:type="dxa" w:w="60"/>
              <w:left w:type="dxa" w:w="100"/>
              <w:bottom w:type="dxa" w:w="60"/>
              <w:right w:type="dxa" w:w="100"/>
            </w:tcMar>
          </w:tcPr>
          <w:p>
            <w:r>
              <w:rPr>
                <w:b w:val="false"/>
                <w:bCs w:val="false"/>
                <w:sz w:val="18"/>
                <w:szCs w:val="18"/>
              </w:rPr>
              <w:t xml:space="preserve">Attach documents (PDF, images) to an encounter or the patient record with type labels; size and format limits configurable.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EMR-010</w:t>
            </w:r>
          </w:p>
        </w:tc>
        <w:tc>
          <w:tcPr>
            <w:tcW w:type="dxa" w:w="7250"/>
            <w:shd w:fill="EAF2F6" w:val="clear"/>
            <w:tcMar>
              <w:top w:type="dxa" w:w="60"/>
              <w:left w:type="dxa" w:w="100"/>
              <w:bottom w:type="dxa" w:w="60"/>
              <w:right w:type="dxa" w:w="100"/>
            </w:tcMar>
          </w:tcPr>
          <w:p>
            <w:r>
              <w:rPr>
                <w:b w:val="false"/>
                <w:bCs w:val="false"/>
                <w:sz w:val="18"/>
                <w:szCs w:val="18"/>
              </w:rPr>
              <w:t xml:space="preserve">Render a patient summary screen — demographics, allergies, problems, medications, recent vitals, recent results, encounter timeline — loading in under 3 seconds and printable as a single document.</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EMR-011</w:t>
            </w:r>
          </w:p>
        </w:tc>
        <w:tc>
          <w:tcPr>
            <w:tcW w:type="dxa" w:w="7250"/>
            <w:tcMar>
              <w:top w:type="dxa" w:w="60"/>
              <w:left w:type="dxa" w:w="100"/>
              <w:bottom w:type="dxa" w:w="60"/>
              <w:right w:type="dxa" w:w="100"/>
            </w:tcMar>
          </w:tcPr>
          <w:p>
            <w:r>
              <w:rPr>
                <w:b w:val="false"/>
                <w:bCs w:val="false"/>
                <w:sz w:val="18"/>
                <w:szCs w:val="18"/>
              </w:rPr>
              <w:t xml:space="preserve">Generate encounter notes and summaries as PDF with tenant letterhead for printing and portal sharing.</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EMR-012</w:t>
            </w:r>
          </w:p>
        </w:tc>
        <w:tc>
          <w:tcPr>
            <w:tcW w:type="dxa" w:w="7250"/>
            <w:shd w:fill="EAF2F6" w:val="clear"/>
            <w:tcMar>
              <w:top w:type="dxa" w:w="60"/>
              <w:left w:type="dxa" w:w="100"/>
              <w:bottom w:type="dxa" w:w="60"/>
              <w:right w:type="dxa" w:w="100"/>
            </w:tcMar>
          </w:tcPr>
          <w:p>
            <w:r>
              <w:rPr>
                <w:b w:val="false"/>
                <w:bCs w:val="false"/>
                <w:sz w:val="18"/>
                <w:szCs w:val="18"/>
              </w:rPr>
              <w:t xml:space="preserve">Persist all clinical content as FHIR resources (Encounter, Condition, AllergyIntolerance, MedicationStatement, Observation, DocumentReference) retrievable via the public API with appropriate scopes.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8. Prescribing (RX)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RX-001</w:t>
            </w:r>
          </w:p>
        </w:tc>
        <w:tc>
          <w:tcPr>
            <w:tcW w:type="dxa" w:w="7250"/>
            <w:tcMar>
              <w:top w:type="dxa" w:w="60"/>
              <w:left w:type="dxa" w:w="100"/>
              <w:bottom w:type="dxa" w:w="60"/>
              <w:right w:type="dxa" w:w="100"/>
            </w:tcMar>
          </w:tcPr>
          <w:p>
            <w:r>
              <w:rPr>
                <w:b w:val="false"/>
                <w:bCs w:val="false"/>
                <w:sz w:val="18"/>
                <w:szCs w:val="18"/>
              </w:rPr>
              <w:t xml:space="preserve">Provide a per-region medication catalog (generic and brand, form, strength) seeded from a licensed drug database and searchable by partial name in under 1 second; tenant admins may curate a local formulary subset.</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RX-002</w:t>
            </w:r>
          </w:p>
        </w:tc>
        <w:tc>
          <w:tcPr>
            <w:tcW w:type="dxa" w:w="7250"/>
            <w:shd w:fill="EAF2F6" w:val="clear"/>
            <w:tcMar>
              <w:top w:type="dxa" w:w="60"/>
              <w:left w:type="dxa" w:w="100"/>
              <w:bottom w:type="dxa" w:w="60"/>
              <w:right w:type="dxa" w:w="100"/>
            </w:tcMar>
          </w:tcPr>
          <w:p>
            <w:r>
              <w:rPr>
                <w:b w:val="false"/>
                <w:bCs w:val="false"/>
                <w:sz w:val="18"/>
                <w:szCs w:val="18"/>
              </w:rPr>
              <w:t xml:space="preserve">Compose a prescription with structured sig (dose, unit, route, frequency, duration, PRN flag, quantity, refills) and free-text instructions; incomplete structured fields block signing.</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RX-003</w:t>
            </w:r>
          </w:p>
        </w:tc>
        <w:tc>
          <w:tcPr>
            <w:tcW w:type="dxa" w:w="7250"/>
            <w:tcMar>
              <w:top w:type="dxa" w:w="60"/>
              <w:left w:type="dxa" w:w="100"/>
              <w:bottom w:type="dxa" w:w="60"/>
              <w:right w:type="dxa" w:w="100"/>
            </w:tcMar>
          </w:tcPr>
          <w:p>
            <w:r>
              <w:rPr>
                <w:b w:val="false"/>
                <w:bCs w:val="false"/>
                <w:sz w:val="18"/>
                <w:szCs w:val="18"/>
              </w:rPr>
              <w:t xml:space="preserve">At signing, run drug–drug interaction, drug–allergy, and duplicate-therapy checks against the active medication and allergy lists; present severity-graded alerts; overriding a high-severity alert requires a coded reason and is audited and reportable.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RX-004</w:t>
            </w:r>
          </w:p>
        </w:tc>
        <w:tc>
          <w:tcPr>
            <w:tcW w:type="dxa" w:w="7250"/>
            <w:shd w:fill="EAF2F6" w:val="clear"/>
            <w:tcMar>
              <w:top w:type="dxa" w:w="60"/>
              <w:left w:type="dxa" w:w="100"/>
              <w:bottom w:type="dxa" w:w="60"/>
              <w:right w:type="dxa" w:w="100"/>
            </w:tcMar>
          </w:tcPr>
          <w:p>
            <w:r>
              <w:rPr>
                <w:b w:val="false"/>
                <w:bCs w:val="false"/>
                <w:sz w:val="18"/>
                <w:szCs w:val="18"/>
              </w:rPr>
              <w:t xml:space="preserve">Perform dose-range checks using patient age and weight where available, flagging pediatric and out-of-range doses as high-severity alerts.</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RX-005</w:t>
            </w:r>
          </w:p>
        </w:tc>
        <w:tc>
          <w:tcPr>
            <w:tcW w:type="dxa" w:w="7250"/>
            <w:tcMar>
              <w:top w:type="dxa" w:w="60"/>
              <w:left w:type="dxa" w:w="100"/>
              <w:bottom w:type="dxa" w:w="60"/>
              <w:right w:type="dxa" w:w="100"/>
            </w:tcMar>
          </w:tcPr>
          <w:p>
            <w:r>
              <w:rPr>
                <w:b w:val="false"/>
                <w:bCs w:val="false"/>
                <w:sz w:val="18"/>
                <w:szCs w:val="18"/>
              </w:rPr>
              <w:t xml:space="preserve">Output prescriptions as printed/PDF documents meeting regional legal content requirements, and transmit electronically where a regional e-Rx connector is configured (connector interface per INT module).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RX-006</w:t>
            </w:r>
          </w:p>
        </w:tc>
        <w:tc>
          <w:tcPr>
            <w:tcW w:type="dxa" w:w="7250"/>
            <w:shd w:fill="EAF2F6" w:val="clear"/>
            <w:tcMar>
              <w:top w:type="dxa" w:w="60"/>
              <w:left w:type="dxa" w:w="100"/>
              <w:bottom w:type="dxa" w:w="60"/>
              <w:right w:type="dxa" w:w="100"/>
            </w:tcMar>
          </w:tcPr>
          <w:p>
            <w:r>
              <w:rPr>
                <w:b w:val="false"/>
                <w:bCs w:val="false"/>
                <w:sz w:val="18"/>
                <w:szCs w:val="18"/>
              </w:rPr>
              <w:t xml:space="preserve">Support renewal of an existing medication from the active list, carrying forward and allowing edit of the prior sig.</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RX-007</w:t>
            </w:r>
          </w:p>
        </w:tc>
        <w:tc>
          <w:tcPr>
            <w:tcW w:type="dxa" w:w="7250"/>
            <w:tcMar>
              <w:top w:type="dxa" w:w="60"/>
              <w:left w:type="dxa" w:w="100"/>
              <w:bottom w:type="dxa" w:w="60"/>
              <w:right w:type="dxa" w:w="100"/>
            </w:tcMar>
          </w:tcPr>
          <w:p>
            <w:r>
              <w:rPr>
                <w:b w:val="false"/>
                <w:bCs w:val="false"/>
                <w:sz w:val="18"/>
                <w:szCs w:val="18"/>
              </w:rPr>
              <w:t xml:space="preserve">Allow prescribers to save personal and tenant-level favorites (single drugs and small order sets) for one-click reuse.</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RX-008</w:t>
            </w:r>
          </w:p>
        </w:tc>
        <w:tc>
          <w:tcPr>
            <w:tcW w:type="dxa" w:w="7250"/>
            <w:shd w:fill="EAF2F6" w:val="clear"/>
            <w:tcMar>
              <w:top w:type="dxa" w:w="60"/>
              <w:left w:type="dxa" w:w="100"/>
              <w:bottom w:type="dxa" w:w="60"/>
              <w:right w:type="dxa" w:w="100"/>
            </w:tcMar>
          </w:tcPr>
          <w:p>
            <w:r>
              <w:rPr>
                <w:b w:val="false"/>
                <w:bCs w:val="false"/>
                <w:sz w:val="18"/>
                <w:szCs w:val="18"/>
              </w:rPr>
              <w:t xml:space="preserve">Represent prescriptions as FHIR MedicationRequest resources; emit medicationrequest.signed events.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9. Orders and Laboratory Results (ORD)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ORD-001</w:t>
            </w:r>
          </w:p>
        </w:tc>
        <w:tc>
          <w:tcPr>
            <w:tcW w:type="dxa" w:w="7250"/>
            <w:tcMar>
              <w:top w:type="dxa" w:w="60"/>
              <w:left w:type="dxa" w:w="100"/>
              <w:bottom w:type="dxa" w:w="60"/>
              <w:right w:type="dxa" w:w="100"/>
            </w:tcMar>
          </w:tcPr>
          <w:p>
            <w:r>
              <w:rPr>
                <w:b w:val="false"/>
                <w:bCs w:val="false"/>
                <w:sz w:val="18"/>
                <w:szCs w:val="18"/>
              </w:rPr>
              <w:t xml:space="preserve">Order laboratory tests from a tenant catalog mapped to LOINC, showing specimen and preparation requirements; support multi-test panels and order priority (routine/urgent).</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ORD-002</w:t>
            </w:r>
          </w:p>
        </w:tc>
        <w:tc>
          <w:tcPr>
            <w:tcW w:type="dxa" w:w="7250"/>
            <w:shd w:fill="EAF2F6" w:val="clear"/>
            <w:tcMar>
              <w:top w:type="dxa" w:w="60"/>
              <w:left w:type="dxa" w:w="100"/>
              <w:bottom w:type="dxa" w:w="60"/>
              <w:right w:type="dxa" w:w="100"/>
            </w:tcMar>
          </w:tcPr>
          <w:p>
            <w:r>
              <w:rPr>
                <w:b w:val="false"/>
                <w:bCs w:val="false"/>
                <w:sz w:val="18"/>
                <w:szCs w:val="18"/>
              </w:rPr>
              <w:t xml:space="preserve">Transmit orders to the connected LIS through the integration hub (HL7 v2 ORM or FHIR ServiceRequest per connector); display transmission status and errors to the ordering user and Lab Liaison.</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ORD-003</w:t>
            </w:r>
          </w:p>
        </w:tc>
        <w:tc>
          <w:tcPr>
            <w:tcW w:type="dxa" w:w="7250"/>
            <w:tcMar>
              <w:top w:type="dxa" w:w="60"/>
              <w:left w:type="dxa" w:w="100"/>
              <w:bottom w:type="dxa" w:w="60"/>
              <w:right w:type="dxa" w:w="100"/>
            </w:tcMar>
          </w:tcPr>
          <w:p>
            <w:r>
              <w:rPr>
                <w:b w:val="false"/>
                <w:bCs w:val="false"/>
                <w:sz w:val="18"/>
                <w:szCs w:val="18"/>
              </w:rPr>
              <w:t xml:space="preserve">Ingest results (HL7 v2 ORU or FHIR DiagnosticReport/Observation), matching on order and patient identifiers; route unmatched or partially matched results to a resolution queue with tooling to search, match, or reject (all actions audited).</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ORD-004</w:t>
            </w:r>
          </w:p>
        </w:tc>
        <w:tc>
          <w:tcPr>
            <w:tcW w:type="dxa" w:w="7250"/>
            <w:shd w:fill="EAF2F6" w:val="clear"/>
            <w:tcMar>
              <w:top w:type="dxa" w:w="60"/>
              <w:left w:type="dxa" w:w="100"/>
              <w:bottom w:type="dxa" w:w="60"/>
              <w:right w:type="dxa" w:w="100"/>
            </w:tcMar>
          </w:tcPr>
          <w:p>
            <w:r>
              <w:rPr>
                <w:b w:val="false"/>
                <w:bCs w:val="false"/>
                <w:sz w:val="18"/>
                <w:szCs w:val="18"/>
              </w:rPr>
              <w:t xml:space="preserve">Deliver results to a per-clinician review inbox with abnormal and critical flags from the source or reference ranges; acknowledging a result is recorded; critical results unacknowledged after a configurable interval escalate via the notification service to a designated role.</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ORD-005</w:t>
            </w:r>
          </w:p>
        </w:tc>
        <w:tc>
          <w:tcPr>
            <w:tcW w:type="dxa" w:w="7250"/>
            <w:tcMar>
              <w:top w:type="dxa" w:w="60"/>
              <w:left w:type="dxa" w:w="100"/>
              <w:bottom w:type="dxa" w:w="60"/>
              <w:right w:type="dxa" w:w="100"/>
            </w:tcMar>
          </w:tcPr>
          <w:p>
            <w:r>
              <w:rPr>
                <w:b w:val="false"/>
                <w:bCs w:val="false"/>
                <w:sz w:val="18"/>
                <w:szCs w:val="18"/>
              </w:rPr>
              <w:t xml:space="preserve">Display cumulative results per analyte across time as table and graph within the patient record.</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ORD-006</w:t>
            </w:r>
          </w:p>
        </w:tc>
        <w:tc>
          <w:tcPr>
            <w:tcW w:type="dxa" w:w="7250"/>
            <w:shd w:fill="EAF2F6" w:val="clear"/>
            <w:tcMar>
              <w:top w:type="dxa" w:w="60"/>
              <w:left w:type="dxa" w:w="100"/>
              <w:bottom w:type="dxa" w:w="60"/>
              <w:right w:type="dxa" w:w="100"/>
            </w:tcMar>
          </w:tcPr>
          <w:p>
            <w:r>
              <w:rPr>
                <w:b w:val="false"/>
                <w:bCs w:val="false"/>
                <w:sz w:val="18"/>
                <w:szCs w:val="18"/>
              </w:rPr>
              <w:t xml:space="preserve">Track and display order lifecycle status (ordered, specimen collected, in laboratory, resulted, reviewed) to clinical users.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ORD-007</w:t>
            </w:r>
          </w:p>
        </w:tc>
        <w:tc>
          <w:tcPr>
            <w:tcW w:type="dxa" w:w="7250"/>
            <w:tcMar>
              <w:top w:type="dxa" w:w="60"/>
              <w:left w:type="dxa" w:w="100"/>
              <w:bottom w:type="dxa" w:w="60"/>
              <w:right w:type="dxa" w:w="100"/>
            </w:tcMar>
          </w:tcPr>
          <w:p>
            <w:r>
              <w:rPr>
                <w:b w:val="false"/>
                <w:bCs w:val="false"/>
                <w:sz w:val="18"/>
                <w:szCs w:val="18"/>
              </w:rPr>
              <w:t xml:space="preserve">Support imaging orders with clinical indication, delivering the narrative report into the record and a link to the external viewer where provided by the connector; embedded image viewing is out of MVP scope.</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ORD-008</w:t>
            </w:r>
          </w:p>
        </w:tc>
        <w:tc>
          <w:tcPr>
            <w:tcW w:type="dxa" w:w="7250"/>
            <w:shd w:fill="EAF2F6" w:val="clear"/>
            <w:tcMar>
              <w:top w:type="dxa" w:w="60"/>
              <w:left w:type="dxa" w:w="100"/>
              <w:bottom w:type="dxa" w:w="60"/>
              <w:right w:type="dxa" w:w="100"/>
            </w:tcMar>
          </w:tcPr>
          <w:p>
            <w:r>
              <w:rPr>
                <w:b w:val="false"/>
                <w:bCs w:val="false"/>
                <w:sz w:val="18"/>
                <w:szCs w:val="18"/>
              </w:rPr>
              <w:t xml:space="preserve">Release results to the patient portal according to per-tenant rules (immediate, embargo hours by category, or clinician manual release), consistent with POR-004.</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10. Billing, Payments, and Claims (BIL)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BIL-001</w:t>
            </w:r>
          </w:p>
        </w:tc>
        <w:tc>
          <w:tcPr>
            <w:tcW w:type="dxa" w:w="7250"/>
            <w:tcMar>
              <w:top w:type="dxa" w:w="60"/>
              <w:left w:type="dxa" w:w="100"/>
              <w:bottom w:type="dxa" w:w="60"/>
              <w:right w:type="dxa" w:w="100"/>
            </w:tcMar>
          </w:tcPr>
          <w:p>
            <w:r>
              <w:rPr>
                <w:b w:val="false"/>
                <w:bCs w:val="false"/>
                <w:sz w:val="18"/>
                <w:szCs w:val="18"/>
              </w:rPr>
              <w:t xml:space="preserve">Maintain a tenant charge master: services and items with codes (regional/CPT), prices with effective dating, tax rules, and payer-specific price lists; changes are versioned and audited.</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BIL-002</w:t>
            </w:r>
          </w:p>
        </w:tc>
        <w:tc>
          <w:tcPr>
            <w:tcW w:type="dxa" w:w="7250"/>
            <w:shd w:fill="EAF2F6" w:val="clear"/>
            <w:tcMar>
              <w:top w:type="dxa" w:w="60"/>
              <w:left w:type="dxa" w:w="100"/>
              <w:bottom w:type="dxa" w:w="60"/>
              <w:right w:type="dxa" w:w="100"/>
            </w:tcMar>
          </w:tcPr>
          <w:p>
            <w:r>
              <w:rPr>
                <w:b w:val="false"/>
                <w:bCs w:val="false"/>
                <w:sz w:val="18"/>
                <w:szCs w:val="18"/>
              </w:rPr>
              <w:t xml:space="preserve">Capture charges automatically from clinical events (visit type on check-in, procedures and dispensed items documented in the encounter) into a draft invoice linked to the encounter; billing clerks may add, edit, or remove draft lines with reason codes.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BIL-003</w:t>
            </w:r>
          </w:p>
        </w:tc>
        <w:tc>
          <w:tcPr>
            <w:tcW w:type="dxa" w:w="7250"/>
            <w:tcMar>
              <w:top w:type="dxa" w:w="60"/>
              <w:left w:type="dxa" w:w="100"/>
              <w:bottom w:type="dxa" w:w="60"/>
              <w:right w:type="dxa" w:w="100"/>
            </w:tcMar>
          </w:tcPr>
          <w:p>
            <w:r>
              <w:rPr>
                <w:b w:val="false"/>
                <w:bCs w:val="false"/>
                <w:sz w:val="18"/>
                <w:szCs w:val="18"/>
              </w:rPr>
              <w:t xml:space="preserve">Record patient insurance coverage (payer, plan, member ID, validity dates, patient share rules) and select the applicable coverage at invoicing; where a regional eligibility connector exists, verify coverage in real time at check-in.</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BIL-004</w:t>
            </w:r>
          </w:p>
        </w:tc>
        <w:tc>
          <w:tcPr>
            <w:tcW w:type="dxa" w:w="7250"/>
            <w:shd w:fill="EAF2F6" w:val="clear"/>
            <w:tcMar>
              <w:top w:type="dxa" w:w="60"/>
              <w:left w:type="dxa" w:w="100"/>
              <w:bottom w:type="dxa" w:w="60"/>
              <w:right w:type="dxa" w:w="100"/>
            </w:tcMar>
          </w:tcPr>
          <w:p>
            <w:r>
              <w:rPr>
                <w:b w:val="false"/>
                <w:bCs w:val="false"/>
                <w:sz w:val="18"/>
                <w:szCs w:val="18"/>
              </w:rPr>
              <w:t xml:space="preserve">Generate itemized invoices splitting payer and patient responsibility per coverage rules, applying taxes and role-gated discounts (thresholds requiring Finance Manager approval are configurable).</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BIL-005</w:t>
            </w:r>
          </w:p>
        </w:tc>
        <w:tc>
          <w:tcPr>
            <w:tcW w:type="dxa" w:w="7250"/>
            <w:tcMar>
              <w:top w:type="dxa" w:w="60"/>
              <w:left w:type="dxa" w:w="100"/>
              <w:bottom w:type="dxa" w:w="60"/>
              <w:right w:type="dxa" w:w="100"/>
            </w:tcMar>
          </w:tcPr>
          <w:p>
            <w:r>
              <w:rPr>
                <w:b w:val="false"/>
                <w:bCs w:val="false"/>
                <w:sz w:val="18"/>
                <w:szCs w:val="18"/>
              </w:rPr>
              <w:t xml:space="preserve">Accept payments (cash, card via payment connector, insurer remittance) including partial payments and deposits; issue numbered receipts; support end-of-day cashier reconciliation with an over/short report by user and till.</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BIL-006</w:t>
            </w:r>
          </w:p>
        </w:tc>
        <w:tc>
          <w:tcPr>
            <w:tcW w:type="dxa" w:w="7250"/>
            <w:shd w:fill="EAF2F6" w:val="clear"/>
            <w:tcMar>
              <w:top w:type="dxa" w:w="60"/>
              <w:left w:type="dxa" w:w="100"/>
              <w:bottom w:type="dxa" w:w="60"/>
              <w:right w:type="dxa" w:w="100"/>
            </w:tcMar>
          </w:tcPr>
          <w:p>
            <w:r>
              <w:rPr>
                <w:b w:val="false"/>
                <w:bCs w:val="false"/>
                <w:sz w:val="18"/>
                <w:szCs w:val="18"/>
              </w:rPr>
              <w:t xml:space="preserve">Generate claims in per-payer formats via configuration-driven mapping; submit through a payer connector where available or export as file; track claim status (draft, submitted, accepted, rejected, paid, partially paid).</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BIL-007</w:t>
            </w:r>
          </w:p>
        </w:tc>
        <w:tc>
          <w:tcPr>
            <w:tcW w:type="dxa" w:w="7250"/>
            <w:tcMar>
              <w:top w:type="dxa" w:w="60"/>
              <w:left w:type="dxa" w:w="100"/>
              <w:bottom w:type="dxa" w:w="60"/>
              <w:right w:type="dxa" w:w="100"/>
            </w:tcMar>
          </w:tcPr>
          <w:p>
            <w:r>
              <w:rPr>
                <w:b w:val="false"/>
                <w:bCs w:val="false"/>
                <w:sz w:val="18"/>
                <w:szCs w:val="18"/>
              </w:rPr>
              <w:t xml:space="preserve">Record denials and rejections with coded reasons; support correction and resubmission workflow retaining full claim history; surface denial patterns in reporting (RPT-002).</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BIL-008</w:t>
            </w:r>
          </w:p>
        </w:tc>
        <w:tc>
          <w:tcPr>
            <w:tcW w:type="dxa" w:w="7250"/>
            <w:shd w:fill="EAF2F6" w:val="clear"/>
            <w:tcMar>
              <w:top w:type="dxa" w:w="60"/>
              <w:left w:type="dxa" w:w="100"/>
              <w:bottom w:type="dxa" w:w="60"/>
              <w:right w:type="dxa" w:w="100"/>
            </w:tcMar>
          </w:tcPr>
          <w:p>
            <w:r>
              <w:rPr>
                <w:b w:val="false"/>
                <w:bCs w:val="false"/>
                <w:sz w:val="18"/>
                <w:szCs w:val="18"/>
              </w:rPr>
              <w:t xml:space="preserve">Process refunds and credit notes only through an approval workflow (initiator and approver must differ); posted financial transactions are immutable — corrections occur by reversal entries only.</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BIL-009</w:t>
            </w:r>
          </w:p>
        </w:tc>
        <w:tc>
          <w:tcPr>
            <w:tcW w:type="dxa" w:w="7250"/>
            <w:tcMar>
              <w:top w:type="dxa" w:w="60"/>
              <w:left w:type="dxa" w:w="100"/>
              <w:bottom w:type="dxa" w:w="60"/>
              <w:right w:type="dxa" w:w="100"/>
            </w:tcMar>
          </w:tcPr>
          <w:p>
            <w:r>
              <w:rPr>
                <w:b w:val="false"/>
                <w:bCs w:val="false"/>
                <w:sz w:val="18"/>
                <w:szCs w:val="18"/>
              </w:rPr>
              <w:t xml:space="preserve">Produce a pre-service cost estimate for a scheduled service from the charge master and coverage rules, shareable with the patient via the portal.</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BIL-010</w:t>
            </w:r>
          </w:p>
        </w:tc>
        <w:tc>
          <w:tcPr>
            <w:tcW w:type="dxa" w:w="7250"/>
            <w:shd w:fill="EAF2F6" w:val="clear"/>
            <w:tcMar>
              <w:top w:type="dxa" w:w="60"/>
              <w:left w:type="dxa" w:w="100"/>
              <w:bottom w:type="dxa" w:w="60"/>
              <w:right w:type="dxa" w:w="100"/>
            </w:tcMar>
          </w:tcPr>
          <w:p>
            <w:r>
              <w:rPr>
                <w:b w:val="false"/>
                <w:bCs w:val="false"/>
                <w:sz w:val="18"/>
                <w:szCs w:val="18"/>
              </w:rPr>
              <w:t xml:space="preserve">Emit invoice.finalized, payment.recorded, and claim.status events; expose financial documents via API for accounting export (CSV and API; GL integration is post-MVP).</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11. Patient Portal (POR)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POR-001</w:t>
            </w:r>
          </w:p>
        </w:tc>
        <w:tc>
          <w:tcPr>
            <w:tcW w:type="dxa" w:w="7250"/>
            <w:tcMar>
              <w:top w:type="dxa" w:w="60"/>
              <w:left w:type="dxa" w:w="100"/>
              <w:bottom w:type="dxa" w:w="60"/>
              <w:right w:type="dxa" w:w="100"/>
            </w:tcMar>
          </w:tcPr>
          <w:p>
            <w:r>
              <w:rPr>
                <w:b w:val="false"/>
                <w:bCs w:val="false"/>
                <w:sz w:val="18"/>
                <w:szCs w:val="18"/>
              </w:rPr>
              <w:t xml:space="preserve">Enable patient account activation via an invitation containing an OTP to the registered phone or email, binding the account to the MPI record; failed identity checks route to staff verification.</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POR-002</w:t>
            </w:r>
          </w:p>
        </w:tc>
        <w:tc>
          <w:tcPr>
            <w:tcW w:type="dxa" w:w="7250"/>
            <w:shd w:fill="EAF2F6" w:val="clear"/>
            <w:tcMar>
              <w:top w:type="dxa" w:w="60"/>
              <w:left w:type="dxa" w:w="100"/>
              <w:bottom w:type="dxa" w:w="60"/>
              <w:right w:type="dxa" w:w="100"/>
            </w:tcMar>
          </w:tcPr>
          <w:p>
            <w:r>
              <w:rPr>
                <w:b w:val="false"/>
                <w:bCs w:val="false"/>
                <w:sz w:val="18"/>
                <w:szCs w:val="18"/>
              </w:rPr>
              <w:t xml:space="preserve">Allow patients to view, book, reschedule, and cancel appointments within tenant rules (services open to online booking, lead times, cancellation windows).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POR-003</w:t>
            </w:r>
          </w:p>
        </w:tc>
        <w:tc>
          <w:tcPr>
            <w:tcW w:type="dxa" w:w="7250"/>
            <w:tcMar>
              <w:top w:type="dxa" w:w="60"/>
              <w:left w:type="dxa" w:w="100"/>
              <w:bottom w:type="dxa" w:w="60"/>
              <w:right w:type="dxa" w:w="100"/>
            </w:tcMar>
          </w:tcPr>
          <w:p>
            <w:r>
              <w:rPr>
                <w:b w:val="false"/>
                <w:bCs w:val="false"/>
                <w:sz w:val="18"/>
                <w:szCs w:val="18"/>
              </w:rPr>
              <w:t xml:space="preserve">Present assigned pre-visit questionnaires and digital consent forms by appointment type; submissions attach to the upcoming encounter and are flagged to the clinician.</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POR-004</w:t>
            </w:r>
          </w:p>
        </w:tc>
        <w:tc>
          <w:tcPr>
            <w:tcW w:type="dxa" w:w="7250"/>
            <w:shd w:fill="EAF2F6" w:val="clear"/>
            <w:tcMar>
              <w:top w:type="dxa" w:w="60"/>
              <w:left w:type="dxa" w:w="100"/>
              <w:bottom w:type="dxa" w:w="60"/>
              <w:right w:type="dxa" w:w="100"/>
            </w:tcMar>
          </w:tcPr>
          <w:p>
            <w:r>
              <w:rPr>
                <w:b w:val="false"/>
                <w:bCs w:val="false"/>
                <w:sz w:val="18"/>
                <w:szCs w:val="18"/>
              </w:rPr>
              <w:t xml:space="preserve">Display lab results after release per ORD-008, visit summaries, and prescriptions, with PDF download; display is read-only and every view is audited.</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POR-005</w:t>
            </w:r>
          </w:p>
        </w:tc>
        <w:tc>
          <w:tcPr>
            <w:tcW w:type="dxa" w:w="7250"/>
            <w:tcMar>
              <w:top w:type="dxa" w:w="60"/>
              <w:left w:type="dxa" w:w="100"/>
              <w:bottom w:type="dxa" w:w="60"/>
              <w:right w:type="dxa" w:w="100"/>
            </w:tcMar>
          </w:tcPr>
          <w:p>
            <w:r>
              <w:rPr>
                <w:b w:val="false"/>
                <w:bCs w:val="false"/>
                <w:sz w:val="18"/>
                <w:szCs w:val="18"/>
              </w:rPr>
              <w:t xml:space="preserve">Display invoices and balances and accept online payment via the payment connector, issuing an electronic receipt and updating the ledger in real time.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POR-006</w:t>
            </w:r>
          </w:p>
        </w:tc>
        <w:tc>
          <w:tcPr>
            <w:tcW w:type="dxa" w:w="7250"/>
            <w:shd w:fill="EAF2F6" w:val="clear"/>
            <w:tcMar>
              <w:top w:type="dxa" w:w="60"/>
              <w:left w:type="dxa" w:w="100"/>
              <w:bottom w:type="dxa" w:w="60"/>
              <w:right w:type="dxa" w:w="100"/>
            </w:tcMar>
          </w:tcPr>
          <w:p>
            <w:r>
              <w:rPr>
                <w:b w:val="false"/>
                <w:bCs w:val="false"/>
                <w:sz w:val="18"/>
                <w:szCs w:val="18"/>
              </w:rPr>
              <w:t xml:space="preserve">Provide secure messaging between patient and clinic routed to a staff-triaged inbox with configurable expected-response-time notice; messaging is not for emergencies and the UI must state this with local emergency contact information.</w:t>
            </w:r>
          </w:p>
        </w:tc>
        <w:tc>
          <w:tcPr>
            <w:tcW w:type="dxa" w:w="960"/>
            <w:shd w:fill="EAF2F6" w:val="clear"/>
            <w:tcMar>
              <w:top w:type="dxa" w:w="60"/>
              <w:left w:type="dxa" w:w="100"/>
              <w:bottom w:type="dxa" w:w="60"/>
              <w:right w:type="dxa" w:w="100"/>
            </w:tcMar>
          </w:tcPr>
          <w:p>
            <w:r>
              <w:rPr>
                <w:b w:val="false"/>
                <w:bCs w:val="false"/>
                <w:sz w:val="18"/>
                <w:szCs w:val="18"/>
              </w:rPr>
              <w:t xml:space="preserve">S</w:t>
            </w:r>
          </w:p>
        </w:tc>
      </w:tr>
      <w:tr>
        <w:tc>
          <w:tcPr>
            <w:tcW w:type="dxa" w:w="1150"/>
            <w:tcMar>
              <w:top w:type="dxa" w:w="60"/>
              <w:left w:type="dxa" w:w="100"/>
              <w:bottom w:type="dxa" w:w="60"/>
              <w:right w:type="dxa" w:w="100"/>
            </w:tcMar>
          </w:tcPr>
          <w:p>
            <w:r>
              <w:rPr>
                <w:b w:val="false"/>
                <w:bCs w:val="false"/>
                <w:sz w:val="18"/>
                <w:szCs w:val="18"/>
              </w:rPr>
              <w:t xml:space="preserve">POR-007</w:t>
            </w:r>
          </w:p>
        </w:tc>
        <w:tc>
          <w:tcPr>
            <w:tcW w:type="dxa" w:w="7250"/>
            <w:tcMar>
              <w:top w:type="dxa" w:w="60"/>
              <w:left w:type="dxa" w:w="100"/>
              <w:bottom w:type="dxa" w:w="60"/>
              <w:right w:type="dxa" w:w="100"/>
            </w:tcMar>
          </w:tcPr>
          <w:p>
            <w:r>
              <w:rPr>
                <w:b w:val="false"/>
                <w:bCs w:val="false"/>
                <w:sz w:val="18"/>
                <w:szCs w:val="18"/>
              </w:rPr>
              <w:t xml:space="preserve">Support proxy access (e.g., parent/guardian) with staff-verified relationship, scoped visibility rules, and automatic expiry/review at configurable ages per region.</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POR-008</w:t>
            </w:r>
          </w:p>
        </w:tc>
        <w:tc>
          <w:tcPr>
            <w:tcW w:type="dxa" w:w="7250"/>
            <w:shd w:fill="EAF2F6" w:val="clear"/>
            <w:tcMar>
              <w:top w:type="dxa" w:w="60"/>
              <w:left w:type="dxa" w:w="100"/>
              <w:bottom w:type="dxa" w:w="60"/>
              <w:right w:type="dxa" w:w="100"/>
            </w:tcMar>
          </w:tcPr>
          <w:p>
            <w:r>
              <w:rPr>
                <w:b w:val="false"/>
                <w:bCs w:val="false"/>
                <w:sz w:val="18"/>
                <w:szCs w:val="18"/>
              </w:rPr>
              <w:t xml:space="preserve">Meet WCAG 2.2 AA and render in all tenant-enabled locales; patients choose their language independently of the tenant default.</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POR-009</w:t>
            </w:r>
          </w:p>
        </w:tc>
        <w:tc>
          <w:tcPr>
            <w:tcW w:type="dxa" w:w="7250"/>
            <w:tcMar>
              <w:top w:type="dxa" w:w="60"/>
              <w:left w:type="dxa" w:w="100"/>
              <w:bottom w:type="dxa" w:w="60"/>
              <w:right w:type="dxa" w:w="100"/>
            </w:tcMar>
          </w:tcPr>
          <w:p>
            <w:r>
              <w:rPr>
                <w:b w:val="false"/>
                <w:bCs w:val="false"/>
                <w:sz w:val="18"/>
                <w:szCs w:val="18"/>
              </w:rPr>
              <w:t xml:space="preserve">Send portal notifications (new result, new invoice, appointment changes) through the notification service, honoring communication consents.</w:t>
            </w:r>
          </w:p>
        </w:tc>
        <w:tc>
          <w:tcPr>
            <w:tcW w:type="dxa" w:w="960"/>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12. Dashboards and Reporting (RPT)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RPT-001</w:t>
            </w:r>
          </w:p>
        </w:tc>
        <w:tc>
          <w:tcPr>
            <w:tcW w:type="dxa" w:w="7250"/>
            <w:tcMar>
              <w:top w:type="dxa" w:w="60"/>
              <w:left w:type="dxa" w:w="100"/>
              <w:bottom w:type="dxa" w:w="60"/>
              <w:right w:type="dxa" w:w="100"/>
            </w:tcMar>
          </w:tcPr>
          <w:p>
            <w:r>
              <w:rPr>
                <w:b w:val="false"/>
                <w:bCs w:val="false"/>
                <w:sz w:val="18"/>
                <w:szCs w:val="18"/>
              </w:rPr>
              <w:t xml:space="preserve">Provide an operational dashboard per site — today's appointments, arrivals, queue length and wait times, no-shows, encounters completed, revenue collected — refreshed with at most 5 minutes' latency.</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RPT-002</w:t>
            </w:r>
          </w:p>
        </w:tc>
        <w:tc>
          <w:tcPr>
            <w:tcW w:type="dxa" w:w="7250"/>
            <w:shd w:fill="EAF2F6" w:val="clear"/>
            <w:tcMar>
              <w:top w:type="dxa" w:w="60"/>
              <w:left w:type="dxa" w:w="100"/>
              <w:bottom w:type="dxa" w:w="60"/>
              <w:right w:type="dxa" w:w="100"/>
            </w:tcMar>
          </w:tcPr>
          <w:p>
            <w:r>
              <w:rPr>
                <w:b w:val="false"/>
                <w:bCs w:val="false"/>
                <w:sz w:val="18"/>
                <w:szCs w:val="18"/>
              </w:rPr>
              <w:t xml:space="preserve">Ship a standard report pack: visits by practitioner/service/period, revenue by category and payer, outstanding claims and A/R aging, denial reasons, no-show rates, and top diagnoses; all filterable by date range and site, exportable to CSV and PDF.</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RPT-003</w:t>
            </w:r>
          </w:p>
        </w:tc>
        <w:tc>
          <w:tcPr>
            <w:tcW w:type="dxa" w:w="7250"/>
            <w:tcMar>
              <w:top w:type="dxa" w:w="60"/>
              <w:left w:type="dxa" w:w="100"/>
              <w:bottom w:type="dxa" w:w="60"/>
              <w:right w:type="dxa" w:w="100"/>
            </w:tcMar>
          </w:tcPr>
          <w:p>
            <w:r>
              <w:rPr>
                <w:b w:val="false"/>
                <w:bCs w:val="false"/>
                <w:sz w:val="18"/>
                <w:szCs w:val="18"/>
              </w:rPr>
              <w:t xml:space="preserve">Enforce role-based access to reports; any report exposing patient-identifiable data records an audit event with report parameters.</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RPT-004</w:t>
            </w:r>
          </w:p>
        </w:tc>
        <w:tc>
          <w:tcPr>
            <w:tcW w:type="dxa" w:w="7250"/>
            <w:shd w:fill="EAF2F6" w:val="clear"/>
            <w:tcMar>
              <w:top w:type="dxa" w:w="60"/>
              <w:left w:type="dxa" w:w="100"/>
              <w:bottom w:type="dxa" w:w="60"/>
              <w:right w:type="dxa" w:w="100"/>
            </w:tcMar>
          </w:tcPr>
          <w:p>
            <w:r>
              <w:rPr>
                <w:b w:val="false"/>
                <w:bCs w:val="false"/>
                <w:sz w:val="18"/>
                <w:szCs w:val="18"/>
              </w:rPr>
              <w:t xml:space="preserve">Compute all shipped KPIs from documented definitions (a data dictionary published with the product) so figures reconcile across dashboard, reports, and API.</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RPT-005</w:t>
            </w:r>
          </w:p>
        </w:tc>
        <w:tc>
          <w:tcPr>
            <w:tcW w:type="dxa" w:w="7250"/>
            <w:tcMar>
              <w:top w:type="dxa" w:w="60"/>
              <w:left w:type="dxa" w:w="100"/>
              <w:bottom w:type="dxa" w:w="60"/>
              <w:right w:type="dxa" w:w="100"/>
            </w:tcMar>
          </w:tcPr>
          <w:p>
            <w:r>
              <w:rPr>
                <w:b w:val="false"/>
                <w:bCs w:val="false"/>
                <w:sz w:val="18"/>
                <w:szCs w:val="18"/>
              </w:rPr>
              <w:t xml:space="preserve">Provide a curated, tenant-scoped analytics dataset (star schema over the lakehouse) for customer BI tools via secure connection.</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RPT-006</w:t>
            </w:r>
          </w:p>
        </w:tc>
        <w:tc>
          <w:tcPr>
            <w:tcW w:type="dxa" w:w="7250"/>
            <w:shd w:fill="EAF2F6" w:val="clear"/>
            <w:tcMar>
              <w:top w:type="dxa" w:w="60"/>
              <w:left w:type="dxa" w:w="100"/>
              <w:bottom w:type="dxa" w:w="60"/>
              <w:right w:type="dxa" w:w="100"/>
            </w:tcMar>
          </w:tcPr>
          <w:p>
            <w:r>
              <w:rPr>
                <w:b w:val="false"/>
                <w:bCs w:val="false"/>
                <w:sz w:val="18"/>
                <w:szCs w:val="18"/>
              </w:rPr>
              <w:t xml:space="preserve">Provide a simple custom report builder (choose dataset, columns, filters, grouping) over the curated dataset for tenant admins.</w:t>
            </w:r>
          </w:p>
        </w:tc>
        <w:tc>
          <w:tcPr>
            <w:tcW w:type="dxa" w:w="960"/>
            <w:shd w:fill="EAF2F6" w:val="clear"/>
            <w:tcMar>
              <w:top w:type="dxa" w:w="60"/>
              <w:left w:type="dxa" w:w="100"/>
              <w:bottom w:type="dxa" w:w="60"/>
              <w:right w:type="dxa" w:w="100"/>
            </w:tcMar>
          </w:tcPr>
          <w:p>
            <w:r>
              <w:rPr>
                <w:b w:val="false"/>
                <w:bCs w:val="false"/>
                <w:sz w:val="18"/>
                <w:szCs w:val="18"/>
              </w:rPr>
              <w:t xml:space="preserve">C</w:t>
            </w:r>
          </w:p>
        </w:tc>
      </w:tr>
    </w:tbl>
    <w:p>
      <w:pPr>
        <w:spacing w:after="200"/>
      </w:pPr>
    </w:p>
    <w:p>
      <w:pPr>
        <w:pStyle w:val="Heading1"/>
        <w:spacing w:after="160" w:before="360"/>
      </w:pPr>
      <w:r>
        <w:rPr>
          <w:color w:val="1F4E5F"/>
        </w:rPr>
        <w:t xml:space="preserve">13. Integration and Public API (INT)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250"/>
        <w:gridCol w:w="960"/>
      </w:tblGrid>
      <w:tr>
        <w:trPr>
          <w:tblHeader/>
        </w:trPr>
        <w:tc>
          <w:tcPr>
            <w:tcW w:type="dxa" w:w="1150"/>
            <w:shd w:fill="1F4E5F" w:val="clear"/>
            <w:tcMar>
              <w:top w:type="dxa" w:w="60"/>
              <w:left w:type="dxa" w:w="100"/>
              <w:bottom w:type="dxa" w:w="60"/>
              <w:right w:type="dxa" w:w="100"/>
            </w:tcMar>
          </w:tcPr>
          <w:p>
            <w:r>
              <w:rPr>
                <w:b/>
                <w:bCs/>
                <w:color w:val="FFFFFF"/>
                <w:sz w:val="18"/>
                <w:szCs w:val="18"/>
              </w:rPr>
              <w:t xml:space="preserve">ID</w:t>
            </w:r>
          </w:p>
        </w:tc>
        <w:tc>
          <w:tcPr>
            <w:tcW w:type="dxa" w:w="7250"/>
            <w:shd w:fill="1F4E5F" w:val="clear"/>
            <w:tcMar>
              <w:top w:type="dxa" w:w="60"/>
              <w:left w:type="dxa" w:w="100"/>
              <w:bottom w:type="dxa" w:w="60"/>
              <w:right w:type="dxa" w:w="100"/>
            </w:tcMar>
          </w:tcPr>
          <w:p>
            <w:r>
              <w:rPr>
                <w:b/>
                <w:bCs/>
                <w:color w:val="FFFFFF"/>
                <w:sz w:val="18"/>
                <w:szCs w:val="18"/>
              </w:rPr>
              <w:t xml:space="preserve">Requirement (the system shall...)</w:t>
            </w:r>
          </w:p>
        </w:tc>
        <w:tc>
          <w:tcPr>
            <w:tcW w:type="dxa" w:w="960"/>
            <w:shd w:fill="1F4E5F" w:val="clear"/>
            <w:tcMar>
              <w:top w:type="dxa" w:w="60"/>
              <w:left w:type="dxa" w:w="100"/>
              <w:bottom w:type="dxa" w:w="60"/>
              <w:right w:type="dxa" w:w="100"/>
            </w:tcMar>
          </w:tcPr>
          <w:p>
            <w:r>
              <w:rPr>
                <w:b/>
                <w:bCs/>
                <w:color w:val="FFFFFF"/>
                <w:sz w:val="18"/>
                <w:szCs w:val="18"/>
              </w:rPr>
              <w:t xml:space="preserve">Priority</w:t>
            </w:r>
          </w:p>
        </w:tc>
      </w:tr>
      <w:tr>
        <w:tc>
          <w:tcPr>
            <w:tcW w:type="dxa" w:w="1150"/>
            <w:tcMar>
              <w:top w:type="dxa" w:w="60"/>
              <w:left w:type="dxa" w:w="100"/>
              <w:bottom w:type="dxa" w:w="60"/>
              <w:right w:type="dxa" w:w="100"/>
            </w:tcMar>
          </w:tcPr>
          <w:p>
            <w:r>
              <w:rPr>
                <w:b w:val="false"/>
                <w:bCs w:val="false"/>
                <w:sz w:val="18"/>
                <w:szCs w:val="18"/>
              </w:rPr>
              <w:t xml:space="preserve">INT-001</w:t>
            </w:r>
          </w:p>
        </w:tc>
        <w:tc>
          <w:tcPr>
            <w:tcW w:type="dxa" w:w="7250"/>
            <w:tcMar>
              <w:top w:type="dxa" w:w="60"/>
              <w:left w:type="dxa" w:w="100"/>
              <w:bottom w:type="dxa" w:w="60"/>
              <w:right w:type="dxa" w:w="100"/>
            </w:tcMar>
          </w:tcPr>
          <w:p>
            <w:r>
              <w:rPr>
                <w:b w:val="false"/>
                <w:bCs w:val="false"/>
                <w:sz w:val="18"/>
                <w:szCs w:val="18"/>
              </w:rPr>
              <w:t xml:space="preserve">Operate an integration hub supporting inbound/outbound HL7 v2 over MLLP, FHIR R4 REST, and scheduled file exchange (SFTP/CSV), with per-tenant, per-connector mapping configuration.</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INT-002</w:t>
            </w:r>
          </w:p>
        </w:tc>
        <w:tc>
          <w:tcPr>
            <w:tcW w:type="dxa" w:w="7250"/>
            <w:shd w:fill="EAF2F6" w:val="clear"/>
            <w:tcMar>
              <w:top w:type="dxa" w:w="60"/>
              <w:left w:type="dxa" w:w="100"/>
              <w:bottom w:type="dxa" w:w="60"/>
              <w:right w:type="dxa" w:w="100"/>
            </w:tcMar>
          </w:tcPr>
          <w:p>
            <w:r>
              <w:rPr>
                <w:b w:val="false"/>
                <w:bCs w:val="false"/>
                <w:sz w:val="18"/>
                <w:szCs w:val="18"/>
              </w:rPr>
              <w:t xml:space="preserve">Provide a laboratory connector implementing ORM-out/ORU-in (and FHIR equivalents) with per-tenant code mapping tables, automatic retries with backoff, a dead-letter queue, and a message monitor UI for the Lab Liaison showing status, payload, and errors.</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INT-003</w:t>
            </w:r>
          </w:p>
        </w:tc>
        <w:tc>
          <w:tcPr>
            <w:tcW w:type="dxa" w:w="7250"/>
            <w:tcMar>
              <w:top w:type="dxa" w:w="60"/>
              <w:left w:type="dxa" w:w="100"/>
              <w:bottom w:type="dxa" w:w="60"/>
              <w:right w:type="dxa" w:w="100"/>
            </w:tcMar>
          </w:tcPr>
          <w:p>
            <w:r>
              <w:rPr>
                <w:b w:val="false"/>
                <w:bCs w:val="false"/>
                <w:sz w:val="18"/>
                <w:szCs w:val="18"/>
              </w:rPr>
              <w:t xml:space="preserve">Alert integration failures (connector down, DLQ growth beyond threshold, mapping errors) to platform operations and optionally tenant admins via the notification service.</w:t>
            </w:r>
          </w:p>
        </w:tc>
        <w:tc>
          <w:tcPr>
            <w:tcW w:type="dxa" w:w="960"/>
            <w:tcMar>
              <w:top w:type="dxa" w:w="60"/>
              <w:left w:type="dxa" w:w="100"/>
              <w:bottom w:type="dxa" w:w="60"/>
              <w:right w:type="dxa" w:w="100"/>
            </w:tcMar>
          </w:tcPr>
          <w:p>
            <w:r>
              <w:rPr>
                <w:b w:val="false"/>
                <w:bCs w:val="false"/>
                <w:sz w:val="18"/>
                <w:szCs w:val="18"/>
              </w:rPr>
              <w:t xml:space="preserve">M</w:t>
            </w:r>
          </w:p>
        </w:tc>
      </w:tr>
      <w:tr>
        <w:tc>
          <w:tcPr>
            <w:tcW w:type="dxa" w:w="1150"/>
            <w:shd w:fill="EAF2F6" w:val="clear"/>
            <w:tcMar>
              <w:top w:type="dxa" w:w="60"/>
              <w:left w:type="dxa" w:w="100"/>
              <w:bottom w:type="dxa" w:w="60"/>
              <w:right w:type="dxa" w:w="100"/>
            </w:tcMar>
          </w:tcPr>
          <w:p>
            <w:r>
              <w:rPr>
                <w:b w:val="false"/>
                <w:bCs w:val="false"/>
                <w:sz w:val="18"/>
                <w:szCs w:val="18"/>
              </w:rPr>
              <w:t xml:space="preserve">INT-004</w:t>
            </w:r>
          </w:p>
        </w:tc>
        <w:tc>
          <w:tcPr>
            <w:tcW w:type="dxa" w:w="7250"/>
            <w:shd w:fill="EAF2F6" w:val="clear"/>
            <w:tcMar>
              <w:top w:type="dxa" w:w="60"/>
              <w:left w:type="dxa" w:w="100"/>
              <w:bottom w:type="dxa" w:w="60"/>
              <w:right w:type="dxa" w:w="100"/>
            </w:tcMar>
          </w:tcPr>
          <w:p>
            <w:r>
              <w:rPr>
                <w:b w:val="false"/>
                <w:bCs w:val="false"/>
                <w:sz w:val="18"/>
                <w:szCs w:val="18"/>
              </w:rPr>
              <w:t xml:space="preserve">Define a payment gateway connector interface (authorize, capture, refund, webhook confirmation) with at least one regional reference implementation for MVP.</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INT-005</w:t>
            </w:r>
          </w:p>
        </w:tc>
        <w:tc>
          <w:tcPr>
            <w:tcW w:type="dxa" w:w="7250"/>
            <w:tcMar>
              <w:top w:type="dxa" w:w="60"/>
              <w:left w:type="dxa" w:w="100"/>
              <w:bottom w:type="dxa" w:w="60"/>
              <w:right w:type="dxa" w:w="100"/>
            </w:tcMar>
          </w:tcPr>
          <w:p>
            <w:r>
              <w:rPr>
                <w:b w:val="false"/>
                <w:bCs w:val="false"/>
                <w:sz w:val="18"/>
                <w:szCs w:val="18"/>
              </w:rPr>
              <w:t xml:space="preserve">Define payer connector interfaces for eligibility and claims with at least one regional reference implementation where the launch region supports it; otherwise file export per BIL-006.</w:t>
            </w:r>
          </w:p>
        </w:tc>
        <w:tc>
          <w:tcPr>
            <w:tcW w:type="dxa" w:w="960"/>
            <w:tcMar>
              <w:top w:type="dxa" w:w="60"/>
              <w:left w:type="dxa" w:w="100"/>
              <w:bottom w:type="dxa" w:w="60"/>
              <w:right w:type="dxa" w:w="100"/>
            </w:tcMar>
          </w:tcPr>
          <w:p>
            <w:r>
              <w:rPr>
                <w:b w:val="false"/>
                <w:bCs w:val="false"/>
                <w:sz w:val="18"/>
                <w:szCs w:val="18"/>
              </w:rPr>
              <w:t xml:space="preserve">S</w:t>
            </w:r>
          </w:p>
        </w:tc>
      </w:tr>
      <w:tr>
        <w:tc>
          <w:tcPr>
            <w:tcW w:type="dxa" w:w="1150"/>
            <w:shd w:fill="EAF2F6" w:val="clear"/>
            <w:tcMar>
              <w:top w:type="dxa" w:w="60"/>
              <w:left w:type="dxa" w:w="100"/>
              <w:bottom w:type="dxa" w:w="60"/>
              <w:right w:type="dxa" w:w="100"/>
            </w:tcMar>
          </w:tcPr>
          <w:p>
            <w:r>
              <w:rPr>
                <w:b w:val="false"/>
                <w:bCs w:val="false"/>
                <w:sz w:val="18"/>
                <w:szCs w:val="18"/>
              </w:rPr>
              <w:t xml:space="preserve">INT-006</w:t>
            </w:r>
          </w:p>
        </w:tc>
        <w:tc>
          <w:tcPr>
            <w:tcW w:type="dxa" w:w="7250"/>
            <w:shd w:fill="EAF2F6" w:val="clear"/>
            <w:tcMar>
              <w:top w:type="dxa" w:w="60"/>
              <w:left w:type="dxa" w:w="100"/>
              <w:bottom w:type="dxa" w:w="60"/>
              <w:right w:type="dxa" w:w="100"/>
            </w:tcMar>
          </w:tcPr>
          <w:p>
            <w:r>
              <w:rPr>
                <w:b w:val="false"/>
                <w:bCs w:val="false"/>
                <w:sz w:val="18"/>
                <w:szCs w:val="18"/>
              </w:rPr>
              <w:t xml:space="preserve">Publish signed webhooks for key events (appointment.*, result.final, invoice.finalized, payment.recorded, claim.status) with per-tenant endpoint registration, retry policy, and replay protection.</w:t>
            </w:r>
          </w:p>
        </w:tc>
        <w:tc>
          <w:tcPr>
            <w:tcW w:type="dxa" w:w="960"/>
            <w:shd w:fill="EAF2F6" w:val="clear"/>
            <w:tcMar>
              <w:top w:type="dxa" w:w="60"/>
              <w:left w:type="dxa" w:w="100"/>
              <w:bottom w:type="dxa" w:w="60"/>
              <w:right w:type="dxa" w:w="100"/>
            </w:tcMar>
          </w:tcPr>
          <w:p>
            <w:r>
              <w:rPr>
                <w:b w:val="false"/>
                <w:bCs w:val="false"/>
                <w:sz w:val="18"/>
                <w:szCs w:val="18"/>
              </w:rPr>
              <w:t xml:space="preserve">M</w:t>
            </w:r>
          </w:p>
        </w:tc>
      </w:tr>
      <w:tr>
        <w:tc>
          <w:tcPr>
            <w:tcW w:type="dxa" w:w="1150"/>
            <w:tcMar>
              <w:top w:type="dxa" w:w="60"/>
              <w:left w:type="dxa" w:w="100"/>
              <w:bottom w:type="dxa" w:w="60"/>
              <w:right w:type="dxa" w:w="100"/>
            </w:tcMar>
          </w:tcPr>
          <w:p>
            <w:r>
              <w:rPr>
                <w:b w:val="false"/>
                <w:bCs w:val="false"/>
                <w:sz w:val="18"/>
                <w:szCs w:val="18"/>
              </w:rPr>
              <w:t xml:space="preserve">INT-007</w:t>
            </w:r>
          </w:p>
        </w:tc>
        <w:tc>
          <w:tcPr>
            <w:tcW w:type="dxa" w:w="7250"/>
            <w:tcMar>
              <w:top w:type="dxa" w:w="60"/>
              <w:left w:type="dxa" w:w="100"/>
              <w:bottom w:type="dxa" w:w="60"/>
              <w:right w:type="dxa" w:w="100"/>
            </w:tcMar>
          </w:tcPr>
          <w:p>
            <w:r>
              <w:rPr>
                <w:b w:val="false"/>
                <w:bCs w:val="false"/>
                <w:sz w:val="18"/>
                <w:szCs w:val="18"/>
              </w:rPr>
              <w:t xml:space="preserve">Expose the public API as versioned (v1) FHIR R4 plus documented extension endpoints, secured per IAM-006, rate-limited per client, with an OpenAPI specification and a developer sandbox tenant.</w:t>
            </w:r>
          </w:p>
        </w:tc>
        <w:tc>
          <w:tcPr>
            <w:tcW w:type="dxa" w:w="960"/>
            <w:tcMar>
              <w:top w:type="dxa" w:w="60"/>
              <w:left w:type="dxa" w:w="100"/>
              <w:bottom w:type="dxa" w:w="60"/>
              <w:right w:type="dxa" w:w="100"/>
            </w:tcMar>
          </w:tcPr>
          <w:p>
            <w:r>
              <w:rPr>
                <w:b w:val="false"/>
                <w:bCs w:val="false"/>
                <w:sz w:val="18"/>
                <w:szCs w:val="18"/>
              </w:rPr>
              <w:t xml:space="preserve">M</w:t>
            </w:r>
          </w:p>
        </w:tc>
      </w:tr>
    </w:tbl>
    <w:p>
      <w:pPr>
        <w:spacing w:after="200"/>
      </w:pPr>
    </w:p>
    <w:p>
      <w:pPr>
        <w:pStyle w:val="Heading1"/>
        <w:spacing w:after="160" w:before="360"/>
      </w:pPr>
      <w:r>
        <w:rPr>
          <w:color w:val="1F4E5F"/>
        </w:rPr>
        <w:t xml:space="preserve">14. Non-Functional Requirements (Summary)</w:t>
      </w:r>
    </w:p>
    <w:p>
      <w:pPr>
        <w:spacing w:after="160" w:line="300"/>
        <w:jc w:val="both"/>
      </w:pPr>
      <w:r>
        <w:rPr>
          <w:sz w:val="22"/>
          <w:szCs w:val="22"/>
        </w:rPr>
        <w:t xml:space="preserve">Full NFRs are specified in the companion NFR document; the binding headline targets that shape functional design are summarized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4E5F" w:val="clear"/>
            <w:tcMar>
              <w:top w:type="dxa" w:w="60"/>
              <w:left w:type="dxa" w:w="100"/>
              <w:bottom w:type="dxa" w:w="60"/>
              <w:right w:type="dxa" w:w="100"/>
            </w:tcMar>
          </w:tcPr>
          <w:p>
            <w:r>
              <w:rPr>
                <w:b/>
                <w:bCs/>
                <w:color w:val="FFFFFF"/>
                <w:sz w:val="18"/>
                <w:szCs w:val="18"/>
              </w:rPr>
              <w:t xml:space="preserve">Category</w:t>
            </w:r>
          </w:p>
        </w:tc>
        <w:tc>
          <w:tcPr>
            <w:tcW w:type="dxa" w:w="7060"/>
            <w:shd w:fill="1F4E5F" w:val="clear"/>
            <w:tcMar>
              <w:top w:type="dxa" w:w="60"/>
              <w:left w:type="dxa" w:w="100"/>
              <w:bottom w:type="dxa" w:w="60"/>
              <w:right w:type="dxa" w:w="100"/>
            </w:tcMar>
          </w:tcPr>
          <w:p>
            <w:r>
              <w:rPr>
                <w:b/>
                <w:bCs/>
                <w:color w:val="FFFFFF"/>
                <w:sz w:val="18"/>
                <w:szCs w:val="18"/>
              </w:rPr>
              <w:t xml:space="preserve">Requirement (headline)</w:t>
            </w:r>
          </w:p>
        </w:tc>
      </w:tr>
      <w:tr>
        <w:tc>
          <w:tcPr>
            <w:tcW w:type="dxa" w:w="2300"/>
            <w:tcMar>
              <w:top w:type="dxa" w:w="60"/>
              <w:left w:type="dxa" w:w="100"/>
              <w:bottom w:type="dxa" w:w="60"/>
              <w:right w:type="dxa" w:w="100"/>
            </w:tcMar>
          </w:tcPr>
          <w:p>
            <w:r>
              <w:rPr>
                <w:b w:val="false"/>
                <w:bCs w:val="false"/>
                <w:sz w:val="18"/>
                <w:szCs w:val="18"/>
              </w:rPr>
              <w:t xml:space="preserve">Performance</w:t>
            </w:r>
          </w:p>
        </w:tc>
        <w:tc>
          <w:tcPr>
            <w:tcW w:type="dxa" w:w="7060"/>
            <w:tcMar>
              <w:top w:type="dxa" w:w="60"/>
              <w:left w:type="dxa" w:w="100"/>
              <w:bottom w:type="dxa" w:w="60"/>
              <w:right w:type="dxa" w:w="100"/>
            </w:tcMar>
          </w:tcPr>
          <w:p>
            <w:r>
              <w:rPr>
                <w:b w:val="false"/>
                <w:bCs w:val="false"/>
                <w:sz w:val="18"/>
                <w:szCs w:val="18"/>
              </w:rPr>
              <w:t xml:space="preserve">Interactive pages p95 &lt; 2 s; patient search &lt; 2 s; patient summary &lt; 3 s; result ingestion to inbox &lt; 60 s</w:t>
            </w:r>
          </w:p>
        </w:tc>
      </w:tr>
      <w:tr>
        <w:tc>
          <w:tcPr>
            <w:tcW w:type="dxa" w:w="2300"/>
            <w:shd w:fill="EAF2F6" w:val="clear"/>
            <w:tcMar>
              <w:top w:type="dxa" w:w="60"/>
              <w:left w:type="dxa" w:w="100"/>
              <w:bottom w:type="dxa" w:w="60"/>
              <w:right w:type="dxa" w:w="100"/>
            </w:tcMar>
          </w:tcPr>
          <w:p>
            <w:r>
              <w:rPr>
                <w:b w:val="false"/>
                <w:bCs w:val="false"/>
                <w:sz w:val="18"/>
                <w:szCs w:val="18"/>
              </w:rPr>
              <w:t xml:space="preserve">Scale (per tenant)</w:t>
            </w:r>
          </w:p>
        </w:tc>
        <w:tc>
          <w:tcPr>
            <w:tcW w:type="dxa" w:w="7060"/>
            <w:shd w:fill="EAF2F6" w:val="clear"/>
            <w:tcMar>
              <w:top w:type="dxa" w:w="60"/>
              <w:left w:type="dxa" w:w="100"/>
              <w:bottom w:type="dxa" w:w="60"/>
              <w:right w:type="dxa" w:w="100"/>
            </w:tcMar>
          </w:tcPr>
          <w:p>
            <w:r>
              <w:rPr>
                <w:b w:val="false"/>
                <w:bCs w:val="false"/>
                <w:sz w:val="18"/>
                <w:szCs w:val="18"/>
              </w:rPr>
              <w:t xml:space="preserve">≥ 1M patient records; ≥ 500 concurrent users; ≥ 5k appointments/day without degradation</w:t>
            </w:r>
          </w:p>
        </w:tc>
      </w:tr>
      <w:tr>
        <w:tc>
          <w:tcPr>
            <w:tcW w:type="dxa" w:w="2300"/>
            <w:tcMar>
              <w:top w:type="dxa" w:w="60"/>
              <w:left w:type="dxa" w:w="100"/>
              <w:bottom w:type="dxa" w:w="60"/>
              <w:right w:type="dxa" w:w="100"/>
            </w:tcMar>
          </w:tcPr>
          <w:p>
            <w:r>
              <w:rPr>
                <w:b w:val="false"/>
                <w:bCs w:val="false"/>
                <w:sz w:val="18"/>
                <w:szCs w:val="18"/>
              </w:rPr>
              <w:t xml:space="preserve">Availability</w:t>
            </w:r>
          </w:p>
        </w:tc>
        <w:tc>
          <w:tcPr>
            <w:tcW w:type="dxa" w:w="7060"/>
            <w:tcMar>
              <w:top w:type="dxa" w:w="60"/>
              <w:left w:type="dxa" w:w="100"/>
              <w:bottom w:type="dxa" w:w="60"/>
              <w:right w:type="dxa" w:w="100"/>
            </w:tcMar>
          </w:tcPr>
          <w:p>
            <w:r>
              <w:rPr>
                <w:b w:val="false"/>
                <w:bCs w:val="false"/>
                <w:sz w:val="18"/>
                <w:szCs w:val="18"/>
              </w:rPr>
              <w:t xml:space="preserve">99.95% monthly per region; zero-downtime deployments; RPO ≤ 15 min, RTO ≤ 1 h</w:t>
            </w:r>
          </w:p>
        </w:tc>
      </w:tr>
      <w:tr>
        <w:tc>
          <w:tcPr>
            <w:tcW w:type="dxa" w:w="2300"/>
            <w:shd w:fill="EAF2F6" w:val="clear"/>
            <w:tcMar>
              <w:top w:type="dxa" w:w="60"/>
              <w:left w:type="dxa" w:w="100"/>
              <w:bottom w:type="dxa" w:w="60"/>
              <w:right w:type="dxa" w:w="100"/>
            </w:tcMar>
          </w:tcPr>
          <w:p>
            <w:r>
              <w:rPr>
                <w:b w:val="false"/>
                <w:bCs w:val="false"/>
                <w:sz w:val="18"/>
                <w:szCs w:val="18"/>
              </w:rPr>
              <w:t xml:space="preserve">Security</w:t>
            </w:r>
          </w:p>
        </w:tc>
        <w:tc>
          <w:tcPr>
            <w:tcW w:type="dxa" w:w="7060"/>
            <w:shd w:fill="EAF2F6" w:val="clear"/>
            <w:tcMar>
              <w:top w:type="dxa" w:w="60"/>
              <w:left w:type="dxa" w:w="100"/>
              <w:bottom w:type="dxa" w:w="60"/>
              <w:right w:type="dxa" w:w="100"/>
            </w:tcMar>
          </w:tcPr>
          <w:p>
            <w:r>
              <w:rPr>
                <w:b w:val="false"/>
                <w:bCs w:val="false"/>
                <w:sz w:val="18"/>
                <w:szCs w:val="18"/>
              </w:rPr>
              <w:t xml:space="preserve">OWASP ASVS L2; encryption in transit (TLS 1.2+) and at rest (tenant-scoped keys); isolation tests in CI (PLT-002)</w:t>
            </w:r>
          </w:p>
        </w:tc>
      </w:tr>
      <w:tr>
        <w:tc>
          <w:tcPr>
            <w:tcW w:type="dxa" w:w="2300"/>
            <w:tcMar>
              <w:top w:type="dxa" w:w="60"/>
              <w:left w:type="dxa" w:w="100"/>
              <w:bottom w:type="dxa" w:w="60"/>
              <w:right w:type="dxa" w:w="100"/>
            </w:tcMar>
          </w:tcPr>
          <w:p>
            <w:r>
              <w:rPr>
                <w:b w:val="false"/>
                <w:bCs w:val="false"/>
                <w:sz w:val="18"/>
                <w:szCs w:val="18"/>
              </w:rPr>
              <w:t xml:space="preserve">Auditability</w:t>
            </w:r>
          </w:p>
        </w:tc>
        <w:tc>
          <w:tcPr>
            <w:tcW w:type="dxa" w:w="7060"/>
            <w:tcMar>
              <w:top w:type="dxa" w:w="60"/>
              <w:left w:type="dxa" w:w="100"/>
              <w:bottom w:type="dxa" w:w="60"/>
              <w:right w:type="dxa" w:w="100"/>
            </w:tcMar>
          </w:tcPr>
          <w:p>
            <w:r>
              <w:rPr>
                <w:b w:val="false"/>
                <w:bCs w:val="false"/>
                <w:sz w:val="18"/>
                <w:szCs w:val="18"/>
              </w:rPr>
              <w:t xml:space="preserve">100% patient-data access audited (PLT-005); clock sync NTP; UTC storage with local display</w:t>
            </w:r>
          </w:p>
        </w:tc>
      </w:tr>
      <w:tr>
        <w:tc>
          <w:tcPr>
            <w:tcW w:type="dxa" w:w="2300"/>
            <w:shd w:fill="EAF2F6" w:val="clear"/>
            <w:tcMar>
              <w:top w:type="dxa" w:w="60"/>
              <w:left w:type="dxa" w:w="100"/>
              <w:bottom w:type="dxa" w:w="60"/>
              <w:right w:type="dxa" w:w="100"/>
            </w:tcMar>
          </w:tcPr>
          <w:p>
            <w:r>
              <w:rPr>
                <w:b w:val="false"/>
                <w:bCs w:val="false"/>
                <w:sz w:val="18"/>
                <w:szCs w:val="18"/>
              </w:rPr>
              <w:t xml:space="preserve">Compatibility</w:t>
            </w:r>
          </w:p>
        </w:tc>
        <w:tc>
          <w:tcPr>
            <w:tcW w:type="dxa" w:w="7060"/>
            <w:shd w:fill="EAF2F6" w:val="clear"/>
            <w:tcMar>
              <w:top w:type="dxa" w:w="60"/>
              <w:left w:type="dxa" w:w="100"/>
              <w:bottom w:type="dxa" w:w="60"/>
              <w:right w:type="dxa" w:w="100"/>
            </w:tcMar>
          </w:tcPr>
          <w:p>
            <w:r>
              <w:rPr>
                <w:b w:val="false"/>
                <w:bCs w:val="false"/>
                <w:sz w:val="18"/>
                <w:szCs w:val="18"/>
              </w:rPr>
              <w:t xml:space="preserve">Evergreen Chrome/Edge/Safari/Firefox; clinician mobile (iOS/Android) for schedule, inbox, summary views</w:t>
            </w:r>
          </w:p>
        </w:tc>
      </w:tr>
      <w:tr>
        <w:tc>
          <w:tcPr>
            <w:tcW w:type="dxa" w:w="2300"/>
            <w:tcMar>
              <w:top w:type="dxa" w:w="60"/>
              <w:left w:type="dxa" w:w="100"/>
              <w:bottom w:type="dxa" w:w="60"/>
              <w:right w:type="dxa" w:w="100"/>
            </w:tcMar>
          </w:tcPr>
          <w:p>
            <w:r>
              <w:rPr>
                <w:b w:val="false"/>
                <w:bCs w:val="false"/>
                <w:sz w:val="18"/>
                <w:szCs w:val="18"/>
              </w:rPr>
              <w:t xml:space="preserve">Localization</w:t>
            </w:r>
          </w:p>
        </w:tc>
        <w:tc>
          <w:tcPr>
            <w:tcW w:type="dxa" w:w="7060"/>
            <w:tcMar>
              <w:top w:type="dxa" w:w="60"/>
              <w:left w:type="dxa" w:w="100"/>
              <w:bottom w:type="dxa" w:w="60"/>
              <w:right w:type="dxa" w:w="100"/>
            </w:tcMar>
          </w:tcPr>
          <w:p>
            <w:r>
              <w:rPr>
                <w:b w:val="false"/>
                <w:bCs w:val="false"/>
                <w:sz w:val="18"/>
                <w:szCs w:val="18"/>
              </w:rPr>
              <w:t xml:space="preserve">Full i18n (dates, numbers, currency, RTL-ready); all user-facing strings externalized</w:t>
            </w:r>
          </w:p>
        </w:tc>
      </w:tr>
      <w:tr>
        <w:tc>
          <w:tcPr>
            <w:tcW w:type="dxa" w:w="2300"/>
            <w:shd w:fill="EAF2F6" w:val="clear"/>
            <w:tcMar>
              <w:top w:type="dxa" w:w="60"/>
              <w:left w:type="dxa" w:w="100"/>
              <w:bottom w:type="dxa" w:w="60"/>
              <w:right w:type="dxa" w:w="100"/>
            </w:tcMar>
          </w:tcPr>
          <w:p>
            <w:r>
              <w:rPr>
                <w:b w:val="false"/>
                <w:bCs w:val="false"/>
                <w:sz w:val="18"/>
                <w:szCs w:val="18"/>
              </w:rPr>
              <w:t xml:space="preserve">Data residency</w:t>
            </w:r>
          </w:p>
        </w:tc>
        <w:tc>
          <w:tcPr>
            <w:tcW w:type="dxa" w:w="7060"/>
            <w:shd w:fill="EAF2F6" w:val="clear"/>
            <w:tcMar>
              <w:top w:type="dxa" w:w="60"/>
              <w:left w:type="dxa" w:w="100"/>
              <w:bottom w:type="dxa" w:w="60"/>
              <w:right w:type="dxa" w:w="100"/>
            </w:tcMar>
          </w:tcPr>
          <w:p>
            <w:r>
              <w:rPr>
                <w:b w:val="false"/>
                <w:bCs w:val="false"/>
                <w:sz w:val="18"/>
                <w:szCs w:val="18"/>
              </w:rPr>
              <w:t xml:space="preserve">All tenant data, including backups and logs with identifiers, remains in the tenant's selected region</w:t>
            </w:r>
          </w:p>
        </w:tc>
      </w:tr>
    </w:tbl>
    <w:p>
      <w:pPr>
        <w:spacing w:after="200"/>
      </w:pPr>
    </w:p>
    <w:p>
      <w:pPr>
        <w:pStyle w:val="Heading1"/>
        <w:spacing w:after="160" w:before="360"/>
      </w:pPr>
      <w:r>
        <w:rPr>
          <w:color w:val="1F4E5F"/>
        </w:rPr>
        <w:t xml:space="preserve">15. Acceptance Criteria and Definition of Done</w:t>
      </w:r>
    </w:p>
    <w:p>
      <w:pPr>
        <w:spacing w:after="160" w:line="300"/>
        <w:jc w:val="both"/>
      </w:pPr>
      <w:r>
        <w:rPr>
          <w:sz w:val="22"/>
          <w:szCs w:val="22"/>
        </w:rPr>
        <w:t xml:space="preserve">Every requirement is accepted only with: automated tests at the appropriate level referencing the requirement ID; audit events verified where patient data is touched; tenant-isolation tests passing; UI meeting accessibility checks; and documentation (user-facing and API where applicable) updated. Detailed acceptance criteria are authored per requirement in the tracker using Given/When/Then form; two exemplars establish the expected style:</w:t>
      </w:r>
    </w:p>
    <w:p>
      <w:pPr>
        <w:spacing w:after="60" w:line="260"/>
      </w:pPr>
      <w:r>
        <w:rPr>
          <w:rFonts w:ascii="Consolas" w:cs="Consolas" w:eastAsia="Consolas" w:hAnsi="Consolas"/>
          <w:sz w:val="18"/>
          <w:szCs w:val="18"/>
        </w:rPr>
        <w:t xml:space="preserve">REG-003  Given a tenant with patients on file</w:t>
      </w:r>
    </w:p>
    <w:p>
      <w:pPr>
        <w:spacing w:after="60" w:line="260"/>
      </w:pPr>
      <w:r>
        <w:rPr>
          <w:rFonts w:ascii="Consolas" w:cs="Consolas" w:eastAsia="Consolas" w:hAnsi="Consolas"/>
          <w:sz w:val="18"/>
          <w:szCs w:val="18"/>
        </w:rPr>
        <w:t xml:space="preserve">         When a receptionist saves a new patient whose name, DOB and phone</w:t>
      </w:r>
    </w:p>
    <w:p>
      <w:pPr>
        <w:spacing w:after="60" w:line="260"/>
      </w:pPr>
      <w:r>
        <w:rPr>
          <w:rFonts w:ascii="Consolas" w:cs="Consolas" w:eastAsia="Consolas" w:hAnsi="Consolas"/>
          <w:sz w:val="18"/>
          <w:szCs w:val="18"/>
        </w:rPr>
        <w:t xml:space="preserve">         closely match an existing record</w:t>
      </w:r>
    </w:p>
    <w:p>
      <w:pPr>
        <w:spacing w:after="60" w:line="260"/>
      </w:pPr>
      <w:r>
        <w:rPr>
          <w:rFonts w:ascii="Consolas" w:cs="Consolas" w:eastAsia="Consolas" w:hAnsi="Consolas"/>
          <w:sz w:val="18"/>
          <w:szCs w:val="18"/>
        </w:rPr>
        <w:t xml:space="preserve">         Then ranked candidate matches are shown with scores</w:t>
      </w:r>
    </w:p>
    <w:p>
      <w:pPr>
        <w:spacing w:after="60" w:line="260"/>
      </w:pPr>
      <w:r>
        <w:rPr>
          <w:rFonts w:ascii="Consolas" w:cs="Consolas" w:eastAsia="Consolas" w:hAnsi="Consolas"/>
          <w:sz w:val="18"/>
          <w:szCs w:val="18"/>
        </w:rPr>
        <w:t xml:space="preserve">         And a new record can only be created after explicit 'not a match'</w:t>
      </w:r>
    </w:p>
    <w:p>
      <w:pPr>
        <w:spacing w:after="60" w:line="260"/>
      </w:pPr>
      <w:r>
        <w:rPr>
          <w:rFonts w:ascii="Consolas" w:cs="Consolas" w:eastAsia="Consolas" w:hAnsi="Consolas"/>
          <w:sz w:val="18"/>
          <w:szCs w:val="18"/>
        </w:rPr>
        <w:t xml:space="preserve">         And that decision is captured in the audit log.</w:t>
      </w:r>
    </w:p>
    <w:p>
      <w:pPr>
        <w:spacing w:after="120"/>
      </w:pPr>
    </w:p>
    <w:p>
      <w:pPr>
        <w:spacing w:after="60" w:line="260"/>
      </w:pPr>
      <w:r>
        <w:rPr>
          <w:rFonts w:ascii="Consolas" w:cs="Consolas" w:eastAsia="Consolas" w:hAnsi="Consolas"/>
          <w:sz w:val="18"/>
          <w:szCs w:val="18"/>
        </w:rPr>
        <w:t xml:space="preserve">RX-003   Given a patient with a recorded penicillin allergy</w:t>
      </w:r>
    </w:p>
    <w:p>
      <w:pPr>
        <w:spacing w:after="60" w:line="260"/>
      </w:pPr>
      <w:r>
        <w:rPr>
          <w:rFonts w:ascii="Consolas" w:cs="Consolas" w:eastAsia="Consolas" w:hAnsi="Consolas"/>
          <w:sz w:val="18"/>
          <w:szCs w:val="18"/>
        </w:rPr>
        <w:t xml:space="preserve">         When a physician signs a prescription for amoxicillin</w:t>
      </w:r>
    </w:p>
    <w:p>
      <w:pPr>
        <w:spacing w:after="60" w:line="260"/>
      </w:pPr>
      <w:r>
        <w:rPr>
          <w:rFonts w:ascii="Consolas" w:cs="Consolas" w:eastAsia="Consolas" w:hAnsi="Consolas"/>
          <w:sz w:val="18"/>
          <w:szCs w:val="18"/>
        </w:rPr>
        <w:t xml:space="preserve">         Then a high-severity drug-allergy alert is displayed</w:t>
      </w:r>
    </w:p>
    <w:p>
      <w:pPr>
        <w:spacing w:after="60" w:line="260"/>
      </w:pPr>
      <w:r>
        <w:rPr>
          <w:rFonts w:ascii="Consolas" w:cs="Consolas" w:eastAsia="Consolas" w:hAnsi="Consolas"/>
          <w:sz w:val="18"/>
          <w:szCs w:val="18"/>
        </w:rPr>
        <w:t xml:space="preserve">         And signing is blocked until a coded override reason is entered</w:t>
      </w:r>
    </w:p>
    <w:p>
      <w:pPr>
        <w:spacing w:after="60" w:line="260"/>
      </w:pPr>
      <w:r>
        <w:rPr>
          <w:rFonts w:ascii="Consolas" w:cs="Consolas" w:eastAsia="Consolas" w:hAnsi="Consolas"/>
          <w:sz w:val="18"/>
          <w:szCs w:val="18"/>
        </w:rPr>
        <w:t xml:space="preserve">         And the override appears in the audit log and override report.</w:t>
      </w:r>
    </w:p>
    <w:p>
      <w:pPr>
        <w:spacing w:after="200"/>
      </w:pPr>
    </w:p>
    <w:p>
      <w:pPr>
        <w:pStyle w:val="Heading1"/>
        <w:spacing w:after="160" w:before="360"/>
      </w:pPr>
      <w:r>
        <w:rPr>
          <w:color w:val="1F4E5F"/>
        </w:rPr>
        <w:t xml:space="preserve">16. Traceability, Assumptions, and Change Control</w:t>
      </w:r>
    </w:p>
    <w:p>
      <w:pPr>
        <w:spacing w:after="160" w:line="300"/>
        <w:jc w:val="both"/>
      </w:pPr>
      <w:r>
        <w:rPr>
          <w:sz w:val="22"/>
          <w:szCs w:val="22"/>
        </w:rPr>
        <w:t xml:space="preserve">Requirement IDs in this document are the single reference used across the backlog, code, tests, and release notes; a traceability report (requirement to epic to test to release) is generated each sprint. Assumptions: a licensed drug database and terminology licenses (SNOMED CT, LOINC, ICD-10) are procured before RX/EMR build; the launch region and its regulatory dossier are confirmed before BIL claim formats and RX-005 legal content are finalized; design partners provide sample legacy data for migration tooling by Stage 2. Changes to Must-have requirements require product and engineering leads' sign-off and a version increment of this document; Should/Could re-prioritization is handled in sprint planning and logged in the document changelog.</w:t>
      </w:r>
    </w:p>
    <w:p>
      <w:pPr>
        <w:spacing w:after="160" w:line="300"/>
        <w:jc w:val="both"/>
      </w:pPr>
      <w:r>
        <w:rPr>
          <w:sz w:val="22"/>
          <w:szCs w:val="22"/>
        </w:rPr>
        <w:t xml:space="preserve">This FRD is the baseline for MVP build. Engineering should proceed with technical design against the PLT and IAM modules immediately, in parallel with tracker decomposition of the remaining modules in the order: REG, SCH, EMR, RX, ORD, BIL, POR, RPT, INT — reflecting both dependency order and the demo path of the end-to-end outpatient journey.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HMS FRD v1.0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2026-07-19T20:33:48.554Z</dcterms:created>
  <dcterms:modified xsi:type="dcterms:W3CDTF">2026-07-19T20:33:48.567Z</dcterms:modified>
</cp:coreProperties>
</file>

<file path=docProps/custom.xml><?xml version="1.0" encoding="utf-8"?>
<Properties xmlns="http://schemas.openxmlformats.org/officeDocument/2006/custom-properties" xmlns:vt="http://schemas.openxmlformats.org/officeDocument/2006/docPropsVTypes"/>
</file>