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aps/>
          <w:color w:val="2E86AB"/>
          <w:sz w:val="28"/>
          <w:szCs w:val="28"/>
        </w:rPr>
        <w:t xml:space="preserve">PRODUCT PROPOSAL</w:t>
      </w:r>
    </w:p>
    <w:p>
      <w:pPr>
        <w:spacing w:after="200" w:before="200"/>
        <w:jc w:val="center"/>
      </w:pPr>
      <w:r>
        <w:rPr>
          <w:b/>
          <w:bCs/>
          <w:color w:val="1F4E5F"/>
          <w:sz w:val="52"/>
          <w:szCs w:val="52"/>
        </w:rPr>
        <w:t xml:space="preserve">Next-Generation Hospital Management System</w:t>
      </w:r>
    </w:p>
    <w:p>
      <w:pPr>
        <w:jc w:val="center"/>
      </w:pPr>
      <w:r>
        <w:rPr>
          <w:i/>
          <w:iCs/>
          <w:color w:val="555555"/>
          <w:sz w:val="26"/>
          <w:szCs w:val="26"/>
        </w:rPr>
        <w:t xml:space="preserve">A multi-tenant SaaS platform for hospitals and clinic networks</w:t>
      </w:r>
    </w:p>
    <w:p>
      <w:pPr>
        <w:spacing w:before="2400"/>
        <w:jc w:val="center"/>
      </w:pPr>
      <w:r>
        <w:rPr>
          <w:color w:val="777777"/>
          <w:sz w:val="22"/>
          <w:szCs w:val="22"/>
        </w:rPr>
        <w:t xml:space="preserve">Version 1.0  ·  July 2026  ·  Confidential Draft</w:t>
      </w:r>
    </w:p>
    <w:p>
      <w:r>
        <w:br w:type="page"/>
      </w:r>
    </w:p>
    <w:p>
      <w:pPr>
        <w:pStyle w:val="Heading1"/>
        <w:spacing w:after="160" w:before="360"/>
      </w:pPr>
      <w:r>
        <w:rPr>
          <w:color w:val="1F4E5F"/>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color w:val="1F4E5F"/>
        </w:rPr>
        <w:t xml:space="preserve">1. Executive Summary</w:t>
      </w:r>
    </w:p>
    <w:p>
      <w:pPr>
        <w:spacing w:after="160" w:line="300"/>
        <w:jc w:val="both"/>
      </w:pPr>
      <w:r>
        <w:rPr>
          <w:sz w:val="22"/>
          <w:szCs w:val="22"/>
        </w:rPr>
        <w:t xml:space="preserve">This proposal presents the plan for a next-generation Hospital Management System delivered as multi-tenant SaaS: a single, cloud-native platform that any hospital, clinic chain, or day-surgery center can subscribe to, onboard onto in weeks rather than years, and run without owning servers, interface engines, or upgrade projects. The product unifies the electronic medical record, orders and pharmacy, scheduling and patient flow, billing and claims, patient engagement, and embedded AI on one FHIR-native data core, and is sold on a per-bed / per-provider subscription.</w:t>
      </w:r>
    </w:p>
    <w:p>
      <w:pPr>
        <w:spacing w:after="160" w:line="300"/>
        <w:jc w:val="both"/>
      </w:pPr>
      <w:r>
        <w:rPr>
          <w:sz w:val="22"/>
          <w:szCs w:val="22"/>
        </w:rPr>
        <w:t xml:space="preserve">The opportunity is structural. The majority of small and mid-size hospitals worldwide still run fragmented, on-premise systems that are expensive to maintain and effectively impossible for them to modernize on their own; enterprise EMR vendors price and implement for large health systems, leaving the mid-market underserved. A true SaaS HMS — one codebase, continuous delivery, standardized onboarding, open APIs — can serve this segment at a price point and implementation speed incumbents cannot match, in the same way SaaS reshaped ERP and CRM for the mid-market.</w:t>
      </w:r>
    </w:p>
    <w:p>
      <w:pPr>
        <w:spacing w:after="160" w:line="300"/>
        <w:jc w:val="both"/>
      </w:pPr>
      <w:r>
        <w:rPr>
          <w:sz w:val="22"/>
          <w:szCs w:val="22"/>
        </w:rPr>
        <w:t xml:space="preserve">The plan targets a design-partner cohort of 3–5 facilities within 9 months, general availability at month 12–15, and a repeatable land-and-expand motion thereafter: land with scheduling, EMR, and billing; expand into pharmacy, theatres, analytics, and AI modules. This document sets out the market, product scope, multi-tenant architecture, compliance strategy, pricing, go-to-market, delivery roadmap, team, financial framework, and risks, and requests approval and funding to build the MVP and sign design partners.</w:t>
      </w:r>
    </w:p>
    <w:p>
      <w:pPr>
        <w:pStyle w:val="Heading1"/>
        <w:spacing w:after="160" w:before="360"/>
      </w:pPr>
      <w:r>
        <w:rPr>
          <w:color w:val="1F4E5F"/>
        </w:rPr>
        <w:t xml:space="preserve">2. Market Opportunity and Problem</w:t>
      </w:r>
    </w:p>
    <w:p>
      <w:pPr>
        <w:spacing w:after="160" w:line="300"/>
        <w:jc w:val="both"/>
      </w:pPr>
      <w:r>
        <w:rPr>
          <w:sz w:val="22"/>
          <w:szCs w:val="22"/>
        </w:rPr>
        <w:t xml:space="preserve">Hospital software spending is large and growing, but its distribution is the real story: a small number of enterprise vendors dominate large health systems, while the long tail — community hospitals, private hospitals in emerging markets, specialty and day-care facilities, and multi-site clinic chains — runs on aging client-server HIS products, disconnected departmental tools, or paper. These buyers share the same pains: they cannot afford multi-year implementations; they lack IT teams to run infrastructure and interfaces; their systems do not talk to labs, payers, or national exchanges without custom work; regulators increasingly demand interoperability and electronic reporting they cannot deliver; and clinicians are burning out on systems designed decades ago.</w:t>
      </w:r>
    </w:p>
    <w:p>
      <w:pPr>
        <w:spacing w:after="160" w:line="300"/>
        <w:jc w:val="both"/>
      </w:pPr>
      <w:r>
        <w:rPr>
          <w:sz w:val="22"/>
          <w:szCs w:val="22"/>
        </w:rPr>
        <w:t xml:space="preserve">For this segment, SaaS is not a deployment preference but the only viable modernization path. The product thesis is therefore simple: deliver enterprise-grade clinical and revenue capability with consumer-grade usability, priced monthly, onboarded in 8–12 weeks, and improved continuously for every tenant at once. Initial focus is mid-size facilities (roughly 30–300 beds) and multi-site outpatient networks in one or two launch regions, chosen for regulatory clarity and reference-ability, before broader geographic expansion.</w:t>
      </w:r>
    </w:p>
    <w:p>
      <w:pPr>
        <w:pStyle w:val="Heading2"/>
        <w:spacing w:after="120" w:before="280"/>
      </w:pPr>
      <w:r>
        <w:rPr>
          <w:color w:val="2E86AB"/>
        </w:rPr>
        <w:t xml:space="preserve">2.1 Competitive Positioning</w:t>
      </w:r>
    </w:p>
    <w:p>
      <w:pPr>
        <w:spacing w:after="160" w:line="300"/>
        <w:jc w:val="both"/>
      </w:pPr>
      <w:r>
        <w:rPr>
          <w:sz w:val="22"/>
          <w:szCs w:val="22"/>
        </w:rPr>
        <w:t xml:space="preserve">The platform positions against three alternatives. Against legacy on-premise HIS vendors, it wins on total cost of ownership, upgrade velocity, and interoperability. Against enterprise EMRs moving down-market, it wins on implementation speed, pricing model, and mid-market workflow fit. Against point solutions and local system integrators, it wins on breadth of an integrated suite and on not leaving the customer as the systems integrator. The durable moats are the standardized onboarding playbook, the network of payer/lab/exchange connectors that each new region compounds, and — with tenant consent and strict governance — cross-tenant benchmarking and AI models that improve with scale.</w:t>
      </w:r>
    </w:p>
    <w:p>
      <w:pPr>
        <w:pStyle w:val="Heading1"/>
        <w:spacing w:after="160" w:before="360"/>
      </w:pPr>
      <w:r>
        <w:rPr>
          <w:color w:val="1F4E5F"/>
        </w:rPr>
        <w:t xml:space="preserve">3. Product Vision and Principles</w:t>
      </w:r>
    </w:p>
    <w:p>
      <w:pPr>
        <w:spacing w:after="160" w:line="300"/>
        <w:jc w:val="both"/>
      </w:pPr>
      <w:r>
        <w:rPr>
          <w:sz w:val="22"/>
          <w:szCs w:val="22"/>
        </w:rPr>
        <w:t xml:space="preserve">One platform, any facility, live in weeks. Every product decision follows five principles.</w:t>
      </w:r>
    </w:p>
    <w:p>
      <w:pPr>
        <w:spacing w:after="160" w:line="300"/>
        <w:jc w:val="both"/>
      </w:pPr>
      <w:r>
        <w:rPr>
          <w:b/>
          <w:bCs/>
          <w:sz w:val="22"/>
          <w:szCs w:val="22"/>
        </w:rPr>
        <w:t xml:space="preserve">Multi-tenant to the core. </w:t>
      </w:r>
      <w:r>
        <w:rPr>
          <w:sz w:val="22"/>
          <w:szCs w:val="22"/>
        </w:rPr>
        <w:t xml:space="preserve">One codebase and one production platform serve all customers, with hard tenant isolation. Configuration — not customization — adapts the product to each facility, so every tenant benefits from every release.</w:t>
      </w:r>
    </w:p>
    <w:p>
      <w:pPr>
        <w:spacing w:after="160" w:line="300"/>
        <w:jc w:val="both"/>
      </w:pPr>
      <w:r>
        <w:rPr>
          <w:b/>
          <w:bCs/>
          <w:sz w:val="22"/>
          <w:szCs w:val="22"/>
        </w:rPr>
        <w:t xml:space="preserve">Onboarding as a product. </w:t>
      </w:r>
      <w:r>
        <w:rPr>
          <w:sz w:val="22"/>
          <w:szCs w:val="22"/>
        </w:rPr>
        <w:t xml:space="preserve">Self-serve configuration wizards, template libraries by facility type, guided data migration tooling, and in-product training are engineered features, not services engagements. Target: first department live in under 30 days, full facility in 8–12 weeks.</w:t>
      </w:r>
    </w:p>
    <w:p>
      <w:pPr>
        <w:spacing w:after="160" w:line="300"/>
        <w:jc w:val="both"/>
      </w:pPr>
      <w:r>
        <w:rPr>
          <w:b/>
          <w:bCs/>
          <w:sz w:val="22"/>
          <w:szCs w:val="22"/>
        </w:rPr>
        <w:t xml:space="preserve">Open by default. </w:t>
      </w:r>
      <w:r>
        <w:rPr>
          <w:sz w:val="22"/>
          <w:szCs w:val="22"/>
        </w:rPr>
        <w:t xml:space="preserve">FHIR-native record, public APIs, SMART on FHIR apps, and standard terminologies. Customers own their data and can leave with it — which is precisely why they can trust staying.</w:t>
      </w:r>
    </w:p>
    <w:p>
      <w:pPr>
        <w:spacing w:after="160" w:line="300"/>
        <w:jc w:val="both"/>
      </w:pPr>
      <w:r>
        <w:rPr>
          <w:b/>
          <w:bCs/>
          <w:sz w:val="22"/>
          <w:szCs w:val="22"/>
        </w:rPr>
        <w:t xml:space="preserve">AI where it pays for itself. </w:t>
      </w:r>
      <w:r>
        <w:rPr>
          <w:sz w:val="22"/>
          <w:szCs w:val="22"/>
        </w:rPr>
        <w:t xml:space="preserve">Ambient scribing, coding suggestion, denial prediction, and no-show/demand forecasting ship as governed, opt-in modules with human-in-the-loop controls and per-tenant validation.</w:t>
      </w:r>
    </w:p>
    <w:p>
      <w:pPr>
        <w:spacing w:after="160" w:line="300"/>
        <w:jc w:val="both"/>
      </w:pPr>
      <w:r>
        <w:rPr>
          <w:b/>
          <w:bCs/>
          <w:sz w:val="22"/>
          <w:szCs w:val="22"/>
        </w:rPr>
        <w:t xml:space="preserve">Reliability as a feature. </w:t>
      </w:r>
      <w:r>
        <w:rPr>
          <w:sz w:val="22"/>
          <w:szCs w:val="22"/>
        </w:rPr>
        <w:t xml:space="preserve">99.95% availability SLA, regional data residency, offline-capable critical workflows, and status transparency. Hospitals do not close; neither does the platform.</w:t>
      </w:r>
    </w:p>
    <w:p>
      <w:pPr>
        <w:pStyle w:val="Heading1"/>
        <w:spacing w:after="160" w:before="360"/>
      </w:pPr>
      <w:r>
        <w:rPr>
          <w:color w:val="1F4E5F"/>
        </w:rPr>
        <w:t xml:space="preserve">4. Product Scope and Packaging</w:t>
      </w:r>
    </w:p>
    <w:p>
      <w:pPr>
        <w:spacing w:after="160" w:line="300"/>
        <w:jc w:val="both"/>
      </w:pPr>
      <w:r>
        <w:rPr>
          <w:sz w:val="22"/>
          <w:szCs w:val="22"/>
        </w:rPr>
        <w:t xml:space="preserve">Capabilities are packaged as modules on a shared core (identity, master patient index, FHIR clinical repository, consent and audit, integration hub, notification and messaging services). Modules are licensable independently but designed as one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700"/>
        <w:gridCol w:w="2960"/>
      </w:tblGrid>
      <w:tr>
        <w:trPr>
          <w:tblHeader/>
        </w:trPr>
        <w:tc>
          <w:tcPr>
            <w:tcW w:type="dxa" w:w="1700"/>
            <w:shd w:fill="1F4E5F" w:val="clear"/>
            <w:tcMar>
              <w:top w:type="dxa" w:w="80"/>
              <w:left w:type="dxa" w:w="120"/>
              <w:bottom w:type="dxa" w:w="80"/>
              <w:right w:type="dxa" w:w="120"/>
            </w:tcMar>
          </w:tcPr>
          <w:p>
            <w:r>
              <w:rPr>
                <w:b/>
                <w:bCs/>
                <w:color w:val="FFFFFF"/>
                <w:sz w:val="20"/>
                <w:szCs w:val="20"/>
              </w:rPr>
              <w:t xml:space="preserve">Package</w:t>
            </w:r>
          </w:p>
        </w:tc>
        <w:tc>
          <w:tcPr>
            <w:tcW w:type="dxa" w:w="4700"/>
            <w:shd w:fill="1F4E5F" w:val="clear"/>
            <w:tcMar>
              <w:top w:type="dxa" w:w="80"/>
              <w:left w:type="dxa" w:w="120"/>
              <w:bottom w:type="dxa" w:w="80"/>
              <w:right w:type="dxa" w:w="120"/>
            </w:tcMar>
          </w:tcPr>
          <w:p>
            <w:r>
              <w:rPr>
                <w:b/>
                <w:bCs/>
                <w:color w:val="FFFFFF"/>
                <w:sz w:val="20"/>
                <w:szCs w:val="20"/>
              </w:rPr>
              <w:t xml:space="preserve">Modules</w:t>
            </w:r>
          </w:p>
        </w:tc>
        <w:tc>
          <w:tcPr>
            <w:tcW w:type="dxa" w:w="2960"/>
            <w:shd w:fill="1F4E5F" w:val="clear"/>
            <w:tcMar>
              <w:top w:type="dxa" w:w="80"/>
              <w:left w:type="dxa" w:w="120"/>
              <w:bottom w:type="dxa" w:w="80"/>
              <w:right w:type="dxa" w:w="120"/>
            </w:tcMar>
          </w:tcPr>
          <w:p>
            <w:r>
              <w:rPr>
                <w:b/>
                <w:bCs/>
                <w:color w:val="FFFFFF"/>
                <w:sz w:val="20"/>
                <w:szCs w:val="20"/>
              </w:rPr>
              <w:t xml:space="preserve">Typical Buyer</w:t>
            </w:r>
          </w:p>
        </w:tc>
      </w:tr>
      <w:tr>
        <w:tc>
          <w:tcPr>
            <w:tcW w:type="dxa" w:w="1700"/>
            <w:tcMar>
              <w:top w:type="dxa" w:w="80"/>
              <w:left w:type="dxa" w:w="120"/>
              <w:bottom w:type="dxa" w:w="80"/>
              <w:right w:type="dxa" w:w="120"/>
            </w:tcMar>
          </w:tcPr>
          <w:p>
            <w:r>
              <w:rPr>
                <w:b w:val="false"/>
                <w:bCs w:val="false"/>
                <w:sz w:val="20"/>
                <w:szCs w:val="20"/>
              </w:rPr>
              <w:t xml:space="preserve">Core (land)</w:t>
            </w:r>
          </w:p>
        </w:tc>
        <w:tc>
          <w:tcPr>
            <w:tcW w:type="dxa" w:w="4700"/>
            <w:tcMar>
              <w:top w:type="dxa" w:w="80"/>
              <w:left w:type="dxa" w:w="120"/>
              <w:bottom w:type="dxa" w:w="80"/>
              <w:right w:type="dxa" w:w="120"/>
            </w:tcMar>
          </w:tcPr>
          <w:p>
            <w:r>
              <w:rPr>
                <w:b w:val="false"/>
                <w:bCs w:val="false"/>
                <w:sz w:val="20"/>
                <w:szCs w:val="20"/>
              </w:rPr>
              <w:t xml:space="preserve">Patient registration &amp; MPI, scheduling, outpatient EMR, e-prescribing, billing &amp; claims, patient portal</w:t>
            </w:r>
          </w:p>
        </w:tc>
        <w:tc>
          <w:tcPr>
            <w:tcW w:type="dxa" w:w="2960"/>
            <w:tcMar>
              <w:top w:type="dxa" w:w="80"/>
              <w:left w:type="dxa" w:w="120"/>
              <w:bottom w:type="dxa" w:w="80"/>
              <w:right w:type="dxa" w:w="120"/>
            </w:tcMar>
          </w:tcPr>
          <w:p>
            <w:r>
              <w:rPr>
                <w:b w:val="false"/>
                <w:bCs w:val="false"/>
                <w:sz w:val="20"/>
                <w:szCs w:val="20"/>
              </w:rPr>
              <w:t xml:space="preserve">Clinics, day-care centers, small hospitals</w:t>
            </w:r>
          </w:p>
        </w:tc>
      </w:tr>
      <w:tr>
        <w:tc>
          <w:tcPr>
            <w:tcW w:type="dxa" w:w="1700"/>
            <w:shd w:fill="EAF2F6" w:val="clear"/>
            <w:tcMar>
              <w:top w:type="dxa" w:w="80"/>
              <w:left w:type="dxa" w:w="120"/>
              <w:bottom w:type="dxa" w:w="80"/>
              <w:right w:type="dxa" w:w="120"/>
            </w:tcMar>
          </w:tcPr>
          <w:p>
            <w:r>
              <w:rPr>
                <w:b w:val="false"/>
                <w:bCs w:val="false"/>
                <w:sz w:val="20"/>
                <w:szCs w:val="20"/>
              </w:rPr>
              <w:t xml:space="preserve">Inpatient</w:t>
            </w:r>
          </w:p>
        </w:tc>
        <w:tc>
          <w:tcPr>
            <w:tcW w:type="dxa" w:w="4700"/>
            <w:shd w:fill="EAF2F6" w:val="clear"/>
            <w:tcMar>
              <w:top w:type="dxa" w:w="80"/>
              <w:left w:type="dxa" w:w="120"/>
              <w:bottom w:type="dxa" w:w="80"/>
              <w:right w:type="dxa" w:w="120"/>
            </w:tcMar>
          </w:tcPr>
          <w:p>
            <w:r>
              <w:rPr>
                <w:b w:val="false"/>
                <w:bCs w:val="false"/>
                <w:sz w:val="20"/>
                <w:szCs w:val="20"/>
              </w:rPr>
              <w:t xml:space="preserve">Ward/bed management, inpatient EMR &amp; CPOE, nursing workflows, closed-loop medication, ED tracking</w:t>
            </w:r>
          </w:p>
        </w:tc>
        <w:tc>
          <w:tcPr>
            <w:tcW w:type="dxa" w:w="2960"/>
            <w:shd w:fill="EAF2F6" w:val="clear"/>
            <w:tcMar>
              <w:top w:type="dxa" w:w="80"/>
              <w:left w:type="dxa" w:w="120"/>
              <w:bottom w:type="dxa" w:w="80"/>
              <w:right w:type="dxa" w:w="120"/>
            </w:tcMar>
          </w:tcPr>
          <w:p>
            <w:r>
              <w:rPr>
                <w:b w:val="false"/>
                <w:bCs w:val="false"/>
                <w:sz w:val="20"/>
                <w:szCs w:val="20"/>
              </w:rPr>
              <w:t xml:space="preserve">30–300 bed hospitals</w:t>
            </w:r>
          </w:p>
        </w:tc>
      </w:tr>
      <w:tr>
        <w:tc>
          <w:tcPr>
            <w:tcW w:type="dxa" w:w="1700"/>
            <w:tcMar>
              <w:top w:type="dxa" w:w="80"/>
              <w:left w:type="dxa" w:w="120"/>
              <w:bottom w:type="dxa" w:w="80"/>
              <w:right w:type="dxa" w:w="120"/>
            </w:tcMar>
          </w:tcPr>
          <w:p>
            <w:r>
              <w:rPr>
                <w:b w:val="false"/>
                <w:bCs w:val="false"/>
                <w:sz w:val="20"/>
                <w:szCs w:val="20"/>
              </w:rPr>
              <w:t xml:space="preserve">Clinical Ops</w:t>
            </w:r>
          </w:p>
        </w:tc>
        <w:tc>
          <w:tcPr>
            <w:tcW w:type="dxa" w:w="4700"/>
            <w:tcMar>
              <w:top w:type="dxa" w:w="80"/>
              <w:left w:type="dxa" w:w="120"/>
              <w:bottom w:type="dxa" w:w="80"/>
              <w:right w:type="dxa" w:w="120"/>
            </w:tcMar>
          </w:tcPr>
          <w:p>
            <w:r>
              <w:rPr>
                <w:b w:val="false"/>
                <w:bCs w:val="false"/>
                <w:sz w:val="20"/>
                <w:szCs w:val="20"/>
              </w:rPr>
              <w:t xml:space="preserve">Theatre/OR management, lab &amp; radiology connectivity (LIS/RIS/PACS via DICOM/HL7), pharmacy &amp; inventory</w:t>
            </w:r>
          </w:p>
        </w:tc>
        <w:tc>
          <w:tcPr>
            <w:tcW w:type="dxa" w:w="2960"/>
            <w:tcMar>
              <w:top w:type="dxa" w:w="80"/>
              <w:left w:type="dxa" w:w="120"/>
              <w:bottom w:type="dxa" w:w="80"/>
              <w:right w:type="dxa" w:w="120"/>
            </w:tcMar>
          </w:tcPr>
          <w:p>
            <w:r>
              <w:rPr>
                <w:b w:val="false"/>
                <w:bCs w:val="false"/>
                <w:sz w:val="20"/>
                <w:szCs w:val="20"/>
              </w:rPr>
              <w:t xml:space="preserve">Full-service hospitals</w:t>
            </w:r>
          </w:p>
        </w:tc>
      </w:tr>
      <w:tr>
        <w:tc>
          <w:tcPr>
            <w:tcW w:type="dxa" w:w="1700"/>
            <w:shd w:fill="EAF2F6" w:val="clear"/>
            <w:tcMar>
              <w:top w:type="dxa" w:w="80"/>
              <w:left w:type="dxa" w:w="120"/>
              <w:bottom w:type="dxa" w:w="80"/>
              <w:right w:type="dxa" w:w="120"/>
            </w:tcMar>
          </w:tcPr>
          <w:p>
            <w:r>
              <w:rPr>
                <w:b w:val="false"/>
                <w:bCs w:val="false"/>
                <w:sz w:val="20"/>
                <w:szCs w:val="20"/>
              </w:rPr>
              <w:t xml:space="preserve">Engage</w:t>
            </w:r>
          </w:p>
        </w:tc>
        <w:tc>
          <w:tcPr>
            <w:tcW w:type="dxa" w:w="4700"/>
            <w:shd w:fill="EAF2F6" w:val="clear"/>
            <w:tcMar>
              <w:top w:type="dxa" w:w="80"/>
              <w:left w:type="dxa" w:w="120"/>
              <w:bottom w:type="dxa" w:w="80"/>
              <w:right w:type="dxa" w:w="120"/>
            </w:tcMar>
          </w:tcPr>
          <w:p>
            <w:r>
              <w:rPr>
                <w:b w:val="false"/>
                <w:bCs w:val="false"/>
                <w:sz w:val="20"/>
                <w:szCs w:val="20"/>
              </w:rPr>
              <w:t xml:space="preserve">Mobile patient app, telehealth, reminders &amp; recalls, digital intake &amp; consent, payments</w:t>
            </w:r>
          </w:p>
        </w:tc>
        <w:tc>
          <w:tcPr>
            <w:tcW w:type="dxa" w:w="2960"/>
            <w:shd w:fill="EAF2F6" w:val="clear"/>
            <w:tcMar>
              <w:top w:type="dxa" w:w="80"/>
              <w:left w:type="dxa" w:w="120"/>
              <w:bottom w:type="dxa" w:w="80"/>
              <w:right w:type="dxa" w:w="120"/>
            </w:tcMar>
          </w:tcPr>
          <w:p>
            <w:r>
              <w:rPr>
                <w:b w:val="false"/>
                <w:bCs w:val="false"/>
                <w:sz w:val="20"/>
                <w:szCs w:val="20"/>
              </w:rPr>
              <w:t xml:space="preserve">All segments</w:t>
            </w:r>
          </w:p>
        </w:tc>
      </w:tr>
      <w:tr>
        <w:tc>
          <w:tcPr>
            <w:tcW w:type="dxa" w:w="1700"/>
            <w:tcMar>
              <w:top w:type="dxa" w:w="80"/>
              <w:left w:type="dxa" w:w="120"/>
              <w:bottom w:type="dxa" w:w="80"/>
              <w:right w:type="dxa" w:w="120"/>
            </w:tcMar>
          </w:tcPr>
          <w:p>
            <w:r>
              <w:rPr>
                <w:b w:val="false"/>
                <w:bCs w:val="false"/>
                <w:sz w:val="20"/>
                <w:szCs w:val="20"/>
              </w:rPr>
              <w:t xml:space="preserve">Intelligence</w:t>
            </w:r>
          </w:p>
        </w:tc>
        <w:tc>
          <w:tcPr>
            <w:tcW w:type="dxa" w:w="4700"/>
            <w:tcMar>
              <w:top w:type="dxa" w:w="80"/>
              <w:left w:type="dxa" w:w="120"/>
              <w:bottom w:type="dxa" w:w="80"/>
              <w:right w:type="dxa" w:w="120"/>
            </w:tcMar>
          </w:tcPr>
          <w:p>
            <w:r>
              <w:rPr>
                <w:b w:val="false"/>
                <w:bCs w:val="false"/>
                <w:sz w:val="20"/>
                <w:szCs w:val="20"/>
              </w:rPr>
              <w:t xml:space="preserve">Dashboards &amp; KPI packs, ambient AI scribe, coding assist, denial prediction, demand forecasting</w:t>
            </w:r>
          </w:p>
        </w:tc>
        <w:tc>
          <w:tcPr>
            <w:tcW w:type="dxa" w:w="2960"/>
            <w:tcMar>
              <w:top w:type="dxa" w:w="80"/>
              <w:left w:type="dxa" w:w="120"/>
              <w:bottom w:type="dxa" w:w="80"/>
              <w:right w:type="dxa" w:w="120"/>
            </w:tcMar>
          </w:tcPr>
          <w:p>
            <w:r>
              <w:rPr>
                <w:b w:val="false"/>
                <w:bCs w:val="false"/>
                <w:sz w:val="20"/>
                <w:szCs w:val="20"/>
              </w:rPr>
              <w:t xml:space="preserve">Expansion / upsell</w:t>
            </w:r>
          </w:p>
        </w:tc>
      </w:tr>
      <w:tr>
        <w:tc>
          <w:tcPr>
            <w:tcW w:type="dxa" w:w="1700"/>
            <w:shd w:fill="EAF2F6" w:val="clear"/>
            <w:tcMar>
              <w:top w:type="dxa" w:w="80"/>
              <w:left w:type="dxa" w:w="120"/>
              <w:bottom w:type="dxa" w:w="80"/>
              <w:right w:type="dxa" w:w="120"/>
            </w:tcMar>
          </w:tcPr>
          <w:p>
            <w:r>
              <w:rPr>
                <w:b w:val="false"/>
                <w:bCs w:val="false"/>
                <w:sz w:val="20"/>
                <w:szCs w:val="20"/>
              </w:rPr>
              <w:t xml:space="preserve">Network</w:t>
            </w:r>
          </w:p>
        </w:tc>
        <w:tc>
          <w:tcPr>
            <w:tcW w:type="dxa" w:w="4700"/>
            <w:shd w:fill="EAF2F6" w:val="clear"/>
            <w:tcMar>
              <w:top w:type="dxa" w:w="80"/>
              <w:left w:type="dxa" w:w="120"/>
              <w:bottom w:type="dxa" w:w="80"/>
              <w:right w:type="dxa" w:w="120"/>
            </w:tcMar>
          </w:tcPr>
          <w:p>
            <w:r>
              <w:rPr>
                <w:b w:val="false"/>
                <w:bCs w:val="false"/>
                <w:sz w:val="20"/>
                <w:szCs w:val="20"/>
              </w:rPr>
              <w:t xml:space="preserve">Multi-facility administration, group reporting, referral management, HQ analytics</w:t>
            </w:r>
          </w:p>
        </w:tc>
        <w:tc>
          <w:tcPr>
            <w:tcW w:type="dxa" w:w="2960"/>
            <w:shd w:fill="EAF2F6" w:val="clear"/>
            <w:tcMar>
              <w:top w:type="dxa" w:w="80"/>
              <w:left w:type="dxa" w:w="120"/>
              <w:bottom w:type="dxa" w:w="80"/>
              <w:right w:type="dxa" w:w="120"/>
            </w:tcMar>
          </w:tcPr>
          <w:p>
            <w:r>
              <w:rPr>
                <w:b w:val="false"/>
                <w:bCs w:val="false"/>
                <w:sz w:val="20"/>
                <w:szCs w:val="20"/>
              </w:rPr>
              <w:t xml:space="preserve">Chains and groups</w:t>
            </w:r>
          </w:p>
        </w:tc>
      </w:tr>
    </w:tbl>
    <w:p>
      <w:pPr>
        <w:spacing w:after="200"/>
      </w:pPr>
    </w:p>
    <w:p>
      <w:pPr>
        <w:spacing w:after="160" w:line="300"/>
        <w:jc w:val="both"/>
      </w:pPr>
      <w:r>
        <w:rPr>
          <w:sz w:val="22"/>
          <w:szCs w:val="22"/>
        </w:rPr>
        <w:t xml:space="preserve">The MVP for design partners comprises the Core package plus lab connectivity and dashboards — the minimum set that runs a real outpatient service end-to-end, from booking through encounter, prescription, invoice, and claim. Inpatient follows for GA.</w:t>
      </w:r>
    </w:p>
    <w:p>
      <w:pPr>
        <w:pStyle w:val="Heading1"/>
        <w:spacing w:after="160" w:before="360"/>
      </w:pPr>
      <w:r>
        <w:rPr>
          <w:color w:val="1F4E5F"/>
        </w:rPr>
        <w:t xml:space="preserve">5. Multi-Tenant SaaS Architecture</w:t>
      </w:r>
    </w:p>
    <w:p>
      <w:pPr>
        <w:spacing w:after="160" w:line="300"/>
        <w:jc w:val="both"/>
      </w:pPr>
      <w:r>
        <w:rPr>
          <w:sz w:val="22"/>
          <w:szCs w:val="22"/>
        </w:rPr>
        <w:t xml:space="preserve">The platform is cloud-native and API-first: containerized microservices on Kubernetes, deployed per region across multiple availability zones, with infrastructure as code and continuous, zero-downtime delivery. Tenancy is pooled at the application tier with strict logical isolation at the data tier — tenant-scoped encryption keys, row-level security enforced in a shared FHIR store, and the option of dedicated database instances for enterprise or regulated tenants. A regional cell architecture provides data residency (each customer's data stays in its selected region) and blast-radius containment; no cross-region replication of identifiable data occurs.</w:t>
      </w:r>
    </w:p>
    <w:p>
      <w:pPr>
        <w:spacing w:after="160" w:line="300"/>
        <w:jc w:val="both"/>
      </w:pPr>
      <w:r>
        <w:rPr>
          <w:sz w:val="22"/>
          <w:szCs w:val="22"/>
        </w:rPr>
        <w:t xml:space="preserve">An event backbone streams clinical and operational events to consuming services and to each tenant's analytics workspace in the governed lakehouse. The integration hub terminates legacy protocols at the edge — HL7 v2 for labs and devices, DICOM for imaging, payer EDI for claims, national exchange connectors per region — translating everything to FHIR internally, so connectors are built once and reused across all tenants in a region. The web application, clinician mobile app, and patient app consume the same public APIs available to third-party developers under SMART on FHIR, creating an app ecosystem on top of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560"/>
      </w:tblGrid>
      <w:tr>
        <w:trPr>
          <w:tblHeader/>
        </w:trPr>
        <w:tc>
          <w:tcPr>
            <w:tcW w:type="dxa" w:w="1900"/>
            <w:shd w:fill="1F4E5F" w:val="clear"/>
            <w:tcMar>
              <w:top w:type="dxa" w:w="80"/>
              <w:left w:type="dxa" w:w="120"/>
              <w:bottom w:type="dxa" w:w="80"/>
              <w:right w:type="dxa" w:w="120"/>
            </w:tcMar>
          </w:tcPr>
          <w:p>
            <w:r>
              <w:rPr>
                <w:b/>
                <w:bCs/>
                <w:color w:val="FFFFFF"/>
                <w:sz w:val="20"/>
                <w:szCs w:val="20"/>
              </w:rPr>
              <w:t xml:space="preserve">Layer</w:t>
            </w:r>
          </w:p>
        </w:tc>
        <w:tc>
          <w:tcPr>
            <w:tcW w:type="dxa" w:w="3900"/>
            <w:shd w:fill="1F4E5F" w:val="clear"/>
            <w:tcMar>
              <w:top w:type="dxa" w:w="80"/>
              <w:left w:type="dxa" w:w="120"/>
              <w:bottom w:type="dxa" w:w="80"/>
              <w:right w:type="dxa" w:w="120"/>
            </w:tcMar>
          </w:tcPr>
          <w:p>
            <w:r>
              <w:rPr>
                <w:b/>
                <w:bCs/>
                <w:color w:val="FFFFFF"/>
                <w:sz w:val="20"/>
                <w:szCs w:val="20"/>
              </w:rPr>
              <w:t xml:space="preserve">Key Components</w:t>
            </w:r>
          </w:p>
        </w:tc>
        <w:tc>
          <w:tcPr>
            <w:tcW w:type="dxa" w:w="3560"/>
            <w:shd w:fill="1F4E5F" w:val="clear"/>
            <w:tcMar>
              <w:top w:type="dxa" w:w="80"/>
              <w:left w:type="dxa" w:w="120"/>
              <w:bottom w:type="dxa" w:w="80"/>
              <w:right w:type="dxa" w:w="120"/>
            </w:tcMar>
          </w:tcPr>
          <w:p>
            <w:r>
              <w:rPr>
                <w:b/>
                <w:bCs/>
                <w:color w:val="FFFFFF"/>
                <w:sz w:val="20"/>
                <w:szCs w:val="20"/>
              </w:rPr>
              <w:t xml:space="preserve">SaaS-Specific Notes</w:t>
            </w:r>
          </w:p>
        </w:tc>
      </w:tr>
      <w:tr>
        <w:tc>
          <w:tcPr>
            <w:tcW w:type="dxa" w:w="1900"/>
            <w:tcMar>
              <w:top w:type="dxa" w:w="80"/>
              <w:left w:type="dxa" w:w="120"/>
              <w:bottom w:type="dxa" w:w="80"/>
              <w:right w:type="dxa" w:w="120"/>
            </w:tcMar>
          </w:tcPr>
          <w:p>
            <w:r>
              <w:rPr>
                <w:b w:val="false"/>
                <w:bCs w:val="false"/>
                <w:sz w:val="20"/>
                <w:szCs w:val="20"/>
              </w:rPr>
              <w:t xml:space="preserve">Experience</w:t>
            </w:r>
          </w:p>
        </w:tc>
        <w:tc>
          <w:tcPr>
            <w:tcW w:type="dxa" w:w="3900"/>
            <w:tcMar>
              <w:top w:type="dxa" w:w="80"/>
              <w:left w:type="dxa" w:w="120"/>
              <w:bottom w:type="dxa" w:w="80"/>
              <w:right w:type="dxa" w:w="120"/>
            </w:tcMar>
          </w:tcPr>
          <w:p>
            <w:r>
              <w:rPr>
                <w:b w:val="false"/>
                <w:bCs w:val="false"/>
                <w:sz w:val="20"/>
                <w:szCs w:val="20"/>
              </w:rPr>
              <w:t xml:space="preserve">Responsive web app, clinician mobile, patient app, admin console</w:t>
            </w:r>
          </w:p>
        </w:tc>
        <w:tc>
          <w:tcPr>
            <w:tcW w:type="dxa" w:w="3560"/>
            <w:tcMar>
              <w:top w:type="dxa" w:w="80"/>
              <w:left w:type="dxa" w:w="120"/>
              <w:bottom w:type="dxa" w:w="80"/>
              <w:right w:type="dxa" w:w="120"/>
            </w:tcMar>
          </w:tcPr>
          <w:p>
            <w:r>
              <w:rPr>
                <w:b w:val="false"/>
                <w:bCs w:val="false"/>
                <w:sz w:val="20"/>
                <w:szCs w:val="20"/>
              </w:rPr>
              <w:t xml:space="preserve">Per-tenant theming &amp; configuration; WCAG 2.2 AA</w:t>
            </w:r>
          </w:p>
        </w:tc>
      </w:tr>
      <w:tr>
        <w:tc>
          <w:tcPr>
            <w:tcW w:type="dxa" w:w="1900"/>
            <w:shd w:fill="EAF2F6" w:val="clear"/>
            <w:tcMar>
              <w:top w:type="dxa" w:w="80"/>
              <w:left w:type="dxa" w:w="120"/>
              <w:bottom w:type="dxa" w:w="80"/>
              <w:right w:type="dxa" w:w="120"/>
            </w:tcMar>
          </w:tcPr>
          <w:p>
            <w:r>
              <w:rPr>
                <w:b w:val="false"/>
                <w:bCs w:val="false"/>
                <w:sz w:val="20"/>
                <w:szCs w:val="20"/>
              </w:rPr>
              <w:t xml:space="preserve">API &amp; Ecosystem</w:t>
            </w:r>
          </w:p>
        </w:tc>
        <w:tc>
          <w:tcPr>
            <w:tcW w:type="dxa" w:w="3900"/>
            <w:shd w:fill="EAF2F6" w:val="clear"/>
            <w:tcMar>
              <w:top w:type="dxa" w:w="80"/>
              <w:left w:type="dxa" w:w="120"/>
              <w:bottom w:type="dxa" w:w="80"/>
              <w:right w:type="dxa" w:w="120"/>
            </w:tcMar>
          </w:tcPr>
          <w:p>
            <w:r>
              <w:rPr>
                <w:b w:val="false"/>
                <w:bCs w:val="false"/>
                <w:sz w:val="20"/>
                <w:szCs w:val="20"/>
              </w:rPr>
              <w:t xml:space="preserve">Public FHIR APIs, SMART on FHIR, webhooks, developer portal</w:t>
            </w:r>
          </w:p>
        </w:tc>
        <w:tc>
          <w:tcPr>
            <w:tcW w:type="dxa" w:w="3560"/>
            <w:shd w:fill="EAF2F6" w:val="clear"/>
            <w:tcMar>
              <w:top w:type="dxa" w:w="80"/>
              <w:left w:type="dxa" w:w="120"/>
              <w:bottom w:type="dxa" w:w="80"/>
              <w:right w:type="dxa" w:w="120"/>
            </w:tcMar>
          </w:tcPr>
          <w:p>
            <w:r>
              <w:rPr>
                <w:b w:val="false"/>
                <w:bCs w:val="false"/>
                <w:sz w:val="20"/>
                <w:szCs w:val="20"/>
              </w:rPr>
              <w:t xml:space="preserve">OAuth 2.0/OIDC; tenant-scoped tokens; rate limits</w:t>
            </w:r>
          </w:p>
        </w:tc>
      </w:tr>
      <w:tr>
        <w:tc>
          <w:tcPr>
            <w:tcW w:type="dxa" w:w="1900"/>
            <w:tcMar>
              <w:top w:type="dxa" w:w="80"/>
              <w:left w:type="dxa" w:w="120"/>
              <w:bottom w:type="dxa" w:w="80"/>
              <w:right w:type="dxa" w:w="120"/>
            </w:tcMar>
          </w:tcPr>
          <w:p>
            <w:r>
              <w:rPr>
                <w:b w:val="false"/>
                <w:bCs w:val="false"/>
                <w:sz w:val="20"/>
                <w:szCs w:val="20"/>
              </w:rPr>
              <w:t xml:space="preserve">Services</w:t>
            </w:r>
          </w:p>
        </w:tc>
        <w:tc>
          <w:tcPr>
            <w:tcW w:type="dxa" w:w="3900"/>
            <w:tcMar>
              <w:top w:type="dxa" w:w="80"/>
              <w:left w:type="dxa" w:w="120"/>
              <w:bottom w:type="dxa" w:w="80"/>
              <w:right w:type="dxa" w:w="120"/>
            </w:tcMar>
          </w:tcPr>
          <w:p>
            <w:r>
              <w:rPr>
                <w:b w:val="false"/>
                <w:bCs w:val="false"/>
                <w:sz w:val="20"/>
                <w:szCs w:val="20"/>
              </w:rPr>
              <w:t xml:space="preserve">Modular clinical/ops/financial microservices; feature flags</w:t>
            </w:r>
          </w:p>
        </w:tc>
        <w:tc>
          <w:tcPr>
            <w:tcW w:type="dxa" w:w="3560"/>
            <w:tcMar>
              <w:top w:type="dxa" w:w="80"/>
              <w:left w:type="dxa" w:w="120"/>
              <w:bottom w:type="dxa" w:w="80"/>
              <w:right w:type="dxa" w:w="120"/>
            </w:tcMar>
          </w:tcPr>
          <w:p>
            <w:r>
              <w:rPr>
                <w:b w:val="false"/>
                <w:bCs w:val="false"/>
                <w:sz w:val="20"/>
                <w:szCs w:val="20"/>
              </w:rPr>
              <w:t xml:space="preserve">One codebase; flags enable per-tenant packaging</w:t>
            </w:r>
          </w:p>
        </w:tc>
      </w:tr>
      <w:tr>
        <w:tc>
          <w:tcPr>
            <w:tcW w:type="dxa" w:w="1900"/>
            <w:shd w:fill="EAF2F6" w:val="clear"/>
            <w:tcMar>
              <w:top w:type="dxa" w:w="80"/>
              <w:left w:type="dxa" w:w="120"/>
              <w:bottom w:type="dxa" w:w="80"/>
              <w:right w:type="dxa" w:w="120"/>
            </w:tcMar>
          </w:tcPr>
          <w:p>
            <w:r>
              <w:rPr>
                <w:b w:val="false"/>
                <w:bCs w:val="false"/>
                <w:sz w:val="20"/>
                <w:szCs w:val="20"/>
              </w:rPr>
              <w:t xml:space="preserve">Data</w:t>
            </w:r>
          </w:p>
        </w:tc>
        <w:tc>
          <w:tcPr>
            <w:tcW w:type="dxa" w:w="3900"/>
            <w:shd w:fill="EAF2F6" w:val="clear"/>
            <w:tcMar>
              <w:top w:type="dxa" w:w="80"/>
              <w:left w:type="dxa" w:w="120"/>
              <w:bottom w:type="dxa" w:w="80"/>
              <w:right w:type="dxa" w:w="120"/>
            </w:tcMar>
          </w:tcPr>
          <w:p>
            <w:r>
              <w:rPr>
                <w:b w:val="false"/>
                <w:bCs w:val="false"/>
                <w:sz w:val="20"/>
                <w:szCs w:val="20"/>
              </w:rPr>
              <w:t xml:space="preserve">Shared FHIR store w/ row-level security, VNA, event bus, lakehouse</w:t>
            </w:r>
          </w:p>
        </w:tc>
        <w:tc>
          <w:tcPr>
            <w:tcW w:type="dxa" w:w="3560"/>
            <w:shd w:fill="EAF2F6" w:val="clear"/>
            <w:tcMar>
              <w:top w:type="dxa" w:w="80"/>
              <w:left w:type="dxa" w:w="120"/>
              <w:bottom w:type="dxa" w:w="80"/>
              <w:right w:type="dxa" w:w="120"/>
            </w:tcMar>
          </w:tcPr>
          <w:p>
            <w:r>
              <w:rPr>
                <w:b w:val="false"/>
                <w:bCs w:val="false"/>
                <w:sz w:val="20"/>
                <w:szCs w:val="20"/>
              </w:rPr>
              <w:t xml:space="preserve">Tenant-keyed encryption; per-tenant export at any time</w:t>
            </w:r>
          </w:p>
        </w:tc>
      </w:tr>
      <w:tr>
        <w:tc>
          <w:tcPr>
            <w:tcW w:type="dxa" w:w="1900"/>
            <w:tcMar>
              <w:top w:type="dxa" w:w="80"/>
              <w:left w:type="dxa" w:w="120"/>
              <w:bottom w:type="dxa" w:w="80"/>
              <w:right w:type="dxa" w:w="120"/>
            </w:tcMar>
          </w:tcPr>
          <w:p>
            <w:r>
              <w:rPr>
                <w:b w:val="false"/>
                <w:bCs w:val="false"/>
                <w:sz w:val="20"/>
                <w:szCs w:val="20"/>
              </w:rPr>
              <w:t xml:space="preserve">Integration Hub</w:t>
            </w:r>
          </w:p>
        </w:tc>
        <w:tc>
          <w:tcPr>
            <w:tcW w:type="dxa" w:w="3900"/>
            <w:tcMar>
              <w:top w:type="dxa" w:w="80"/>
              <w:left w:type="dxa" w:w="120"/>
              <w:bottom w:type="dxa" w:w="80"/>
              <w:right w:type="dxa" w:w="120"/>
            </w:tcMar>
          </w:tcPr>
          <w:p>
            <w:r>
              <w:rPr>
                <w:b w:val="false"/>
                <w:bCs w:val="false"/>
                <w:sz w:val="20"/>
                <w:szCs w:val="20"/>
              </w:rPr>
              <w:t xml:space="preserve">HL7 v2, DICOM, payer EDI, national exchange connectors</w:t>
            </w:r>
          </w:p>
        </w:tc>
        <w:tc>
          <w:tcPr>
            <w:tcW w:type="dxa" w:w="3560"/>
            <w:tcMar>
              <w:top w:type="dxa" w:w="80"/>
              <w:left w:type="dxa" w:w="120"/>
              <w:bottom w:type="dxa" w:w="80"/>
              <w:right w:type="dxa" w:w="120"/>
            </w:tcMar>
          </w:tcPr>
          <w:p>
            <w:r>
              <w:rPr>
                <w:b w:val="false"/>
                <w:bCs w:val="false"/>
                <w:sz w:val="20"/>
                <w:szCs w:val="20"/>
              </w:rPr>
              <w:t xml:space="preserve">Connector library reused across all tenants per region</w:t>
            </w:r>
          </w:p>
        </w:tc>
      </w:tr>
      <w:tr>
        <w:tc>
          <w:tcPr>
            <w:tcW w:type="dxa" w:w="1900"/>
            <w:shd w:fill="EAF2F6" w:val="clear"/>
            <w:tcMar>
              <w:top w:type="dxa" w:w="80"/>
              <w:left w:type="dxa" w:w="120"/>
              <w:bottom w:type="dxa" w:w="80"/>
              <w:right w:type="dxa" w:w="120"/>
            </w:tcMar>
          </w:tcPr>
          <w:p>
            <w:r>
              <w:rPr>
                <w:b w:val="false"/>
                <w:bCs w:val="false"/>
                <w:sz w:val="20"/>
                <w:szCs w:val="20"/>
              </w:rPr>
              <w:t xml:space="preserve">Platform</w:t>
            </w:r>
          </w:p>
        </w:tc>
        <w:tc>
          <w:tcPr>
            <w:tcW w:type="dxa" w:w="3900"/>
            <w:shd w:fill="EAF2F6" w:val="clear"/>
            <w:tcMar>
              <w:top w:type="dxa" w:w="80"/>
              <w:left w:type="dxa" w:w="120"/>
              <w:bottom w:type="dxa" w:w="80"/>
              <w:right w:type="dxa" w:w="120"/>
            </w:tcMar>
          </w:tcPr>
          <w:p>
            <w:r>
              <w:rPr>
                <w:b w:val="false"/>
                <w:bCs w:val="false"/>
                <w:sz w:val="20"/>
                <w:szCs w:val="20"/>
              </w:rPr>
              <w:t xml:space="preserve">Kubernetes, multi-AZ regional cells, IaC, observability, CI/CD</w:t>
            </w:r>
          </w:p>
        </w:tc>
        <w:tc>
          <w:tcPr>
            <w:tcW w:type="dxa" w:w="3560"/>
            <w:shd w:fill="EAF2F6" w:val="clear"/>
            <w:tcMar>
              <w:top w:type="dxa" w:w="80"/>
              <w:left w:type="dxa" w:w="120"/>
              <w:bottom w:type="dxa" w:w="80"/>
              <w:right w:type="dxa" w:w="120"/>
            </w:tcMar>
          </w:tcPr>
          <w:p>
            <w:r>
              <w:rPr>
                <w:b w:val="false"/>
                <w:bCs w:val="false"/>
                <w:sz w:val="20"/>
                <w:szCs w:val="20"/>
              </w:rPr>
              <w:t xml:space="preserve">99.95% SLA; RPO ≤ 15 min, RTO ≤ 1 h; SOC 2 controls</w:t>
            </w:r>
          </w:p>
        </w:tc>
      </w:tr>
    </w:tbl>
    <w:p>
      <w:pPr>
        <w:spacing w:after="200"/>
      </w:pPr>
    </w:p>
    <w:p>
      <w:pPr>
        <w:pStyle w:val="Heading1"/>
        <w:spacing w:after="160" w:before="360"/>
      </w:pPr>
      <w:r>
        <w:rPr>
          <w:color w:val="1F4E5F"/>
        </w:rPr>
        <w:t xml:space="preserve">6. Security, Privacy, Compliance, and AI Governance</w:t>
      </w:r>
    </w:p>
    <w:p>
      <w:pPr>
        <w:spacing w:after="160" w:line="300"/>
        <w:jc w:val="both"/>
      </w:pPr>
      <w:r>
        <w:rPr>
          <w:sz w:val="22"/>
          <w:szCs w:val="22"/>
        </w:rPr>
        <w:t xml:space="preserve">Trust is the product's license to operate. The security model is zero-trust end to end: every request authenticated and authorized, least-privilege and context-based access with break-the-glass audit, encryption in transit and at rest with tenant-scoped keys, immutable access logs surfaced to customers in their own audit console, continuous monitoring, independent penetration testing per major release, and a public vulnerability disclosure program. Tenant isolation is verified by automated tests in every deployment pipeline.</w:t>
      </w:r>
    </w:p>
    <w:p>
      <w:pPr>
        <w:spacing w:after="160" w:line="300"/>
        <w:jc w:val="both"/>
      </w:pPr>
      <w:r>
        <w:rPr>
          <w:sz w:val="22"/>
          <w:szCs w:val="22"/>
        </w:rPr>
        <w:t xml:space="preserve">The compliance strategy is certification-led because mid-market buyers outsource their diligence to certifications: SOC 2 Type II and ISO 27001 are targeted for GA, with HIPAA compliance support (including signed BAAs) for US customers, GDPR compliance with regional residency for European customers, and a per-country regulatory dossier (health data localization, e-prescription rules, national exchange onboarding, e-invoicing) maintained as part of each market launch. Where clinical decision-support features qualify as medical device software, they are developed under a quality management system (IEC 62304-aligned) and released per-jurisdiction only after the applicable regulatory pathway is cleared.</w:t>
      </w:r>
    </w:p>
    <w:p>
      <w:pPr>
        <w:spacing w:after="160" w:line="300"/>
        <w:jc w:val="both"/>
      </w:pPr>
      <w:r>
        <w:rPr>
          <w:sz w:val="22"/>
          <w:szCs w:val="22"/>
        </w:rPr>
        <w:t xml:space="preserve">AI governance is a platform capability: every model ships with a documented intended use, validation evidence, per-tenant performance monitoring, drift and bias detection, human-in-the-loop review for anything influencing care, and tenant-level opt-in. Customer data is never used to train shared models without explicit contractual consent, and any cross-tenant learning uses de-identified data under an independent governance review.</w:t>
      </w:r>
    </w:p>
    <w:p>
      <w:pPr>
        <w:pStyle w:val="Heading1"/>
        <w:spacing w:after="160" w:before="360"/>
      </w:pPr>
      <w:r>
        <w:rPr>
          <w:color w:val="1F4E5F"/>
        </w:rPr>
        <w:t xml:space="preserve">7. Business Model and Pricing</w:t>
      </w:r>
    </w:p>
    <w:p>
      <w:pPr>
        <w:spacing w:after="160" w:line="300"/>
        <w:jc w:val="both"/>
      </w:pPr>
      <w:r>
        <w:rPr>
          <w:sz w:val="22"/>
          <w:szCs w:val="22"/>
        </w:rPr>
        <w:t xml:space="preserve">Revenue is subscription-based with a one-time onboarding fee. Pricing anchors to facility size — per bed per month for inpatient facilities, per provider per month for outpatient networks — with module packages as tiers and usage-based pricing for AI (per encounter scribed, per claim scored) and telehealth minutes. This aligns price to value received and keeps the entry point low for the land motion. Indicative structure, to be validated with design partners: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160"/>
      </w:tblGrid>
      <w:tr>
        <w:trPr>
          <w:tblHeader/>
        </w:trPr>
        <w:tc>
          <w:tcPr>
            <w:tcW w:type="dxa" w:w="1900"/>
            <w:shd w:fill="1F4E5F" w:val="clear"/>
            <w:tcMar>
              <w:top w:type="dxa" w:w="80"/>
              <w:left w:type="dxa" w:w="120"/>
              <w:bottom w:type="dxa" w:w="80"/>
              <w:right w:type="dxa" w:w="120"/>
            </w:tcMar>
          </w:tcPr>
          <w:p>
            <w:r>
              <w:rPr>
                <w:b/>
                <w:bCs/>
                <w:color w:val="FFFFFF"/>
                <w:sz w:val="20"/>
                <w:szCs w:val="20"/>
              </w:rPr>
              <w:t xml:space="preserve">Tier</w:t>
            </w:r>
          </w:p>
        </w:tc>
        <w:tc>
          <w:tcPr>
            <w:tcW w:type="dxa" w:w="4300"/>
            <w:shd w:fill="1F4E5F" w:val="clear"/>
            <w:tcMar>
              <w:top w:type="dxa" w:w="80"/>
              <w:left w:type="dxa" w:w="120"/>
              <w:bottom w:type="dxa" w:w="80"/>
              <w:right w:type="dxa" w:w="120"/>
            </w:tcMar>
          </w:tcPr>
          <w:p>
            <w:r>
              <w:rPr>
                <w:b/>
                <w:bCs/>
                <w:color w:val="FFFFFF"/>
                <w:sz w:val="20"/>
                <w:szCs w:val="20"/>
              </w:rPr>
              <w:t xml:space="preserve">Includes</w:t>
            </w:r>
          </w:p>
        </w:tc>
        <w:tc>
          <w:tcPr>
            <w:tcW w:type="dxa" w:w="3160"/>
            <w:shd w:fill="1F4E5F" w:val="clear"/>
            <w:tcMar>
              <w:top w:type="dxa" w:w="80"/>
              <w:left w:type="dxa" w:w="120"/>
              <w:bottom w:type="dxa" w:w="80"/>
              <w:right w:type="dxa" w:w="120"/>
            </w:tcMar>
          </w:tcPr>
          <w:p>
            <w:r>
              <w:rPr>
                <w:b/>
                <w:bCs/>
                <w:color w:val="FFFFFF"/>
                <w:sz w:val="20"/>
                <w:szCs w:val="20"/>
              </w:rPr>
              <w:t xml:space="preserve">Indicative Price Anchor</w:t>
            </w:r>
          </w:p>
        </w:tc>
      </w:tr>
      <w:tr>
        <w:tc>
          <w:tcPr>
            <w:tcW w:type="dxa" w:w="1900"/>
            <w:tcMar>
              <w:top w:type="dxa" w:w="80"/>
              <w:left w:type="dxa" w:w="120"/>
              <w:bottom w:type="dxa" w:w="80"/>
              <w:right w:type="dxa" w:w="120"/>
            </w:tcMar>
          </w:tcPr>
          <w:p>
            <w:r>
              <w:rPr>
                <w:b w:val="false"/>
                <w:bCs w:val="false"/>
                <w:sz w:val="20"/>
                <w:szCs w:val="20"/>
              </w:rPr>
              <w:t xml:space="preserve">Essential</w:t>
            </w:r>
          </w:p>
        </w:tc>
        <w:tc>
          <w:tcPr>
            <w:tcW w:type="dxa" w:w="4300"/>
            <w:tcMar>
              <w:top w:type="dxa" w:w="80"/>
              <w:left w:type="dxa" w:w="120"/>
              <w:bottom w:type="dxa" w:w="80"/>
              <w:right w:type="dxa" w:w="120"/>
            </w:tcMar>
          </w:tcPr>
          <w:p>
            <w:r>
              <w:rPr>
                <w:b w:val="false"/>
                <w:bCs w:val="false"/>
                <w:sz w:val="20"/>
                <w:szCs w:val="20"/>
              </w:rPr>
              <w:t xml:space="preserve">Core package (scheduling, EMR, e-Rx, billing, portal)</w:t>
            </w:r>
          </w:p>
        </w:tc>
        <w:tc>
          <w:tcPr>
            <w:tcW w:type="dxa" w:w="3160"/>
            <w:tcMar>
              <w:top w:type="dxa" w:w="80"/>
              <w:left w:type="dxa" w:w="120"/>
              <w:bottom w:type="dxa" w:w="80"/>
              <w:right w:type="dxa" w:w="120"/>
            </w:tcMar>
          </w:tcPr>
          <w:p>
            <w:r>
              <w:rPr>
                <w:b w:val="false"/>
                <w:bCs w:val="false"/>
                <w:sz w:val="20"/>
                <w:szCs w:val="20"/>
              </w:rPr>
              <w:t xml:space="preserve">Per provider/mo (clinics) or per bed/mo (hospitals)</w:t>
            </w:r>
          </w:p>
        </w:tc>
      </w:tr>
      <w:tr>
        <w:tc>
          <w:tcPr>
            <w:tcW w:type="dxa" w:w="1900"/>
            <w:shd w:fill="EAF2F6" w:val="clear"/>
            <w:tcMar>
              <w:top w:type="dxa" w:w="80"/>
              <w:left w:type="dxa" w:w="120"/>
              <w:bottom w:type="dxa" w:w="80"/>
              <w:right w:type="dxa" w:w="120"/>
            </w:tcMar>
          </w:tcPr>
          <w:p>
            <w:r>
              <w:rPr>
                <w:b w:val="false"/>
                <w:bCs w:val="false"/>
                <w:sz w:val="20"/>
                <w:szCs w:val="20"/>
              </w:rPr>
              <w:t xml:space="preserve">Professional</w:t>
            </w:r>
          </w:p>
        </w:tc>
        <w:tc>
          <w:tcPr>
            <w:tcW w:type="dxa" w:w="4300"/>
            <w:shd w:fill="EAF2F6" w:val="clear"/>
            <w:tcMar>
              <w:top w:type="dxa" w:w="80"/>
              <w:left w:type="dxa" w:w="120"/>
              <w:bottom w:type="dxa" w:w="80"/>
              <w:right w:type="dxa" w:w="120"/>
            </w:tcMar>
          </w:tcPr>
          <w:p>
            <w:r>
              <w:rPr>
                <w:b w:val="false"/>
                <w:bCs w:val="false"/>
                <w:sz w:val="20"/>
                <w:szCs w:val="20"/>
              </w:rPr>
              <w:t xml:space="preserve">Essential + Inpatient + Clinical Ops</w:t>
            </w:r>
          </w:p>
        </w:tc>
        <w:tc>
          <w:tcPr>
            <w:tcW w:type="dxa" w:w="3160"/>
            <w:shd w:fill="EAF2F6" w:val="clear"/>
            <w:tcMar>
              <w:top w:type="dxa" w:w="80"/>
              <w:left w:type="dxa" w:w="120"/>
              <w:bottom w:type="dxa" w:w="80"/>
              <w:right w:type="dxa" w:w="120"/>
            </w:tcMar>
          </w:tcPr>
          <w:p>
            <w:r>
              <w:rPr>
                <w:b w:val="false"/>
                <w:bCs w:val="false"/>
                <w:sz w:val="20"/>
                <w:szCs w:val="20"/>
              </w:rPr>
              <w:t xml:space="preserve">Higher per-bed rate; min. facility fee</w:t>
            </w:r>
          </w:p>
        </w:tc>
      </w:tr>
      <w:tr>
        <w:tc>
          <w:tcPr>
            <w:tcW w:type="dxa" w:w="1900"/>
            <w:tcMar>
              <w:top w:type="dxa" w:w="80"/>
              <w:left w:type="dxa" w:w="120"/>
              <w:bottom w:type="dxa" w:w="80"/>
              <w:right w:type="dxa" w:w="120"/>
            </w:tcMar>
          </w:tcPr>
          <w:p>
            <w:r>
              <w:rPr>
                <w:b w:val="false"/>
                <w:bCs w:val="false"/>
                <w:sz w:val="20"/>
                <w:szCs w:val="20"/>
              </w:rPr>
              <w:t xml:space="preserve">Enterprise / Network</w:t>
            </w:r>
          </w:p>
        </w:tc>
        <w:tc>
          <w:tcPr>
            <w:tcW w:type="dxa" w:w="4300"/>
            <w:tcMar>
              <w:top w:type="dxa" w:w="80"/>
              <w:left w:type="dxa" w:w="120"/>
              <w:bottom w:type="dxa" w:w="80"/>
              <w:right w:type="dxa" w:w="120"/>
            </w:tcMar>
          </w:tcPr>
          <w:p>
            <w:r>
              <w:rPr>
                <w:b w:val="false"/>
                <w:bCs w:val="false"/>
                <w:sz w:val="20"/>
                <w:szCs w:val="20"/>
              </w:rPr>
              <w:t xml:space="preserve">All modules, multi-facility admin, dedicated DB option, premium SLA</w:t>
            </w:r>
          </w:p>
        </w:tc>
        <w:tc>
          <w:tcPr>
            <w:tcW w:type="dxa" w:w="3160"/>
            <w:tcMar>
              <w:top w:type="dxa" w:w="80"/>
              <w:left w:type="dxa" w:w="120"/>
              <w:bottom w:type="dxa" w:w="80"/>
              <w:right w:type="dxa" w:w="120"/>
            </w:tcMar>
          </w:tcPr>
          <w:p>
            <w:r>
              <w:rPr>
                <w:b w:val="false"/>
                <w:bCs w:val="false"/>
                <w:sz w:val="20"/>
                <w:szCs w:val="20"/>
              </w:rPr>
              <w:t xml:space="preserve">Custom; volume-tiered</w:t>
            </w:r>
          </w:p>
        </w:tc>
      </w:tr>
      <w:tr>
        <w:tc>
          <w:tcPr>
            <w:tcW w:type="dxa" w:w="1900"/>
            <w:shd w:fill="EAF2F6" w:val="clear"/>
            <w:tcMar>
              <w:top w:type="dxa" w:w="80"/>
              <w:left w:type="dxa" w:w="120"/>
              <w:bottom w:type="dxa" w:w="80"/>
              <w:right w:type="dxa" w:w="120"/>
            </w:tcMar>
          </w:tcPr>
          <w:p>
            <w:r>
              <w:rPr>
                <w:b w:val="false"/>
                <w:bCs w:val="false"/>
                <w:sz w:val="20"/>
                <w:szCs w:val="20"/>
              </w:rPr>
              <w:t xml:space="preserve">Add-ons</w:t>
            </w:r>
          </w:p>
        </w:tc>
        <w:tc>
          <w:tcPr>
            <w:tcW w:type="dxa" w:w="4300"/>
            <w:shd w:fill="EAF2F6" w:val="clear"/>
            <w:tcMar>
              <w:top w:type="dxa" w:w="80"/>
              <w:left w:type="dxa" w:w="120"/>
              <w:bottom w:type="dxa" w:w="80"/>
              <w:right w:type="dxa" w:w="120"/>
            </w:tcMar>
          </w:tcPr>
          <w:p>
            <w:r>
              <w:rPr>
                <w:b w:val="false"/>
                <w:bCs w:val="false"/>
                <w:sz w:val="20"/>
                <w:szCs w:val="20"/>
              </w:rPr>
              <w:t xml:space="preserve">AI modules, telehealth, extra environments, premium support</w:t>
            </w:r>
          </w:p>
        </w:tc>
        <w:tc>
          <w:tcPr>
            <w:tcW w:type="dxa" w:w="3160"/>
            <w:shd w:fill="EAF2F6" w:val="clear"/>
            <w:tcMar>
              <w:top w:type="dxa" w:w="80"/>
              <w:left w:type="dxa" w:w="120"/>
              <w:bottom w:type="dxa" w:w="80"/>
              <w:right w:type="dxa" w:w="120"/>
            </w:tcMar>
          </w:tcPr>
          <w:p>
            <w:r>
              <w:rPr>
                <w:b w:val="false"/>
                <w:bCs w:val="false"/>
                <w:sz w:val="20"/>
                <w:szCs w:val="20"/>
              </w:rPr>
              <w:t xml:space="preserve">Usage-based / per-module</w:t>
            </w:r>
          </w:p>
        </w:tc>
      </w:tr>
    </w:tbl>
    <w:p>
      <w:pPr>
        <w:spacing w:after="200"/>
      </w:pPr>
    </w:p>
    <w:p>
      <w:pPr>
        <w:spacing w:after="160" w:line="300"/>
        <w:jc w:val="both"/>
      </w:pPr>
      <w:r>
        <w:rPr>
          <w:sz w:val="22"/>
          <w:szCs w:val="22"/>
        </w:rPr>
        <w:t xml:space="preserve">Onboarding is priced as a fixed-fee package by facility type (data migration, configuration, training), deliberately kept below the psychological threshold that triggers capital-project procurement. Target unit economics at scale: gross margin above 75%, net revenue retention above 115% driven by module expansion, and CAC payback under 18 months. Detailed financial projections follow design-partner pricing validation and are provided as a companion model to this document.</w:t>
      </w:r>
    </w:p>
    <w:p>
      <w:pPr>
        <w:pStyle w:val="Heading1"/>
        <w:spacing w:after="160" w:before="360"/>
      </w:pPr>
      <w:r>
        <w:rPr>
          <w:color w:val="1F4E5F"/>
        </w:rPr>
        <w:t xml:space="preserve">8. Go-to-Market Strategy</w:t>
      </w:r>
    </w:p>
    <w:p>
      <w:pPr>
        <w:spacing w:after="160" w:line="300"/>
        <w:jc w:val="both"/>
      </w:pPr>
      <w:r>
        <w:rPr>
          <w:sz w:val="22"/>
          <w:szCs w:val="22"/>
        </w:rPr>
        <w:t xml:space="preserve">The motion is land-and-expand with a strong partner channel. Phase one is founder-led direct sales to secure 3–5 design partners — ideally one flagship 100–200 bed hospital and several clinic networks — in exchange for preferential pricing and roadmap influence; their measured outcomes become the launch evidence. Phase two builds a direct mid-market sales team in the launch regions, supported by demand generation around the onboarding-speed and TCO story, and a partner program for regional system integrators and medical-device/lab distributors who bring installed-base relationships. Phase three adds a self-serve tier for small clinics and a marketplace for third-party SMART on FHIR apps, turning the platform into an ecosystem.</w:t>
      </w:r>
    </w:p>
    <w:p>
      <w:pPr>
        <w:spacing w:after="160" w:line="300"/>
        <w:jc w:val="both"/>
      </w:pPr>
      <w:r>
        <w:rPr>
          <w:sz w:val="22"/>
          <w:szCs w:val="22"/>
        </w:rPr>
        <w:t xml:space="preserve">Expansion revenue is engineered into the product: usage analytics identify tenants ready for the next module, in-product trials let a department pilot (for example) the AI scribe on real workload, and customer success is quota-carrying on expansion. The reference flywheel — published case studies with named metrics per Section 11 — is the primary demand engine in a trust-driven market.</w:t>
      </w:r>
    </w:p>
    <w:p>
      <w:pPr>
        <w:pStyle w:val="Heading1"/>
        <w:spacing w:after="160" w:before="360"/>
      </w:pPr>
      <w:r>
        <w:rPr>
          <w:color w:val="1F4E5F"/>
        </w:rPr>
        <w:t xml:space="preserve">9. Delivery Roadmap</w:t>
      </w:r>
    </w:p>
    <w:p>
      <w:pPr>
        <w:spacing w:after="160" w:line="300"/>
        <w:jc w:val="both"/>
      </w:pPr>
      <w:r>
        <w:rPr>
          <w:sz w:val="22"/>
          <w:szCs w:val="22"/>
        </w:rPr>
        <w:t xml:space="preserve">The roadmap runs from funding approval to repeatable scale in five stages. Dates are targets and re-baselined quarterly.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3700"/>
        <w:gridCol w:w="2560"/>
      </w:tblGrid>
      <w:tr>
        <w:trPr>
          <w:tblHeader/>
        </w:trPr>
        <w:tc>
          <w:tcPr>
            <w:tcW w:type="dxa" w:w="1700"/>
            <w:shd w:fill="1F4E5F" w:val="clear"/>
            <w:tcMar>
              <w:top w:type="dxa" w:w="80"/>
              <w:left w:type="dxa" w:w="120"/>
              <w:bottom w:type="dxa" w:w="80"/>
              <w:right w:type="dxa" w:w="120"/>
            </w:tcMar>
          </w:tcPr>
          <w:p>
            <w:r>
              <w:rPr>
                <w:b/>
                <w:bCs/>
                <w:color w:val="FFFFFF"/>
                <w:sz w:val="20"/>
                <w:szCs w:val="20"/>
              </w:rPr>
              <w:t xml:space="preserve">Stage</w:t>
            </w:r>
          </w:p>
        </w:tc>
        <w:tc>
          <w:tcPr>
            <w:tcW w:type="dxa" w:w="1400"/>
            <w:shd w:fill="1F4E5F" w:val="clear"/>
            <w:tcMar>
              <w:top w:type="dxa" w:w="80"/>
              <w:left w:type="dxa" w:w="120"/>
              <w:bottom w:type="dxa" w:w="80"/>
              <w:right w:type="dxa" w:w="120"/>
            </w:tcMar>
          </w:tcPr>
          <w:p>
            <w:r>
              <w:rPr>
                <w:b/>
                <w:bCs/>
                <w:color w:val="FFFFFF"/>
                <w:sz w:val="20"/>
                <w:szCs w:val="20"/>
              </w:rPr>
              <w:t xml:space="preserve">Timeline</w:t>
            </w:r>
          </w:p>
        </w:tc>
        <w:tc>
          <w:tcPr>
            <w:tcW w:type="dxa" w:w="3700"/>
            <w:shd w:fill="1F4E5F" w:val="clear"/>
            <w:tcMar>
              <w:top w:type="dxa" w:w="80"/>
              <w:left w:type="dxa" w:w="120"/>
              <w:bottom w:type="dxa" w:w="80"/>
              <w:right w:type="dxa" w:w="120"/>
            </w:tcMar>
          </w:tcPr>
          <w:p>
            <w:r>
              <w:rPr>
                <w:b/>
                <w:bCs/>
                <w:color w:val="FFFFFF"/>
                <w:sz w:val="20"/>
                <w:szCs w:val="20"/>
              </w:rPr>
              <w:t xml:space="preserve">Focus</w:t>
            </w:r>
          </w:p>
        </w:tc>
        <w:tc>
          <w:tcPr>
            <w:tcW w:type="dxa" w:w="2560"/>
            <w:shd w:fill="1F4E5F" w:val="clear"/>
            <w:tcMar>
              <w:top w:type="dxa" w:w="80"/>
              <w:left w:type="dxa" w:w="120"/>
              <w:bottom w:type="dxa" w:w="80"/>
              <w:right w:type="dxa" w:w="120"/>
            </w:tcMar>
          </w:tcPr>
          <w:p>
            <w:r>
              <w:rPr>
                <w:b/>
                <w:bCs/>
                <w:color w:val="FFFFFF"/>
                <w:sz w:val="20"/>
                <w:szCs w:val="20"/>
              </w:rPr>
              <w:t xml:space="preserve">Exit Criteria</w:t>
            </w:r>
          </w:p>
        </w:tc>
      </w:tr>
      <w:tr>
        <w:tc>
          <w:tcPr>
            <w:tcW w:type="dxa" w:w="1700"/>
            <w:tcMar>
              <w:top w:type="dxa" w:w="80"/>
              <w:left w:type="dxa" w:w="120"/>
              <w:bottom w:type="dxa" w:w="80"/>
              <w:right w:type="dxa" w:w="120"/>
            </w:tcMar>
          </w:tcPr>
          <w:p>
            <w:r>
              <w:rPr>
                <w:b w:val="false"/>
                <w:bCs w:val="false"/>
                <w:sz w:val="20"/>
                <w:szCs w:val="20"/>
              </w:rPr>
              <w:t xml:space="preserve">1. Foundation</w:t>
            </w:r>
          </w:p>
        </w:tc>
        <w:tc>
          <w:tcPr>
            <w:tcW w:type="dxa" w:w="1400"/>
            <w:tcMar>
              <w:top w:type="dxa" w:w="80"/>
              <w:left w:type="dxa" w:w="120"/>
              <w:bottom w:type="dxa" w:w="80"/>
              <w:right w:type="dxa" w:w="120"/>
            </w:tcMar>
          </w:tcPr>
          <w:p>
            <w:r>
              <w:rPr>
                <w:b w:val="false"/>
                <w:bCs w:val="false"/>
                <w:sz w:val="20"/>
                <w:szCs w:val="20"/>
              </w:rPr>
              <w:t xml:space="preserve">Months 0–4</w:t>
            </w:r>
          </w:p>
        </w:tc>
        <w:tc>
          <w:tcPr>
            <w:tcW w:type="dxa" w:w="3700"/>
            <w:tcMar>
              <w:top w:type="dxa" w:w="80"/>
              <w:left w:type="dxa" w:w="120"/>
              <w:bottom w:type="dxa" w:w="80"/>
              <w:right w:type="dxa" w:w="120"/>
            </w:tcMar>
          </w:tcPr>
          <w:p>
            <w:r>
              <w:rPr>
                <w:b w:val="false"/>
                <w:bCs w:val="false"/>
                <w:sz w:val="20"/>
                <w:szCs w:val="20"/>
              </w:rPr>
              <w:t xml:space="preserve">Platform core: tenancy, identity, FHIR store, integration hub, CI/CD, security baseline</w:t>
            </w:r>
          </w:p>
        </w:tc>
        <w:tc>
          <w:tcPr>
            <w:tcW w:type="dxa" w:w="2560"/>
            <w:tcMar>
              <w:top w:type="dxa" w:w="80"/>
              <w:left w:type="dxa" w:w="120"/>
              <w:bottom w:type="dxa" w:w="80"/>
              <w:right w:type="dxa" w:w="120"/>
            </w:tcMar>
          </w:tcPr>
          <w:p>
            <w:r>
              <w:rPr>
                <w:b w:val="false"/>
                <w:bCs w:val="false"/>
                <w:sz w:val="20"/>
                <w:szCs w:val="20"/>
              </w:rPr>
              <w:t xml:space="preserve">Multi-tenant demo environment; isolation tests passing; SOC 2 program started</w:t>
            </w:r>
          </w:p>
        </w:tc>
      </w:tr>
      <w:tr>
        <w:tc>
          <w:tcPr>
            <w:tcW w:type="dxa" w:w="1700"/>
            <w:shd w:fill="EAF2F6" w:val="clear"/>
            <w:tcMar>
              <w:top w:type="dxa" w:w="80"/>
              <w:left w:type="dxa" w:w="120"/>
              <w:bottom w:type="dxa" w:w="80"/>
              <w:right w:type="dxa" w:w="120"/>
            </w:tcMar>
          </w:tcPr>
          <w:p>
            <w:r>
              <w:rPr>
                <w:b w:val="false"/>
                <w:bCs w:val="false"/>
                <w:sz w:val="20"/>
                <w:szCs w:val="20"/>
              </w:rPr>
              <w:t xml:space="preserve">2. MVP Build</w:t>
            </w:r>
          </w:p>
        </w:tc>
        <w:tc>
          <w:tcPr>
            <w:tcW w:type="dxa" w:w="1400"/>
            <w:shd w:fill="EAF2F6" w:val="clear"/>
            <w:tcMar>
              <w:top w:type="dxa" w:w="80"/>
              <w:left w:type="dxa" w:w="120"/>
              <w:bottom w:type="dxa" w:w="80"/>
              <w:right w:type="dxa" w:w="120"/>
            </w:tcMar>
          </w:tcPr>
          <w:p>
            <w:r>
              <w:rPr>
                <w:b w:val="false"/>
                <w:bCs w:val="false"/>
                <w:sz w:val="20"/>
                <w:szCs w:val="20"/>
              </w:rPr>
              <w:t xml:space="preserve">Months 3–9</w:t>
            </w:r>
          </w:p>
        </w:tc>
        <w:tc>
          <w:tcPr>
            <w:tcW w:type="dxa" w:w="3700"/>
            <w:shd w:fill="EAF2F6" w:val="clear"/>
            <w:tcMar>
              <w:top w:type="dxa" w:w="80"/>
              <w:left w:type="dxa" w:w="120"/>
              <w:bottom w:type="dxa" w:w="80"/>
              <w:right w:type="dxa" w:w="120"/>
            </w:tcMar>
          </w:tcPr>
          <w:p>
            <w:r>
              <w:rPr>
                <w:b w:val="false"/>
                <w:bCs w:val="false"/>
                <w:sz w:val="20"/>
                <w:szCs w:val="20"/>
              </w:rPr>
              <w:t xml:space="preserve">Core package end-to-end + lab connector + dashboards; onboarding tooling v1</w:t>
            </w:r>
          </w:p>
        </w:tc>
        <w:tc>
          <w:tcPr>
            <w:tcW w:type="dxa" w:w="2560"/>
            <w:shd w:fill="EAF2F6" w:val="clear"/>
            <w:tcMar>
              <w:top w:type="dxa" w:w="80"/>
              <w:left w:type="dxa" w:w="120"/>
              <w:bottom w:type="dxa" w:w="80"/>
              <w:right w:type="dxa" w:w="120"/>
            </w:tcMar>
          </w:tcPr>
          <w:p>
            <w:r>
              <w:rPr>
                <w:b w:val="false"/>
                <w:bCs w:val="false"/>
                <w:sz w:val="20"/>
                <w:szCs w:val="20"/>
              </w:rPr>
              <w:t xml:space="preserve">Full outpatient journey demo; migration tooling proven on sample legacy data</w:t>
            </w:r>
          </w:p>
        </w:tc>
      </w:tr>
      <w:tr>
        <w:tc>
          <w:tcPr>
            <w:tcW w:type="dxa" w:w="1700"/>
            <w:tcMar>
              <w:top w:type="dxa" w:w="80"/>
              <w:left w:type="dxa" w:w="120"/>
              <w:bottom w:type="dxa" w:w="80"/>
              <w:right w:type="dxa" w:w="120"/>
            </w:tcMar>
          </w:tcPr>
          <w:p>
            <w:r>
              <w:rPr>
                <w:b w:val="false"/>
                <w:bCs w:val="false"/>
                <w:sz w:val="20"/>
                <w:szCs w:val="20"/>
              </w:rPr>
              <w:t xml:space="preserve">3. Design Partners</w:t>
            </w:r>
          </w:p>
        </w:tc>
        <w:tc>
          <w:tcPr>
            <w:tcW w:type="dxa" w:w="1400"/>
            <w:tcMar>
              <w:top w:type="dxa" w:w="80"/>
              <w:left w:type="dxa" w:w="120"/>
              <w:bottom w:type="dxa" w:w="80"/>
              <w:right w:type="dxa" w:w="120"/>
            </w:tcMar>
          </w:tcPr>
          <w:p>
            <w:r>
              <w:rPr>
                <w:b w:val="false"/>
                <w:bCs w:val="false"/>
                <w:sz w:val="20"/>
                <w:szCs w:val="20"/>
              </w:rPr>
              <w:t xml:space="preserve">Months 8–15</w:t>
            </w:r>
          </w:p>
        </w:tc>
        <w:tc>
          <w:tcPr>
            <w:tcW w:type="dxa" w:w="3700"/>
            <w:tcMar>
              <w:top w:type="dxa" w:w="80"/>
              <w:left w:type="dxa" w:w="120"/>
              <w:bottom w:type="dxa" w:w="80"/>
              <w:right w:type="dxa" w:w="120"/>
            </w:tcMar>
          </w:tcPr>
          <w:p>
            <w:r>
              <w:rPr>
                <w:b w:val="false"/>
                <w:bCs w:val="false"/>
                <w:sz w:val="20"/>
                <w:szCs w:val="20"/>
              </w:rPr>
              <w:t xml:space="preserve">3–5 partner go-lives; inpatient module build; first payer/exchange connectors</w:t>
            </w:r>
          </w:p>
        </w:tc>
        <w:tc>
          <w:tcPr>
            <w:tcW w:type="dxa" w:w="2560"/>
            <w:tcMar>
              <w:top w:type="dxa" w:w="80"/>
              <w:left w:type="dxa" w:w="120"/>
              <w:bottom w:type="dxa" w:w="80"/>
              <w:right w:type="dxa" w:w="120"/>
            </w:tcMar>
          </w:tcPr>
          <w:p>
            <w:r>
              <w:rPr>
                <w:b w:val="false"/>
                <w:bCs w:val="false"/>
                <w:sz w:val="20"/>
                <w:szCs w:val="20"/>
              </w:rPr>
              <w:t xml:space="preserve">Partners live &amp; referenceable; NPS ≥ 40; onboarding ≤ 12 weeks demonstrated</w:t>
            </w:r>
          </w:p>
        </w:tc>
      </w:tr>
      <w:tr>
        <w:tc>
          <w:tcPr>
            <w:tcW w:type="dxa" w:w="1700"/>
            <w:shd w:fill="EAF2F6" w:val="clear"/>
            <w:tcMar>
              <w:top w:type="dxa" w:w="80"/>
              <w:left w:type="dxa" w:w="120"/>
              <w:bottom w:type="dxa" w:w="80"/>
              <w:right w:type="dxa" w:w="120"/>
            </w:tcMar>
          </w:tcPr>
          <w:p>
            <w:r>
              <w:rPr>
                <w:b w:val="false"/>
                <w:bCs w:val="false"/>
                <w:sz w:val="20"/>
                <w:szCs w:val="20"/>
              </w:rPr>
              <w:t xml:space="preserve">4. GA Launch</w:t>
            </w:r>
          </w:p>
        </w:tc>
        <w:tc>
          <w:tcPr>
            <w:tcW w:type="dxa" w:w="1400"/>
            <w:shd w:fill="EAF2F6" w:val="clear"/>
            <w:tcMar>
              <w:top w:type="dxa" w:w="80"/>
              <w:left w:type="dxa" w:w="120"/>
              <w:bottom w:type="dxa" w:w="80"/>
              <w:right w:type="dxa" w:w="120"/>
            </w:tcMar>
          </w:tcPr>
          <w:p>
            <w:r>
              <w:rPr>
                <w:b w:val="false"/>
                <w:bCs w:val="false"/>
                <w:sz w:val="20"/>
                <w:szCs w:val="20"/>
              </w:rPr>
              <w:t xml:space="preserve">Months 15–18</w:t>
            </w:r>
          </w:p>
        </w:tc>
        <w:tc>
          <w:tcPr>
            <w:tcW w:type="dxa" w:w="3700"/>
            <w:shd w:fill="EAF2F6" w:val="clear"/>
            <w:tcMar>
              <w:top w:type="dxa" w:w="80"/>
              <w:left w:type="dxa" w:w="120"/>
              <w:bottom w:type="dxa" w:w="80"/>
              <w:right w:type="dxa" w:w="120"/>
            </w:tcMar>
          </w:tcPr>
          <w:p>
            <w:r>
              <w:rPr>
                <w:b w:val="false"/>
                <w:bCs w:val="false"/>
                <w:sz w:val="20"/>
                <w:szCs w:val="20"/>
              </w:rPr>
              <w:t xml:space="preserve">SOC 2 Type II &amp; ISO 27001 achieved; pricing finalized; sales &amp; support scaled</w:t>
            </w:r>
          </w:p>
        </w:tc>
        <w:tc>
          <w:tcPr>
            <w:tcW w:type="dxa" w:w="2560"/>
            <w:shd w:fill="EAF2F6" w:val="clear"/>
            <w:tcMar>
              <w:top w:type="dxa" w:w="80"/>
              <w:left w:type="dxa" w:w="120"/>
              <w:bottom w:type="dxa" w:w="80"/>
              <w:right w:type="dxa" w:w="120"/>
            </w:tcMar>
          </w:tcPr>
          <w:p>
            <w:r>
              <w:rPr>
                <w:b w:val="false"/>
                <w:bCs w:val="false"/>
                <w:sz w:val="20"/>
                <w:szCs w:val="20"/>
              </w:rPr>
              <w:t xml:space="preserve">Public launch; ≥ 10 paying facilities; SLA met for 2 consecutive quarters</w:t>
            </w:r>
          </w:p>
        </w:tc>
      </w:tr>
      <w:tr>
        <w:tc>
          <w:tcPr>
            <w:tcW w:type="dxa" w:w="1700"/>
            <w:tcMar>
              <w:top w:type="dxa" w:w="80"/>
              <w:left w:type="dxa" w:w="120"/>
              <w:bottom w:type="dxa" w:w="80"/>
              <w:right w:type="dxa" w:w="120"/>
            </w:tcMar>
          </w:tcPr>
          <w:p>
            <w:r>
              <w:rPr>
                <w:b w:val="false"/>
                <w:bCs w:val="false"/>
                <w:sz w:val="20"/>
                <w:szCs w:val="20"/>
              </w:rPr>
              <w:t xml:space="preserve">5. Scale &amp; Expand</w:t>
            </w:r>
          </w:p>
        </w:tc>
        <w:tc>
          <w:tcPr>
            <w:tcW w:type="dxa" w:w="1400"/>
            <w:tcMar>
              <w:top w:type="dxa" w:w="80"/>
              <w:left w:type="dxa" w:w="120"/>
              <w:bottom w:type="dxa" w:w="80"/>
              <w:right w:type="dxa" w:w="120"/>
            </w:tcMar>
          </w:tcPr>
          <w:p>
            <w:r>
              <w:rPr>
                <w:b w:val="false"/>
                <w:bCs w:val="false"/>
                <w:sz w:val="20"/>
                <w:szCs w:val="20"/>
              </w:rPr>
              <w:t xml:space="preserve">Months 18–30</w:t>
            </w:r>
          </w:p>
        </w:tc>
        <w:tc>
          <w:tcPr>
            <w:tcW w:type="dxa" w:w="3700"/>
            <w:tcMar>
              <w:top w:type="dxa" w:w="80"/>
              <w:left w:type="dxa" w:w="120"/>
              <w:bottom w:type="dxa" w:w="80"/>
              <w:right w:type="dxa" w:w="120"/>
            </w:tcMar>
          </w:tcPr>
          <w:p>
            <w:r>
              <w:rPr>
                <w:b w:val="false"/>
                <w:bCs w:val="false"/>
                <w:sz w:val="20"/>
                <w:szCs w:val="20"/>
              </w:rPr>
              <w:t xml:space="preserve">Second region, AI module GA, Network package, partner channel, marketplace beta</w:t>
            </w:r>
          </w:p>
        </w:tc>
        <w:tc>
          <w:tcPr>
            <w:tcW w:type="dxa" w:w="2560"/>
            <w:tcMar>
              <w:top w:type="dxa" w:w="80"/>
              <w:left w:type="dxa" w:w="120"/>
              <w:bottom w:type="dxa" w:w="80"/>
              <w:right w:type="dxa" w:w="120"/>
            </w:tcMar>
          </w:tcPr>
          <w:p>
            <w:r>
              <w:rPr>
                <w:b w:val="false"/>
                <w:bCs w:val="false"/>
                <w:sz w:val="20"/>
                <w:szCs w:val="20"/>
              </w:rPr>
              <w:t xml:space="preserve">NRR ≥ 115%; region-2 first customers; AI modules in governed production</w:t>
            </w:r>
          </w:p>
        </w:tc>
      </w:tr>
    </w:tbl>
    <w:p>
      <w:pPr>
        <w:spacing w:after="200"/>
      </w:pPr>
    </w:p>
    <w:p>
      <w:pPr>
        <w:pStyle w:val="Heading1"/>
        <w:spacing w:after="160" w:before="360"/>
      </w:pPr>
      <w:r>
        <w:rPr>
          <w:color w:val="1F4E5F"/>
        </w:rPr>
        <w:t xml:space="preserve">10. Organization and Delivery Model</w:t>
      </w:r>
    </w:p>
    <w:p>
      <w:pPr>
        <w:spacing w:after="160" w:line="300"/>
        <w:jc w:val="both"/>
      </w:pPr>
      <w:r>
        <w:rPr>
          <w:sz w:val="22"/>
          <w:szCs w:val="22"/>
        </w:rPr>
        <w:t xml:space="preserve">The build phase requires a focused team of roughly 20–30: product and design (including clinician-informaticists on staff — non-negotiable for workflow credibility), platform and application engineering squads aligned to the module map, a data/AI team, security and compliance, and a customer onboarding team that treats the implementation playbook as a product. A clinical safety officer owns the safety case across releases. Governance comprises a monthly executive steering review of roadmap, burn, and design-partner health, and a change-control discipline that protects the one-codebase principle against custom-work pressure — the single most common way vertical SaaS companies quietly become services businesses.</w:t>
      </w:r>
    </w:p>
    <w:p>
      <w:pPr>
        <w:pStyle w:val="Heading1"/>
        <w:spacing w:after="160" w:before="360"/>
      </w:pPr>
      <w:r>
        <w:rPr>
          <w:color w:val="1F4E5F"/>
        </w:rPr>
        <w:t xml:space="preserve">11. Success Metrics</w:t>
      </w:r>
    </w:p>
    <w:p>
      <w:pPr>
        <w:spacing w:after="160" w:line="300"/>
        <w:jc w:val="both"/>
      </w:pPr>
      <w:r>
        <w:rPr>
          <w:sz w:val="22"/>
          <w:szCs w:val="22"/>
        </w:rPr>
        <w:t xml:space="preserve">The program is managed on a compact scorecard spanning product, customer, and commercial health. Customer-outcome metrics double as the sales evidence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shd w:fill="1F4E5F" w:val="clear"/>
            <w:tcMar>
              <w:top w:type="dxa" w:w="80"/>
              <w:left w:type="dxa" w:w="120"/>
              <w:bottom w:type="dxa" w:w="80"/>
              <w:right w:type="dxa" w:w="120"/>
            </w:tcMar>
          </w:tcPr>
          <w:p>
            <w:r>
              <w:rPr>
                <w:b/>
                <w:bCs/>
                <w:color w:val="FFFFFF"/>
                <w:sz w:val="20"/>
                <w:szCs w:val="20"/>
              </w:rPr>
              <w:t xml:space="preserve">Domain</w:t>
            </w:r>
          </w:p>
        </w:tc>
        <w:tc>
          <w:tcPr>
            <w:tcW w:type="dxa" w:w="3800"/>
            <w:shd w:fill="1F4E5F" w:val="clear"/>
            <w:tcMar>
              <w:top w:type="dxa" w:w="80"/>
              <w:left w:type="dxa" w:w="120"/>
              <w:bottom w:type="dxa" w:w="80"/>
              <w:right w:type="dxa" w:w="120"/>
            </w:tcMar>
          </w:tcPr>
          <w:p>
            <w:r>
              <w:rPr>
                <w:b/>
                <w:bCs/>
                <w:color w:val="FFFFFF"/>
                <w:sz w:val="20"/>
                <w:szCs w:val="20"/>
              </w:rPr>
              <w:t xml:space="preserve">Metric</w:t>
            </w:r>
          </w:p>
        </w:tc>
        <w:tc>
          <w:tcPr>
            <w:tcW w:type="dxa" w:w="3560"/>
            <w:shd w:fill="1F4E5F" w:val="clear"/>
            <w:tcMar>
              <w:top w:type="dxa" w:w="80"/>
              <w:left w:type="dxa" w:w="120"/>
              <w:bottom w:type="dxa" w:w="80"/>
              <w:right w:type="dxa" w:w="120"/>
            </w:tcMar>
          </w:tcPr>
          <w:p>
            <w:r>
              <w:rPr>
                <w:b/>
                <w:bCs/>
                <w:color w:val="FFFFFF"/>
                <w:sz w:val="20"/>
                <w:szCs w:val="20"/>
              </w:rPr>
              <w:t xml:space="preserve">Target (by Month 30)</w:t>
            </w:r>
          </w:p>
        </w:tc>
      </w:tr>
      <w:tr>
        <w:tc>
          <w:tcPr>
            <w:tcW w:type="dxa" w:w="2000"/>
            <w:tcMar>
              <w:top w:type="dxa" w:w="80"/>
              <w:left w:type="dxa" w:w="120"/>
              <w:bottom w:type="dxa" w:w="80"/>
              <w:right w:type="dxa" w:w="120"/>
            </w:tcMar>
          </w:tcPr>
          <w:p>
            <w:r>
              <w:rPr>
                <w:b w:val="false"/>
                <w:bCs w:val="false"/>
                <w:sz w:val="20"/>
                <w:szCs w:val="20"/>
              </w:rPr>
              <w:t xml:space="preserve">Onboarding</w:t>
            </w:r>
          </w:p>
        </w:tc>
        <w:tc>
          <w:tcPr>
            <w:tcW w:type="dxa" w:w="3800"/>
            <w:tcMar>
              <w:top w:type="dxa" w:w="80"/>
              <w:left w:type="dxa" w:w="120"/>
              <w:bottom w:type="dxa" w:w="80"/>
              <w:right w:type="dxa" w:w="120"/>
            </w:tcMar>
          </w:tcPr>
          <w:p>
            <w:r>
              <w:rPr>
                <w:b w:val="false"/>
                <w:bCs w:val="false"/>
                <w:sz w:val="20"/>
                <w:szCs w:val="20"/>
              </w:rPr>
              <w:t xml:space="preserve">Contract-to-live time; migration data validated</w:t>
            </w:r>
          </w:p>
        </w:tc>
        <w:tc>
          <w:tcPr>
            <w:tcW w:type="dxa" w:w="3560"/>
            <w:tcMar>
              <w:top w:type="dxa" w:w="80"/>
              <w:left w:type="dxa" w:w="120"/>
              <w:bottom w:type="dxa" w:w="80"/>
              <w:right w:type="dxa" w:w="120"/>
            </w:tcMar>
          </w:tcPr>
          <w:p>
            <w:r>
              <w:rPr>
                <w:b w:val="false"/>
                <w:bCs w:val="false"/>
                <w:sz w:val="20"/>
                <w:szCs w:val="20"/>
              </w:rPr>
              <w:t xml:space="preserve">≤ 12 weeks median; 100% critical data reconciled</w:t>
            </w:r>
          </w:p>
        </w:tc>
      </w:tr>
      <w:tr>
        <w:tc>
          <w:tcPr>
            <w:tcW w:type="dxa" w:w="2000"/>
            <w:shd w:fill="EAF2F6" w:val="clear"/>
            <w:tcMar>
              <w:top w:type="dxa" w:w="80"/>
              <w:left w:type="dxa" w:w="120"/>
              <w:bottom w:type="dxa" w:w="80"/>
              <w:right w:type="dxa" w:w="120"/>
            </w:tcMar>
          </w:tcPr>
          <w:p>
            <w:r>
              <w:rPr>
                <w:b w:val="false"/>
                <w:bCs w:val="false"/>
                <w:sz w:val="20"/>
                <w:szCs w:val="20"/>
              </w:rPr>
              <w:t xml:space="preserve">Adoption</w:t>
            </w:r>
          </w:p>
        </w:tc>
        <w:tc>
          <w:tcPr>
            <w:tcW w:type="dxa" w:w="3800"/>
            <w:shd w:fill="EAF2F6" w:val="clear"/>
            <w:tcMar>
              <w:top w:type="dxa" w:w="80"/>
              <w:left w:type="dxa" w:w="120"/>
              <w:bottom w:type="dxa" w:w="80"/>
              <w:right w:type="dxa" w:w="120"/>
            </w:tcMar>
          </w:tcPr>
          <w:p>
            <w:r>
              <w:rPr>
                <w:b w:val="false"/>
                <w:bCs w:val="false"/>
                <w:sz w:val="20"/>
                <w:szCs w:val="20"/>
              </w:rPr>
              <w:t xml:space="preserve">Weekly active clinicians / licensed; portal activation</w:t>
            </w:r>
          </w:p>
        </w:tc>
        <w:tc>
          <w:tcPr>
            <w:tcW w:type="dxa" w:w="3560"/>
            <w:shd w:fill="EAF2F6" w:val="clear"/>
            <w:tcMar>
              <w:top w:type="dxa" w:w="80"/>
              <w:left w:type="dxa" w:w="120"/>
              <w:bottom w:type="dxa" w:w="80"/>
              <w:right w:type="dxa" w:w="120"/>
            </w:tcMar>
          </w:tcPr>
          <w:p>
            <w:r>
              <w:rPr>
                <w:b w:val="false"/>
                <w:bCs w:val="false"/>
                <w:sz w:val="20"/>
                <w:szCs w:val="20"/>
              </w:rPr>
              <w:t xml:space="preserve">≥ 80%; ≥ 60% of patients</w:t>
            </w:r>
          </w:p>
        </w:tc>
      </w:tr>
      <w:tr>
        <w:tc>
          <w:tcPr>
            <w:tcW w:type="dxa" w:w="2000"/>
            <w:tcMar>
              <w:top w:type="dxa" w:w="80"/>
              <w:left w:type="dxa" w:w="120"/>
              <w:bottom w:type="dxa" w:w="80"/>
              <w:right w:type="dxa" w:w="120"/>
            </w:tcMar>
          </w:tcPr>
          <w:p>
            <w:r>
              <w:rPr>
                <w:b w:val="false"/>
                <w:bCs w:val="false"/>
                <w:sz w:val="20"/>
                <w:szCs w:val="20"/>
              </w:rPr>
              <w:t xml:space="preserve">Customer outcomes</w:t>
            </w:r>
          </w:p>
        </w:tc>
        <w:tc>
          <w:tcPr>
            <w:tcW w:type="dxa" w:w="3800"/>
            <w:tcMar>
              <w:top w:type="dxa" w:w="80"/>
              <w:left w:type="dxa" w:w="120"/>
              <w:bottom w:type="dxa" w:w="80"/>
              <w:right w:type="dxa" w:w="120"/>
            </w:tcMar>
          </w:tcPr>
          <w:p>
            <w:r>
              <w:rPr>
                <w:b w:val="false"/>
                <w:bCs w:val="false"/>
                <w:sz w:val="20"/>
                <w:szCs w:val="20"/>
              </w:rPr>
              <w:t xml:space="preserve">Documentation time; first-pass claim rate; no-show rate</w:t>
            </w:r>
          </w:p>
        </w:tc>
        <w:tc>
          <w:tcPr>
            <w:tcW w:type="dxa" w:w="3560"/>
            <w:tcMar>
              <w:top w:type="dxa" w:w="80"/>
              <w:left w:type="dxa" w:w="120"/>
              <w:bottom w:type="dxa" w:w="80"/>
              <w:right w:type="dxa" w:w="120"/>
            </w:tcMar>
          </w:tcPr>
          <w:p>
            <w:r>
              <w:rPr>
                <w:b w:val="false"/>
                <w:bCs w:val="false"/>
                <w:sz w:val="20"/>
                <w:szCs w:val="20"/>
              </w:rPr>
              <w:t xml:space="preserve">−25%; ≥ 95%; −30% (per tenant baseline)</w:t>
            </w:r>
          </w:p>
        </w:tc>
      </w:tr>
      <w:tr>
        <w:tc>
          <w:tcPr>
            <w:tcW w:type="dxa" w:w="2000"/>
            <w:shd w:fill="EAF2F6" w:val="clear"/>
            <w:tcMar>
              <w:top w:type="dxa" w:w="80"/>
              <w:left w:type="dxa" w:w="120"/>
              <w:bottom w:type="dxa" w:w="80"/>
              <w:right w:type="dxa" w:w="120"/>
            </w:tcMar>
          </w:tcPr>
          <w:p>
            <w:r>
              <w:rPr>
                <w:b w:val="false"/>
                <w:bCs w:val="false"/>
                <w:sz w:val="20"/>
                <w:szCs w:val="20"/>
              </w:rPr>
              <w:t xml:space="preserve">Reliability</w:t>
            </w:r>
          </w:p>
        </w:tc>
        <w:tc>
          <w:tcPr>
            <w:tcW w:type="dxa" w:w="3800"/>
            <w:shd w:fill="EAF2F6" w:val="clear"/>
            <w:tcMar>
              <w:top w:type="dxa" w:w="80"/>
              <w:left w:type="dxa" w:w="120"/>
              <w:bottom w:type="dxa" w:w="80"/>
              <w:right w:type="dxa" w:w="120"/>
            </w:tcMar>
          </w:tcPr>
          <w:p>
            <w:r>
              <w:rPr>
                <w:b w:val="false"/>
                <w:bCs w:val="false"/>
                <w:sz w:val="20"/>
                <w:szCs w:val="20"/>
              </w:rPr>
              <w:t xml:space="preserve">Availability; incident MTTR</w:t>
            </w:r>
          </w:p>
        </w:tc>
        <w:tc>
          <w:tcPr>
            <w:tcW w:type="dxa" w:w="3560"/>
            <w:shd w:fill="EAF2F6" w:val="clear"/>
            <w:tcMar>
              <w:top w:type="dxa" w:w="80"/>
              <w:left w:type="dxa" w:w="120"/>
              <w:bottom w:type="dxa" w:w="80"/>
              <w:right w:type="dxa" w:w="120"/>
            </w:tcMar>
          </w:tcPr>
          <w:p>
            <w:r>
              <w:rPr>
                <w:b w:val="false"/>
                <w:bCs w:val="false"/>
                <w:sz w:val="20"/>
                <w:szCs w:val="20"/>
              </w:rPr>
              <w:t xml:space="preserve">≥ 99.95%; ≤ 1 h for Sev-1</w:t>
            </w:r>
          </w:p>
        </w:tc>
      </w:tr>
      <w:tr>
        <w:tc>
          <w:tcPr>
            <w:tcW w:type="dxa" w:w="2000"/>
            <w:tcMar>
              <w:top w:type="dxa" w:w="80"/>
              <w:left w:type="dxa" w:w="120"/>
              <w:bottom w:type="dxa" w:w="80"/>
              <w:right w:type="dxa" w:w="120"/>
            </w:tcMar>
          </w:tcPr>
          <w:p>
            <w:r>
              <w:rPr>
                <w:b w:val="false"/>
                <w:bCs w:val="false"/>
                <w:sz w:val="20"/>
                <w:szCs w:val="20"/>
              </w:rPr>
              <w:t xml:space="preserve">Commercial</w:t>
            </w:r>
          </w:p>
        </w:tc>
        <w:tc>
          <w:tcPr>
            <w:tcW w:type="dxa" w:w="3800"/>
            <w:tcMar>
              <w:top w:type="dxa" w:w="80"/>
              <w:left w:type="dxa" w:w="120"/>
              <w:bottom w:type="dxa" w:w="80"/>
              <w:right w:type="dxa" w:w="120"/>
            </w:tcMar>
          </w:tcPr>
          <w:p>
            <w:r>
              <w:rPr>
                <w:b w:val="false"/>
                <w:bCs w:val="false"/>
                <w:sz w:val="20"/>
                <w:szCs w:val="20"/>
              </w:rPr>
              <w:t xml:space="preserve">Facilities live; NRR; gross margin; CAC payback</w:t>
            </w:r>
          </w:p>
        </w:tc>
        <w:tc>
          <w:tcPr>
            <w:tcW w:type="dxa" w:w="3560"/>
            <w:tcMar>
              <w:top w:type="dxa" w:w="80"/>
              <w:left w:type="dxa" w:w="120"/>
              <w:bottom w:type="dxa" w:w="80"/>
              <w:right w:type="dxa" w:w="120"/>
            </w:tcMar>
          </w:tcPr>
          <w:p>
            <w:r>
              <w:rPr>
                <w:b w:val="false"/>
                <w:bCs w:val="false"/>
                <w:sz w:val="20"/>
                <w:szCs w:val="20"/>
              </w:rPr>
              <w:t xml:space="preserve">≥ 25; ≥ 115%; ≥ 75%; ≤ 18 months</w:t>
            </w:r>
          </w:p>
        </w:tc>
      </w:tr>
      <w:tr>
        <w:tc>
          <w:tcPr>
            <w:tcW w:type="dxa" w:w="2000"/>
            <w:shd w:fill="EAF2F6" w:val="clear"/>
            <w:tcMar>
              <w:top w:type="dxa" w:w="80"/>
              <w:left w:type="dxa" w:w="120"/>
              <w:bottom w:type="dxa" w:w="80"/>
              <w:right w:type="dxa" w:w="120"/>
            </w:tcMar>
          </w:tcPr>
          <w:p>
            <w:r>
              <w:rPr>
                <w:b w:val="false"/>
                <w:bCs w:val="false"/>
                <w:sz w:val="20"/>
                <w:szCs w:val="20"/>
              </w:rPr>
              <w:t xml:space="preserve">Trust</w:t>
            </w:r>
          </w:p>
        </w:tc>
        <w:tc>
          <w:tcPr>
            <w:tcW w:type="dxa" w:w="3800"/>
            <w:shd w:fill="EAF2F6" w:val="clear"/>
            <w:tcMar>
              <w:top w:type="dxa" w:w="80"/>
              <w:left w:type="dxa" w:w="120"/>
              <w:bottom w:type="dxa" w:w="80"/>
              <w:right w:type="dxa" w:w="120"/>
            </w:tcMar>
          </w:tcPr>
          <w:p>
            <w:r>
              <w:rPr>
                <w:b w:val="false"/>
                <w:bCs w:val="false"/>
                <w:sz w:val="20"/>
                <w:szCs w:val="20"/>
              </w:rPr>
              <w:t xml:space="preserve">SOC 2 Type II / ISO 27001; security incidents</w:t>
            </w:r>
          </w:p>
        </w:tc>
        <w:tc>
          <w:tcPr>
            <w:tcW w:type="dxa" w:w="3560"/>
            <w:shd w:fill="EAF2F6" w:val="clear"/>
            <w:tcMar>
              <w:top w:type="dxa" w:w="80"/>
              <w:left w:type="dxa" w:w="120"/>
              <w:bottom w:type="dxa" w:w="80"/>
              <w:right w:type="dxa" w:w="120"/>
            </w:tcMar>
          </w:tcPr>
          <w:p>
            <w:r>
              <w:rPr>
                <w:b w:val="false"/>
                <w:bCs w:val="false"/>
                <w:sz w:val="20"/>
                <w:szCs w:val="20"/>
              </w:rPr>
              <w:t xml:space="preserve">Certified; zero reportable breaches</w:t>
            </w:r>
          </w:p>
        </w:tc>
      </w:tr>
    </w:tbl>
    <w:p>
      <w:pPr>
        <w:spacing w:after="200"/>
      </w:pPr>
    </w:p>
    <w:p>
      <w:pPr>
        <w:pStyle w:val="Heading1"/>
        <w:spacing w:after="160" w:before="360"/>
      </w:pPr>
      <w:r>
        <w:rPr>
          <w:color w:val="1F4E5F"/>
        </w:rPr>
        <w:t xml:space="preserve">12. Key Risks and Mitigations</w:t>
      </w:r>
    </w:p>
    <w:p>
      <w:pPr>
        <w:spacing w:after="160" w:line="300"/>
        <w:jc w:val="both"/>
      </w:pPr>
      <w:r>
        <w:rPr>
          <w:sz w:val="22"/>
          <w:szCs w:val="22"/>
        </w:rPr>
        <w:t xml:space="preserve">The principal risks and their mitigations are as follows. Long healthcare sales cycles are mitigated by the design-partner motion, low-friction entry pricing, and the partner channel's existing relationships. Regulatory divergence across markets is mitigated by the certification-led strategy, the per-country dossier discipline, and sequencing market entry by regulatory clarity. A tenant-isolation or security failure — the existential risk for healthcare SaaS — is mitigated by isolation tests in every pipeline, tenant-scoped keys, independent testing, and rehearsed incident response with contractual transparency. Customization pressure eroding the one-codebase model is mitigated by a configuration-first product architecture and executive-level change control. Data-migration quality risk is mitigated by productized migration tooling with clinician-led reconciliation of critical data. Incumbent competitive response is mitigated by speed, mid-market focus, and the connector/onboarding moats. Clinical-safety or AI harm is mitigated by the QMS, per-jurisdiction clearance, human-in-the-loop design, and tenant-level opt-in. Finally, funding risk is managed by staging investment against the exit criteria in Section 9, so each tranche is released on evidence.</w:t>
      </w:r>
    </w:p>
    <w:p>
      <w:pPr>
        <w:pStyle w:val="Heading1"/>
        <w:spacing w:after="160" w:before="360"/>
      </w:pPr>
      <w:r>
        <w:rPr>
          <w:color w:val="1F4E5F"/>
        </w:rPr>
        <w:t xml:space="preserve">13. Recommendation and Next Steps</w:t>
      </w:r>
    </w:p>
    <w:p>
      <w:pPr>
        <w:spacing w:after="160" w:line="300"/>
        <w:jc w:val="both"/>
      </w:pPr>
      <w:r>
        <w:rPr>
          <w:sz w:val="22"/>
          <w:szCs w:val="22"/>
        </w:rPr>
        <w:t xml:space="preserve">It is recommended that leadership approve the program and release Stage 1–2 funding. Immediate next steps: finalize the launch-region selection and its regulatory dossier; hire the founding product-engineering team including clinician-informaticists; begin SOC 2/ISO 27001 control implementation alongside the platform build; open design-partner conversations with a shortlist of 10–15 target facilities; and validate pricing anchors through those conversations. A companion financial model with staged funding tranches accompanies this proposal; the first formal review point is the Stage 2 exit — a working end-to-end MVP and at least three signed design partners.</w:t>
      </w:r>
    </w:p>
    <w:p>
      <w:pPr>
        <w:spacing w:after="160" w:line="300"/>
        <w:jc w:val="both"/>
      </w:pPr>
      <w:r>
        <w:rPr>
          <w:sz w:val="22"/>
          <w:szCs w:val="22"/>
        </w:rPr>
        <w:t xml:space="preserve">The mid-market hospital segment is where the last generation of enterprise health IT never truly arrived. Delivering it as true SaaS — one platform, continuously improved, live in weeks, priced to the value it creates — is both a large commercial opportunity and a genuine contribution to the quality and safety of care in the facilities that need modernization most.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sz w:val="32"/>
      <w:szCs w:val="32"/>
    </w:rPr>
  </w:style>
  <w:style w:type="paragraph" w:styleId="Heading2">
    <w:name w:val="Heading 2"/>
    <w:basedOn w:val="Normal"/>
    <w:next w:val="Normal"/>
    <w:qFormat/>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2026-07-19T20:18:27.945Z</dcterms:created>
  <dcterms:modified xsi:type="dcterms:W3CDTF">2026-07-19T20:18:27.960Z</dcterms:modified>
</cp:coreProperties>
</file>

<file path=docProps/custom.xml><?xml version="1.0" encoding="utf-8"?>
<Properties xmlns="http://schemas.openxmlformats.org/officeDocument/2006/custom-properties" xmlns:vt="http://schemas.openxmlformats.org/officeDocument/2006/docPropsVTypes"/>
</file>