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
      </w:pPr>
      <w:r>
        <w:rPr>
          <w:b/>
          <w:bCs/>
          <w:color w:val="1F4E5F"/>
          <w:sz w:val="32"/>
          <w:szCs w:val="32"/>
        </w:rPr>
        <w:t xml:space="preserve">Operator Console — Fix Round 2</w:t>
      </w:r>
    </w:p>
    <w:p>
      <w:pPr>
        <w:spacing w:after="180"/>
      </w:pPr>
      <w:r>
        <w:rPr>
          <w:i/>
          <w:iCs/>
          <w:color w:val="555555"/>
          <w:sz w:val="22"/>
          <w:szCs w:val="22"/>
        </w:rPr>
        <w:t xml:space="preserve">“Looks messy, corporate feel missing” traced to specific bugs and specific styling gaps — fix the bugs first, then apply the parked Trusted Enterprise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BEEDC" w:val="clear"/>
            <w:tcMar>
              <w:top w:type="dxa" w:w="110"/>
              <w:left w:type="dxa" w:w="150"/>
              <w:bottom w:type="dxa" w:w="110"/>
              <w:right w:type="dxa" w:w="150"/>
            </w:tcMar>
          </w:tcPr>
          <w:p>
            <w:r>
              <w:rPr>
                <w:b/>
                <w:bCs/>
                <w:color w:val="8A4B08"/>
                <w:sz w:val="20"/>
                <w:szCs w:val="20"/>
              </w:rPr>
              <w:t xml:space="preserve">Order matters here.  </w:t>
            </w:r>
          </w:p>
          <w:p>
            <w:pPr>
              <w:spacing w:before="40"/>
            </w:pPr>
            <w:r>
              <w:rPr>
                <w:color w:val="5A4326"/>
                <w:sz w:val="20"/>
                <w:szCs w:val="20"/>
              </w:rPr>
              <w:t xml:space="preserve">Three of the four findings below are real bugs (contradictory data, a non-functional filter, a duplicate screen) — not styling. No visual redesign will fix the 'messy' feeling while the dashboard's own numbers disagree with its own table. Fix Part 1 completely before touching Part 2.</w:t>
            </w:r>
          </w:p>
        </w:tc>
      </w:tr>
    </w:tbl>
    <w:p>
      <w:pPr>
        <w:spacing w:after="150"/>
      </w:pPr>
    </w:p>
    <w:p>
      <w:pPr>
        <w:pStyle w:val="Heading1"/>
        <w:spacing w:after="120" w:before="280"/>
      </w:pPr>
      <w:r>
        <w:rPr>
          <w:color w:val="1F4E5F"/>
        </w:rPr>
        <w:t xml:space="preserve">Part 1 — Real Bugs (fix first)</w:t>
      </w:r>
    </w:p>
    <w:p>
      <w:pPr>
        <w:pStyle w:val="Heading2"/>
        <w:spacing w:after="80" w:before="190"/>
      </w:pPr>
      <w:r>
        <w:rPr>
          <w:color w:val="2E86AB"/>
        </w:rPr>
        <w:t xml:space="preserve">B1. Dashboard KPIs don't match the tenant table</w:t>
      </w:r>
    </w:p>
    <w:p>
      <w:pPr>
        <w:spacing w:after="120" w:line="284"/>
        <w:jc w:val="both"/>
      </w:pPr>
      <w:r>
        <w:rPr>
          <w:sz w:val="22"/>
          <w:szCs w:val="22"/>
        </w:rPr>
        <w:t xml:space="preserve">The Executive Dashboard shows '1,420 Total Patients Served' and '₹13.60 Lakhs MTD Revenue ↑ 18.5%', while every tenant row in the table below shows 0 patients. Trace exactly where each number is sourced — if the KPI tiles are querying a different table, a stale cache, or hardcoded/demo values while the per-tenant table queries live data, that mismatch is the fix. Both must come from the same source of truth. If real seed data doesn't currently support meaningful non-zero patient counts across tenants, seed it properly rather than fabricating a top-line number that nothing backs up.</w:t>
      </w:r>
    </w:p>
    <w:p>
      <w:pPr>
        <w:pStyle w:val="Heading2"/>
        <w:spacing w:after="80" w:before="190"/>
      </w:pPr>
      <w:r>
        <w:rPr>
          <w:color w:val="2E86AB"/>
        </w:rPr>
        <w:t xml:space="preserve">B2. “Hide Synthetic / Test Debris” filter does not filter</w:t>
      </w:r>
    </w:p>
    <w:p>
      <w:pPr>
        <w:spacing w:after="120" w:line="284"/>
        <w:jc w:val="both"/>
      </w:pPr>
      <w:r>
        <w:rPr>
          <w:sz w:val="22"/>
          <w:szCs w:val="22"/>
        </w:rPr>
        <w:t xml:space="preserve">The checkbox is shown checked, yet the table still lists at least five near-duplicate 'KIMS Andhra Onboarding Hospital' rows with random hash IDs plus other test entries. Confirm: (a) does an is_synthetic (or similar) column actually exist and get set at tenant creation, (b) is it set on these EXISTING rows (a column added after they were created would leave old rows unflagged — backfill required), and (c) is the frontend checkbox actually wired to filter on it, or just a UI element with no effect yet. Fix whichever of the three is broken — likely more than one.</w:t>
      </w:r>
    </w:p>
    <w:p>
      <w:pPr>
        <w:pStyle w:val="Heading2"/>
        <w:spacing w:after="80" w:before="190"/>
      </w:pPr>
      <w:r>
        <w:rPr>
          <w:color w:val="2E86AB"/>
        </w:rPr>
        <w:t xml:space="preserve">B3. Two different tenant list surfaces, showing different data</w:t>
      </w:r>
    </w:p>
    <w:p>
      <w:pPr>
        <w:spacing w:after="120" w:line="284"/>
        <w:jc w:val="both"/>
      </w:pPr>
      <w:r>
        <w:rPr>
          <w:sz w:val="22"/>
          <w:szCs w:val="22"/>
        </w:rPr>
        <w:t xml:space="preserve">Billing &amp; Ops (image 1) still renders the OLD card-grid tenant view, including 'Tenant B' (t_b), while All Tenants / Dashboard render the NEW table view. These are two different components with two different tenant lists visible simultaneously — exactly the duplication risk flagged before this work started. Remove the old card-grid rendering from Billing &amp; Ops entirely; that page should reference the same shared tenant-table component used on the Dashboard and All Tenants screens, or simply link to All Tenants rather than re-rendering tenant data itself.</w:t>
      </w:r>
    </w:p>
    <w:p>
      <w:pPr>
        <w:spacing w:after="150"/>
      </w:pPr>
    </w:p>
    <w:p>
      <w:pPr>
        <w:pStyle w:val="Heading1"/>
        <w:spacing w:after="120" w:before="280"/>
      </w:pPr>
      <w:r>
        <w:rPr>
          <w:color w:val="1F4E5F"/>
        </w:rPr>
        <w:t xml:space="preserve">Part 2 — Corporate Visual Direction (after Part 1 is clean)</w:t>
      </w:r>
    </w:p>
    <w:p>
      <w:pPr>
        <w:spacing w:after="120" w:line="284"/>
        <w:jc w:val="both"/>
      </w:pPr>
      <w:r>
        <w:rPr>
          <w:sz w:val="22"/>
          <w:szCs w:val="22"/>
        </w:rPr>
        <w:t xml:space="preserve">Once the data is trustworthy and there's one tenant view instead of two, apply the parked Theme C (“Trusted Enterprise Clinical”) from the earlier theme-switch work — SCOPED TO THE OPERATOR CONSOLE ONLY. Clinic staff and patient portal screens keep the current warm MediGo language; the client has not objected to those.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860"/>
      </w:tblGrid>
      <w:tr>
        <w:trPr>
          <w:tblHeader/>
        </w:trPr>
        <w:tc>
          <w:tcPr>
            <w:tcW w:type="dxa" w:w="1700"/>
            <w:shd w:fill="1F4E5F" w:val="clear"/>
            <w:tcMar>
              <w:top w:type="dxa" w:w="55"/>
              <w:left w:type="dxa" w:w="90"/>
              <w:bottom w:type="dxa" w:w="55"/>
              <w:right w:type="dxa" w:w="90"/>
            </w:tcMar>
          </w:tcPr>
          <w:p>
            <w:r>
              <w:rPr>
                <w:b/>
                <w:bCs/>
                <w:color w:val="FFFFFF"/>
                <w:sz w:val="17"/>
                <w:szCs w:val="17"/>
              </w:rPr>
              <w:t xml:space="preserve">Element</w:t>
            </w:r>
          </w:p>
        </w:tc>
        <w:tc>
          <w:tcPr>
            <w:tcW w:type="dxa" w:w="3600"/>
            <w:shd w:fill="1F4E5F" w:val="clear"/>
            <w:tcMar>
              <w:top w:type="dxa" w:w="55"/>
              <w:left w:type="dxa" w:w="90"/>
              <w:bottom w:type="dxa" w:w="55"/>
              <w:right w:type="dxa" w:w="90"/>
            </w:tcMar>
          </w:tcPr>
          <w:p>
            <w:r>
              <w:rPr>
                <w:b/>
                <w:bCs/>
                <w:color w:val="FFFFFF"/>
                <w:sz w:val="17"/>
                <w:szCs w:val="17"/>
              </w:rPr>
              <w:t xml:space="preserve">Current</w:t>
            </w:r>
          </w:p>
        </w:tc>
        <w:tc>
          <w:tcPr>
            <w:tcW w:type="dxa" w:w="3860"/>
            <w:shd w:fill="1F4E5F" w:val="clear"/>
            <w:tcMar>
              <w:top w:type="dxa" w:w="55"/>
              <w:left w:type="dxa" w:w="90"/>
              <w:bottom w:type="dxa" w:w="55"/>
              <w:right w:type="dxa" w:w="90"/>
            </w:tcMar>
          </w:tcPr>
          <w:p>
            <w:r>
              <w:rPr>
                <w:b/>
                <w:bCs/>
                <w:color w:val="FFFFFF"/>
                <w:sz w:val="17"/>
                <w:szCs w:val="17"/>
              </w:rPr>
              <w:t xml:space="preserve">Corporate direction (Theme C)</w:t>
            </w:r>
          </w:p>
        </w:tc>
      </w:tr>
      <w:tr>
        <w:tc>
          <w:tcPr>
            <w:tcW w:type="dxa" w:w="1700"/>
            <w:tcMar>
              <w:top w:type="dxa" w:w="55"/>
              <w:left w:type="dxa" w:w="90"/>
              <w:bottom w:type="dxa" w:w="55"/>
              <w:right w:type="dxa" w:w="90"/>
            </w:tcMar>
          </w:tcPr>
          <w:p>
            <w:r>
              <w:rPr>
                <w:b w:val="false"/>
                <w:bCs w:val="false"/>
                <w:sz w:val="17"/>
                <w:szCs w:val="17"/>
              </w:rPr>
              <w:t xml:space="preserve">Primary color</w:t>
            </w:r>
          </w:p>
        </w:tc>
        <w:tc>
          <w:tcPr>
            <w:tcW w:type="dxa" w:w="3600"/>
            <w:tcMar>
              <w:top w:type="dxa" w:w="55"/>
              <w:left w:type="dxa" w:w="90"/>
              <w:bottom w:type="dxa" w:w="55"/>
              <w:right w:type="dxa" w:w="90"/>
            </w:tcMar>
          </w:tcPr>
          <w:p>
            <w:r>
              <w:rPr>
                <w:b w:val="false"/>
                <w:bCs w:val="false"/>
                <w:sz w:val="17"/>
                <w:szCs w:val="17"/>
              </w:rPr>
              <w:t xml:space="preserve">Deep indigo #131A8F, used heavily (buttons, badges, sidebar)</w:t>
            </w:r>
          </w:p>
        </w:tc>
        <w:tc>
          <w:tcPr>
            <w:tcW w:type="dxa" w:w="3860"/>
            <w:tcMar>
              <w:top w:type="dxa" w:w="55"/>
              <w:left w:type="dxa" w:w="90"/>
              <w:bottom w:type="dxa" w:w="55"/>
              <w:right w:type="dxa" w:w="90"/>
            </w:tcMar>
          </w:tcPr>
          <w:p>
            <w:r>
              <w:rPr>
                <w:b w:val="false"/>
                <w:bCs w:val="false"/>
                <w:sz w:val="17"/>
                <w:szCs w:val="17"/>
              </w:rPr>
              <w:t xml:space="preserve">Navy/slate #1E3A5F — more restrained, used for structure not decoration</w:t>
            </w:r>
          </w:p>
        </w:tc>
      </w:tr>
      <w:tr>
        <w:tc>
          <w:tcPr>
            <w:tcW w:type="dxa" w:w="1700"/>
            <w:shd w:fill="EAF2F6" w:val="clear"/>
            <w:tcMar>
              <w:top w:type="dxa" w:w="55"/>
              <w:left w:type="dxa" w:w="90"/>
              <w:bottom w:type="dxa" w:w="55"/>
              <w:right w:type="dxa" w:w="90"/>
            </w:tcMar>
          </w:tcPr>
          <w:p>
            <w:r>
              <w:rPr>
                <w:b w:val="false"/>
                <w:bCs w:val="false"/>
                <w:sz w:val="17"/>
                <w:szCs w:val="17"/>
              </w:rPr>
              <w:t xml:space="preserve">Shape</w:t>
            </w:r>
          </w:p>
        </w:tc>
        <w:tc>
          <w:tcPr>
            <w:tcW w:type="dxa" w:w="3600"/>
            <w:shd w:fill="EAF2F6" w:val="clear"/>
            <w:tcMar>
              <w:top w:type="dxa" w:w="55"/>
              <w:left w:type="dxa" w:w="90"/>
              <w:bottom w:type="dxa" w:w="55"/>
              <w:right w:type="dxa" w:w="90"/>
            </w:tcMar>
          </w:tcPr>
          <w:p>
            <w:r>
              <w:rPr>
                <w:b w:val="false"/>
                <w:bCs w:val="false"/>
                <w:sz w:val="17"/>
                <w:szCs w:val="17"/>
              </w:rPr>
              <w:t xml:space="preserve">Full pill buttons and badges (999px radius)</w:t>
            </w:r>
          </w:p>
        </w:tc>
        <w:tc>
          <w:tcPr>
            <w:tcW w:type="dxa" w:w="3860"/>
            <w:shd w:fill="EAF2F6" w:val="clear"/>
            <w:tcMar>
              <w:top w:type="dxa" w:w="55"/>
              <w:left w:type="dxa" w:w="90"/>
              <w:bottom w:type="dxa" w:w="55"/>
              <w:right w:type="dxa" w:w="90"/>
            </w:tcMar>
          </w:tcPr>
          <w:p>
            <w:r>
              <w:rPr>
                <w:b w:val="false"/>
                <w:bCs w:val="false"/>
                <w:sz w:val="17"/>
                <w:szCs w:val="17"/>
              </w:rPr>
              <w:t xml:space="preserve">Sharp/rounded-rect, 6–8px radius — already defined in tokens.css under [data-theme="trusted-clinical"]</w:t>
            </w:r>
          </w:p>
        </w:tc>
      </w:tr>
      <w:tr>
        <w:tc>
          <w:tcPr>
            <w:tcW w:type="dxa" w:w="1700"/>
            <w:tcMar>
              <w:top w:type="dxa" w:w="55"/>
              <w:left w:type="dxa" w:w="90"/>
              <w:bottom w:type="dxa" w:w="55"/>
              <w:right w:type="dxa" w:w="90"/>
            </w:tcMar>
          </w:tcPr>
          <w:p>
            <w:r>
              <w:rPr>
                <w:b w:val="false"/>
                <w:bCs w:val="false"/>
                <w:sz w:val="17"/>
                <w:szCs w:val="17"/>
              </w:rPr>
              <w:t xml:space="preserve">Typography</w:t>
            </w:r>
          </w:p>
        </w:tc>
        <w:tc>
          <w:tcPr>
            <w:tcW w:type="dxa" w:w="3600"/>
            <w:tcMar>
              <w:top w:type="dxa" w:w="55"/>
              <w:left w:type="dxa" w:w="90"/>
              <w:bottom w:type="dxa" w:w="55"/>
              <w:right w:type="dxa" w:w="90"/>
            </w:tcMar>
          </w:tcPr>
          <w:p>
            <w:r>
              <w:rPr>
                <w:b w:val="false"/>
                <w:bCs w:val="false"/>
                <w:sz w:val="17"/>
                <w:szCs w:val="17"/>
              </w:rPr>
              <w:t xml:space="preserve">Baloo 2 display font (rounded, friendly)</w:t>
            </w:r>
          </w:p>
        </w:tc>
        <w:tc>
          <w:tcPr>
            <w:tcW w:type="dxa" w:w="3860"/>
            <w:tcMar>
              <w:top w:type="dxa" w:w="55"/>
              <w:left w:type="dxa" w:w="90"/>
              <w:bottom w:type="dxa" w:w="55"/>
              <w:right w:type="dxa" w:w="90"/>
            </w:tcMar>
          </w:tcPr>
          <w:p>
            <w:r>
              <w:rPr>
                <w:b w:val="false"/>
                <w:bCs w:val="false"/>
                <w:sz w:val="17"/>
                <w:szCs w:val="17"/>
              </w:rPr>
              <w:t xml:space="preserve">Inter throughout — neutral, dense-information friendly</w:t>
            </w:r>
          </w:p>
        </w:tc>
      </w:tr>
      <w:tr>
        <w:tc>
          <w:tcPr>
            <w:tcW w:type="dxa" w:w="1700"/>
            <w:shd w:fill="EAF2F6" w:val="clear"/>
            <w:tcMar>
              <w:top w:type="dxa" w:w="55"/>
              <w:left w:type="dxa" w:w="90"/>
              <w:bottom w:type="dxa" w:w="55"/>
              <w:right w:type="dxa" w:w="90"/>
            </w:tcMar>
          </w:tcPr>
          <w:p>
            <w:r>
              <w:rPr>
                <w:b w:val="false"/>
                <w:bCs w:val="false"/>
                <w:sz w:val="17"/>
                <w:szCs w:val="17"/>
              </w:rPr>
              <w:t xml:space="preserve">Background</w:t>
            </w:r>
          </w:p>
        </w:tc>
        <w:tc>
          <w:tcPr>
            <w:tcW w:type="dxa" w:w="3600"/>
            <w:shd w:fill="EAF2F6" w:val="clear"/>
            <w:tcMar>
              <w:top w:type="dxa" w:w="55"/>
              <w:left w:type="dxa" w:w="90"/>
              <w:bottom w:type="dxa" w:w="55"/>
              <w:right w:type="dxa" w:w="90"/>
            </w:tcMar>
          </w:tcPr>
          <w:p>
            <w:r>
              <w:rPr>
                <w:b w:val="false"/>
                <w:bCs w:val="false"/>
                <w:sz w:val="17"/>
                <w:szCs w:val="17"/>
              </w:rPr>
              <w:t xml:space="preserve">Sky-wash gradient</w:t>
            </w:r>
          </w:p>
        </w:tc>
        <w:tc>
          <w:tcPr>
            <w:tcW w:type="dxa" w:w="3860"/>
            <w:shd w:fill="EAF2F6" w:val="clear"/>
            <w:tcMar>
              <w:top w:type="dxa" w:w="55"/>
              <w:left w:type="dxa" w:w="90"/>
              <w:bottom w:type="dxa" w:w="55"/>
              <w:right w:type="dxa" w:w="90"/>
            </w:tcMar>
          </w:tcPr>
          <w:p>
            <w:r>
              <w:rPr>
                <w:b w:val="false"/>
                <w:bCs w:val="false"/>
                <w:sz w:val="17"/>
                <w:szCs w:val="17"/>
              </w:rPr>
              <w:t xml:space="preserve">Near-white / light gray — less decorative, more document-like</w:t>
            </w:r>
          </w:p>
        </w:tc>
      </w:tr>
      <w:tr>
        <w:tc>
          <w:tcPr>
            <w:tcW w:type="dxa" w:w="1700"/>
            <w:tcMar>
              <w:top w:type="dxa" w:w="55"/>
              <w:left w:type="dxa" w:w="90"/>
              <w:bottom w:type="dxa" w:w="55"/>
              <w:right w:type="dxa" w:w="90"/>
            </w:tcMar>
          </w:tcPr>
          <w:p>
            <w:r>
              <w:rPr>
                <w:b w:val="false"/>
                <w:bCs w:val="false"/>
                <w:sz w:val="17"/>
                <w:szCs w:val="17"/>
              </w:rPr>
              <w:t xml:space="preserve">Chart &amp; funnel bars</w:t>
            </w:r>
          </w:p>
        </w:tc>
        <w:tc>
          <w:tcPr>
            <w:tcW w:type="dxa" w:w="3600"/>
            <w:tcMar>
              <w:top w:type="dxa" w:w="55"/>
              <w:left w:type="dxa" w:w="90"/>
              <w:bottom w:type="dxa" w:w="55"/>
              <w:right w:type="dxa" w:w="90"/>
            </w:tcMar>
          </w:tcPr>
          <w:p>
            <w:r>
              <w:rPr>
                <w:b w:val="false"/>
                <w:bCs w:val="false"/>
                <w:sz w:val="17"/>
                <w:szCs w:val="17"/>
              </w:rPr>
              <w:t xml:space="preserve">Inconsistent fill (only last bar solid), unclear proportionality</w:t>
            </w:r>
          </w:p>
        </w:tc>
        <w:tc>
          <w:tcPr>
            <w:tcW w:type="dxa" w:w="3860"/>
            <w:tcMar>
              <w:top w:type="dxa" w:w="55"/>
              <w:left w:type="dxa" w:w="90"/>
              <w:bottom w:type="dxa" w:w="55"/>
              <w:right w:type="dxa" w:w="90"/>
            </w:tcMar>
          </w:tcPr>
          <w:p>
            <w:r>
              <w:rPr>
                <w:b w:val="false"/>
                <w:bCs w:val="false"/>
                <w:sz w:val="17"/>
                <w:szCs w:val="17"/>
              </w:rPr>
              <w:t xml:space="preserve">Consistent fill treatment; funnel/bar widths must be mathematically proportional to the value shown, not decorative</w:t>
            </w:r>
          </w:p>
        </w:tc>
      </w:tr>
      <w:tr>
        <w:tc>
          <w:tcPr>
            <w:tcW w:type="dxa" w:w="1700"/>
            <w:shd w:fill="EAF2F6" w:val="clear"/>
            <w:tcMar>
              <w:top w:type="dxa" w:w="55"/>
              <w:left w:type="dxa" w:w="90"/>
              <w:bottom w:type="dxa" w:w="55"/>
              <w:right w:type="dxa" w:w="90"/>
            </w:tcMar>
          </w:tcPr>
          <w:p>
            <w:r>
              <w:rPr>
                <w:b w:val="false"/>
                <w:bCs w:val="false"/>
                <w:sz w:val="17"/>
                <w:szCs w:val="17"/>
              </w:rPr>
              <w:t xml:space="preserve">Floating unexplained elements</w:t>
            </w:r>
          </w:p>
        </w:tc>
        <w:tc>
          <w:tcPr>
            <w:tcW w:type="dxa" w:w="3600"/>
            <w:shd w:fill="EAF2F6" w:val="clear"/>
            <w:tcMar>
              <w:top w:type="dxa" w:w="55"/>
              <w:left w:type="dxa" w:w="90"/>
              <w:bottom w:type="dxa" w:w="55"/>
              <w:right w:type="dxa" w:w="90"/>
            </w:tcMar>
          </w:tcPr>
          <w:p>
            <w:r>
              <w:rPr>
                <w:b w:val="false"/>
                <w:bCs w:val="false"/>
                <w:sz w:val="17"/>
                <w:szCs w:val="17"/>
              </w:rPr>
              <w:t xml:space="preserve">'Andhra Pradesh Region' pill, 'SaaS Operations' subtitle with no clear function</w:t>
            </w:r>
          </w:p>
        </w:tc>
        <w:tc>
          <w:tcPr>
            <w:tcW w:type="dxa" w:w="3860"/>
            <w:shd w:fill="EAF2F6" w:val="clear"/>
            <w:tcMar>
              <w:top w:type="dxa" w:w="55"/>
              <w:left w:type="dxa" w:w="90"/>
              <w:bottom w:type="dxa" w:w="55"/>
              <w:right w:type="dxa" w:w="90"/>
            </w:tcMar>
          </w:tcPr>
          <w:p>
            <w:r>
              <w:rPr>
                <w:b w:val="false"/>
                <w:bCs w:val="false"/>
                <w:sz w:val="17"/>
                <w:szCs w:val="17"/>
              </w:rPr>
              <w:t xml:space="preserve">Remove or give every element an explicit purpose — a filter, a link, or a real label; nothing decorative-only</w:t>
            </w:r>
          </w:p>
        </w:tc>
      </w:tr>
    </w:tbl>
    <w:p>
      <w:pPr>
        <w:spacing w:after="150"/>
      </w:pPr>
    </w:p>
    <w:p>
      <w:pPr>
        <w:spacing w:after="120" w:line="284"/>
        <w:jc w:val="both"/>
      </w:pPr>
      <w:r>
        <w:rPr>
          <w:sz w:val="22"/>
          <w:szCs w:val="22"/>
        </w:rPr>
        <w:t xml:space="preserve">The tokens for Theme C already exist in tokens.css from the earlier parked work — this is largely a matter of applying [data-theme="trusted-clinical"] to the Operator Console's root element specifically (not the whole app), rather than building new styles from scratch.</w:t>
      </w:r>
    </w:p>
    <w:p>
      <w:pPr>
        <w:spacing w:after="150"/>
      </w:pPr>
    </w:p>
    <w:p>
      <w:pPr>
        <w:pStyle w:val="Heading1"/>
        <w:spacing w:after="120" w:before="280"/>
      </w:pPr>
      <w:r>
        <w:rPr>
          <w:color w:val="1F4E5F"/>
        </w:rPr>
        <w:t xml:space="preserve">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1F4E5F" w:val="clear"/>
            <w:tcMar>
              <w:top w:type="dxa" w:w="55"/>
              <w:left w:type="dxa" w:w="90"/>
              <w:bottom w:type="dxa" w:w="55"/>
              <w:right w:type="dxa" w:w="90"/>
            </w:tcMar>
          </w:tcPr>
          <w:p>
            <w:r>
              <w:rPr>
                <w:b/>
                <w:bCs/>
                <w:color w:val="FFFFFF"/>
                <w:sz w:val="17"/>
                <w:szCs w:val="17"/>
              </w:rPr>
              <w:t xml:space="preserve">Order</w:t>
            </w:r>
          </w:p>
        </w:tc>
        <w:tc>
          <w:tcPr>
            <w:tcW w:type="dxa" w:w="8460"/>
            <w:shd w:fill="1F4E5F" w:val="clear"/>
            <w:tcMar>
              <w:top w:type="dxa" w:w="55"/>
              <w:left w:type="dxa" w:w="90"/>
              <w:bottom w:type="dxa" w:w="55"/>
              <w:right w:type="dxa" w:w="90"/>
            </w:tcMar>
          </w:tcPr>
          <w:p>
            <w:r>
              <w:rPr>
                <w:b/>
                <w:bCs/>
                <w:color w:val="FFFFFF"/>
                <w:sz w:val="17"/>
                <w:szCs w:val="17"/>
              </w:rPr>
              <w:t xml:space="preserve">Task</w:t>
            </w:r>
          </w:p>
        </w:tc>
      </w:tr>
      <w:tr>
        <w:tc>
          <w:tcPr>
            <w:tcW w:type="dxa" w:w="900"/>
            <w:tcMar>
              <w:top w:type="dxa" w:w="55"/>
              <w:left w:type="dxa" w:w="90"/>
              <w:bottom w:type="dxa" w:w="55"/>
              <w:right w:type="dxa" w:w="90"/>
            </w:tcMar>
          </w:tcPr>
          <w:p>
            <w:r>
              <w:rPr>
                <w:b w:val="false"/>
                <w:bCs w:val="false"/>
                <w:sz w:val="17"/>
                <w:szCs w:val="17"/>
              </w:rPr>
              <w:t xml:space="preserve">1</w:t>
            </w:r>
          </w:p>
        </w:tc>
        <w:tc>
          <w:tcPr>
            <w:tcW w:type="dxa" w:w="8460"/>
            <w:tcMar>
              <w:top w:type="dxa" w:w="55"/>
              <w:left w:type="dxa" w:w="90"/>
              <w:bottom w:type="dxa" w:w="55"/>
              <w:right w:type="dxa" w:w="90"/>
            </w:tcMar>
          </w:tcPr>
          <w:p>
            <w:r>
              <w:rPr>
                <w:b w:val="false"/>
                <w:bCs w:val="false"/>
                <w:sz w:val="17"/>
                <w:szCs w:val="17"/>
              </w:rPr>
              <w:t xml:space="preserve">B1 — trace and fix the KPI/table data mismatch. This is the highest priority; nothing else matters if this isn't trustworthy.</w:t>
            </w:r>
          </w:p>
        </w:tc>
      </w:tr>
      <w:tr>
        <w:tc>
          <w:tcPr>
            <w:tcW w:type="dxa" w:w="900"/>
            <w:shd w:fill="EAF2F6" w:val="clear"/>
            <w:tcMar>
              <w:top w:type="dxa" w:w="55"/>
              <w:left w:type="dxa" w:w="90"/>
              <w:bottom w:type="dxa" w:w="55"/>
              <w:right w:type="dxa" w:w="90"/>
            </w:tcMar>
          </w:tcPr>
          <w:p>
            <w:r>
              <w:rPr>
                <w:b w:val="false"/>
                <w:bCs w:val="false"/>
                <w:sz w:val="17"/>
                <w:szCs w:val="17"/>
              </w:rPr>
              <w:t xml:space="preserve">2</w:t>
            </w:r>
          </w:p>
        </w:tc>
        <w:tc>
          <w:tcPr>
            <w:tcW w:type="dxa" w:w="8460"/>
            <w:shd w:fill="EAF2F6" w:val="clear"/>
            <w:tcMar>
              <w:top w:type="dxa" w:w="55"/>
              <w:left w:type="dxa" w:w="90"/>
              <w:bottom w:type="dxa" w:w="55"/>
              <w:right w:type="dxa" w:w="90"/>
            </w:tcMar>
          </w:tcPr>
          <w:p>
            <w:r>
              <w:rPr>
                <w:b w:val="false"/>
                <w:bCs w:val="false"/>
                <w:sz w:val="17"/>
                <w:szCs w:val="17"/>
              </w:rPr>
              <w:t xml:space="preserve">B2 — fix the synthetic-tenant filter (flag existence, backfill, and actual query wiring).</w:t>
            </w:r>
          </w:p>
        </w:tc>
      </w:tr>
      <w:tr>
        <w:tc>
          <w:tcPr>
            <w:tcW w:type="dxa" w:w="900"/>
            <w:tcMar>
              <w:top w:type="dxa" w:w="55"/>
              <w:left w:type="dxa" w:w="90"/>
              <w:bottom w:type="dxa" w:w="55"/>
              <w:right w:type="dxa" w:w="90"/>
            </w:tcMar>
          </w:tcPr>
          <w:p>
            <w:r>
              <w:rPr>
                <w:b w:val="false"/>
                <w:bCs w:val="false"/>
                <w:sz w:val="17"/>
                <w:szCs w:val="17"/>
              </w:rPr>
              <w:t xml:space="preserve">3</w:t>
            </w:r>
          </w:p>
        </w:tc>
        <w:tc>
          <w:tcPr>
            <w:tcW w:type="dxa" w:w="8460"/>
            <w:tcMar>
              <w:top w:type="dxa" w:w="55"/>
              <w:left w:type="dxa" w:w="90"/>
              <w:bottom w:type="dxa" w:w="55"/>
              <w:right w:type="dxa" w:w="90"/>
            </w:tcMar>
          </w:tcPr>
          <w:p>
            <w:r>
              <w:rPr>
                <w:b w:val="false"/>
                <w:bCs w:val="false"/>
                <w:sz w:val="17"/>
                <w:szCs w:val="17"/>
              </w:rPr>
              <w:t xml:space="preserve">B3 — remove the duplicate card-grid view from Billing &amp; Ops; one shared tenant table everywhere.</w:t>
            </w:r>
          </w:p>
        </w:tc>
      </w:tr>
      <w:tr>
        <w:tc>
          <w:tcPr>
            <w:tcW w:type="dxa" w:w="900"/>
            <w:shd w:fill="EAF2F6" w:val="clear"/>
            <w:tcMar>
              <w:top w:type="dxa" w:w="55"/>
              <w:left w:type="dxa" w:w="90"/>
              <w:bottom w:type="dxa" w:w="55"/>
              <w:right w:type="dxa" w:w="90"/>
            </w:tcMar>
          </w:tcPr>
          <w:p>
            <w:r>
              <w:rPr>
                <w:b w:val="false"/>
                <w:bCs w:val="false"/>
                <w:sz w:val="17"/>
                <w:szCs w:val="17"/>
              </w:rPr>
              <w:t xml:space="preserve">4</w:t>
            </w:r>
          </w:p>
        </w:tc>
        <w:tc>
          <w:tcPr>
            <w:tcW w:type="dxa" w:w="8460"/>
            <w:shd w:fill="EAF2F6" w:val="clear"/>
            <w:tcMar>
              <w:top w:type="dxa" w:w="55"/>
              <w:left w:type="dxa" w:w="90"/>
              <w:bottom w:type="dxa" w:w="55"/>
              <w:right w:type="dxa" w:w="90"/>
            </w:tcMar>
          </w:tcPr>
          <w:p>
            <w:r>
              <w:rPr>
                <w:b w:val="false"/>
                <w:bCs w:val="false"/>
                <w:sz w:val="17"/>
                <w:szCs w:val="17"/>
              </w:rPr>
              <w:t xml:space="preserve">Re-verify: with B1–B3 fixed, screenshot the console again — confirm the numbers agree, the filter works, and there is exactly one tenant list surface.</w:t>
            </w:r>
          </w:p>
        </w:tc>
      </w:tr>
      <w:tr>
        <w:tc>
          <w:tcPr>
            <w:tcW w:type="dxa" w:w="900"/>
            <w:tcMar>
              <w:top w:type="dxa" w:w="55"/>
              <w:left w:type="dxa" w:w="90"/>
              <w:bottom w:type="dxa" w:w="55"/>
              <w:right w:type="dxa" w:w="90"/>
            </w:tcMar>
          </w:tcPr>
          <w:p>
            <w:r>
              <w:rPr>
                <w:b w:val="false"/>
                <w:bCs w:val="false"/>
                <w:sz w:val="17"/>
                <w:szCs w:val="17"/>
              </w:rPr>
              <w:t xml:space="preserve">5</w:t>
            </w:r>
          </w:p>
        </w:tc>
        <w:tc>
          <w:tcPr>
            <w:tcW w:type="dxa" w:w="8460"/>
            <w:tcMar>
              <w:top w:type="dxa" w:w="55"/>
              <w:left w:type="dxa" w:w="90"/>
              <w:bottom w:type="dxa" w:w="55"/>
              <w:right w:type="dxa" w:w="90"/>
            </w:tcMar>
          </w:tcPr>
          <w:p>
            <w:r>
              <w:rPr>
                <w:b w:val="false"/>
                <w:bCs w:val="false"/>
                <w:sz w:val="17"/>
                <w:szCs w:val="17"/>
              </w:rPr>
              <w:t xml:space="preserve">Apply Theme C to the Operator Console root only; fix the chart/funnel proportionality and remove unexplained floating elements.</w:t>
            </w:r>
          </w:p>
        </w:tc>
      </w:tr>
      <w:tr>
        <w:tc>
          <w:tcPr>
            <w:tcW w:type="dxa" w:w="900"/>
            <w:shd w:fill="EAF2F6" w:val="clear"/>
            <w:tcMar>
              <w:top w:type="dxa" w:w="55"/>
              <w:left w:type="dxa" w:w="90"/>
              <w:bottom w:type="dxa" w:w="55"/>
              <w:right w:type="dxa" w:w="90"/>
            </w:tcMar>
          </w:tcPr>
          <w:p>
            <w:r>
              <w:rPr>
                <w:b w:val="false"/>
                <w:bCs w:val="false"/>
                <w:sz w:val="17"/>
                <w:szCs w:val="17"/>
              </w:rPr>
              <w:t xml:space="preserve">6</w:t>
            </w:r>
          </w:p>
        </w:tc>
        <w:tc>
          <w:tcPr>
            <w:tcW w:type="dxa" w:w="8460"/>
            <w:shd w:fill="EAF2F6" w:val="clear"/>
            <w:tcMar>
              <w:top w:type="dxa" w:w="55"/>
              <w:left w:type="dxa" w:w="90"/>
              <w:bottom w:type="dxa" w:w="55"/>
              <w:right w:type="dxa" w:w="90"/>
            </w:tcMar>
          </w:tcPr>
          <w:p>
            <w:r>
              <w:rPr>
                <w:b w:val="false"/>
                <w:bCs w:val="false"/>
                <w:sz w:val="17"/>
                <w:szCs w:val="17"/>
              </w:rPr>
              <w:t xml:space="preserve">Final screenshot round for client review.</w:t>
            </w:r>
          </w:p>
        </w:tc>
      </w:tr>
    </w:tbl>
    <w:p>
      <w:pPr>
        <w:spacing w:after="150"/>
      </w:pPr>
    </w:p>
    <w:p>
      <w:pPr>
        <w:pStyle w:val="Heading1"/>
        <w:spacing w:after="120" w:before="280"/>
      </w:pPr>
      <w:r>
        <w:rPr>
          <w:color w:val="1F4E5F"/>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shd w:fill="1F4E5F" w:val="clear"/>
            <w:tcMar>
              <w:top w:type="dxa" w:w="55"/>
              <w:left w:type="dxa" w:w="90"/>
              <w:bottom w:type="dxa" w:w="55"/>
              <w:right w:type="dxa" w:w="90"/>
            </w:tcMar>
          </w:tcPr>
          <w:p>
            <w:r>
              <w:rPr>
                <w:b/>
                <w:bCs/>
                <w:color w:val="FFFFFF"/>
                <w:sz w:val="17"/>
                <w:szCs w:val="17"/>
              </w:rPr>
              <w:t xml:space="preserve">#</w:t>
            </w:r>
          </w:p>
        </w:tc>
        <w:tc>
          <w:tcPr>
            <w:tcW w:type="dxa" w:w="8860"/>
            <w:shd w:fill="1F4E5F" w:val="clear"/>
            <w:tcMar>
              <w:top w:type="dxa" w:w="55"/>
              <w:left w:type="dxa" w:w="90"/>
              <w:bottom w:type="dxa" w:w="55"/>
              <w:right w:type="dxa" w:w="90"/>
            </w:tcMar>
          </w:tcPr>
          <w:p>
            <w:r>
              <w:rPr>
                <w:b/>
                <w:bCs/>
                <w:color w:val="FFFFFF"/>
                <w:sz w:val="17"/>
                <w:szCs w:val="17"/>
              </w:rPr>
              <w:t xml:space="preserve">Check</w:t>
            </w:r>
          </w:p>
        </w:tc>
      </w:tr>
      <w:tr>
        <w:tc>
          <w:tcPr>
            <w:tcW w:type="dxa" w:w="500"/>
            <w:tcMar>
              <w:top w:type="dxa" w:w="55"/>
              <w:left w:type="dxa" w:w="90"/>
              <w:bottom w:type="dxa" w:w="55"/>
              <w:right w:type="dxa" w:w="90"/>
            </w:tcMar>
          </w:tcPr>
          <w:p>
            <w:r>
              <w:rPr>
                <w:b w:val="false"/>
                <w:bCs w:val="false"/>
                <w:sz w:val="17"/>
                <w:szCs w:val="17"/>
              </w:rPr>
              <w:t xml:space="preserve">1</w:t>
            </w:r>
          </w:p>
        </w:tc>
        <w:tc>
          <w:tcPr>
            <w:tcW w:type="dxa" w:w="8860"/>
            <w:tcMar>
              <w:top w:type="dxa" w:w="55"/>
              <w:left w:type="dxa" w:w="90"/>
              <w:bottom w:type="dxa" w:w="55"/>
              <w:right w:type="dxa" w:w="90"/>
            </w:tcMar>
          </w:tcPr>
          <w:p>
            <w:r>
              <w:rPr>
                <w:b w:val="false"/>
                <w:bCs w:val="false"/>
                <w:sz w:val="17"/>
                <w:szCs w:val="17"/>
              </w:rPr>
              <w:t xml:space="preserve">Dashboard KPI numbers and the tenant table numbers come from the same query/source and agree with each other.</w:t>
            </w:r>
          </w:p>
        </w:tc>
      </w:tr>
      <w:tr>
        <w:tc>
          <w:tcPr>
            <w:tcW w:type="dxa" w:w="500"/>
            <w:shd w:fill="EAF2F6" w:val="clear"/>
            <w:tcMar>
              <w:top w:type="dxa" w:w="55"/>
              <w:left w:type="dxa" w:w="90"/>
              <w:bottom w:type="dxa" w:w="55"/>
              <w:right w:type="dxa" w:w="90"/>
            </w:tcMar>
          </w:tcPr>
          <w:p>
            <w:r>
              <w:rPr>
                <w:b w:val="false"/>
                <w:bCs w:val="false"/>
                <w:sz w:val="17"/>
                <w:szCs w:val="17"/>
              </w:rPr>
              <w:t xml:space="preserve">2</w:t>
            </w:r>
          </w:p>
        </w:tc>
        <w:tc>
          <w:tcPr>
            <w:tcW w:type="dxa" w:w="8860"/>
            <w:shd w:fill="EAF2F6" w:val="clear"/>
            <w:tcMar>
              <w:top w:type="dxa" w:w="55"/>
              <w:left w:type="dxa" w:w="90"/>
              <w:bottom w:type="dxa" w:w="55"/>
              <w:right w:type="dxa" w:w="90"/>
            </w:tcMar>
          </w:tcPr>
          <w:p>
            <w:r>
              <w:rPr>
                <w:b w:val="false"/>
                <w:bCs w:val="false"/>
                <w:sz w:val="17"/>
                <w:szCs w:val="17"/>
              </w:rPr>
              <w:t xml:space="preserve">Checking 'Hide Synthetic / Test Debris' actually removes the known test tenants from view, verified visually.</w:t>
            </w:r>
          </w:p>
        </w:tc>
      </w:tr>
      <w:tr>
        <w:tc>
          <w:tcPr>
            <w:tcW w:type="dxa" w:w="500"/>
            <w:tcMar>
              <w:top w:type="dxa" w:w="55"/>
              <w:left w:type="dxa" w:w="90"/>
              <w:bottom w:type="dxa" w:w="55"/>
              <w:right w:type="dxa" w:w="90"/>
            </w:tcMar>
          </w:tcPr>
          <w:p>
            <w:r>
              <w:rPr>
                <w:b w:val="false"/>
                <w:bCs w:val="false"/>
                <w:sz w:val="17"/>
                <w:szCs w:val="17"/>
              </w:rPr>
              <w:t xml:space="preserve">3</w:t>
            </w:r>
          </w:p>
        </w:tc>
        <w:tc>
          <w:tcPr>
            <w:tcW w:type="dxa" w:w="8860"/>
            <w:tcMar>
              <w:top w:type="dxa" w:w="55"/>
              <w:left w:type="dxa" w:w="90"/>
              <w:bottom w:type="dxa" w:w="55"/>
              <w:right w:type="dxa" w:w="90"/>
            </w:tcMar>
          </w:tcPr>
          <w:p>
            <w:r>
              <w:rPr>
                <w:b w:val="false"/>
                <w:bCs w:val="false"/>
                <w:sz w:val="17"/>
                <w:szCs w:val="17"/>
              </w:rPr>
              <w:t xml:space="preserve">Only one tenant-list component exists and is used everywhere tenants are listed (Dashboard, All Tenants, Billing &amp; Ops).</w:t>
            </w:r>
          </w:p>
        </w:tc>
      </w:tr>
      <w:tr>
        <w:tc>
          <w:tcPr>
            <w:tcW w:type="dxa" w:w="500"/>
            <w:shd w:fill="EAF2F6" w:val="clear"/>
            <w:tcMar>
              <w:top w:type="dxa" w:w="55"/>
              <w:left w:type="dxa" w:w="90"/>
              <w:bottom w:type="dxa" w:w="55"/>
              <w:right w:type="dxa" w:w="90"/>
            </w:tcMar>
          </w:tcPr>
          <w:p>
            <w:r>
              <w:rPr>
                <w:b w:val="false"/>
                <w:bCs w:val="false"/>
                <w:sz w:val="17"/>
                <w:szCs w:val="17"/>
              </w:rPr>
              <w:t xml:space="preserve">4</w:t>
            </w:r>
          </w:p>
        </w:tc>
        <w:tc>
          <w:tcPr>
            <w:tcW w:type="dxa" w:w="8860"/>
            <w:shd w:fill="EAF2F6" w:val="clear"/>
            <w:tcMar>
              <w:top w:type="dxa" w:w="55"/>
              <w:left w:type="dxa" w:w="90"/>
              <w:bottom w:type="dxa" w:w="55"/>
              <w:right w:type="dxa" w:w="90"/>
            </w:tcMar>
          </w:tcPr>
          <w:p>
            <w:r>
              <w:rPr>
                <w:b w:val="false"/>
                <w:bCs w:val="false"/>
                <w:sz w:val="17"/>
                <w:szCs w:val="17"/>
              </w:rPr>
              <w:t xml:space="preserve">Operator Console uses the Trusted Enterprise (navy/sharp/Inter) direction; clinic and patient screens are unchanged.</w:t>
            </w:r>
          </w:p>
        </w:tc>
      </w:tr>
      <w:tr>
        <w:tc>
          <w:tcPr>
            <w:tcW w:type="dxa" w:w="500"/>
            <w:tcMar>
              <w:top w:type="dxa" w:w="55"/>
              <w:left w:type="dxa" w:w="90"/>
              <w:bottom w:type="dxa" w:w="55"/>
              <w:right w:type="dxa" w:w="90"/>
            </w:tcMar>
          </w:tcPr>
          <w:p>
            <w:r>
              <w:rPr>
                <w:b w:val="false"/>
                <w:bCs w:val="false"/>
                <w:sz w:val="17"/>
                <w:szCs w:val="17"/>
              </w:rPr>
              <w:t xml:space="preserve">5</w:t>
            </w:r>
          </w:p>
        </w:tc>
        <w:tc>
          <w:tcPr>
            <w:tcW w:type="dxa" w:w="8860"/>
            <w:tcMar>
              <w:top w:type="dxa" w:w="55"/>
              <w:left w:type="dxa" w:w="90"/>
              <w:bottom w:type="dxa" w:w="55"/>
              <w:right w:type="dxa" w:w="90"/>
            </w:tcMar>
          </w:tcPr>
          <w:p>
            <w:r>
              <w:rPr>
                <w:b w:val="false"/>
                <w:bCs w:val="false"/>
                <w:sz w:val="17"/>
                <w:szCs w:val="17"/>
              </w:rPr>
              <w:t xml:space="preserve">Chart and funnel bar widths are verified proportional to their underlying values, not just visually similar.</w:t>
            </w:r>
          </w:p>
        </w:tc>
      </w:tr>
      <w:tr>
        <w:tc>
          <w:tcPr>
            <w:tcW w:type="dxa" w:w="500"/>
            <w:shd w:fill="EAF2F6" w:val="clear"/>
            <w:tcMar>
              <w:top w:type="dxa" w:w="55"/>
              <w:left w:type="dxa" w:w="90"/>
              <w:bottom w:type="dxa" w:w="55"/>
              <w:right w:type="dxa" w:w="90"/>
            </w:tcMar>
          </w:tcPr>
          <w:p>
            <w:r>
              <w:rPr>
                <w:b w:val="false"/>
                <w:bCs w:val="false"/>
                <w:sz w:val="17"/>
                <w:szCs w:val="17"/>
              </w:rPr>
              <w:t xml:space="preserve">6</w:t>
            </w:r>
          </w:p>
        </w:tc>
        <w:tc>
          <w:tcPr>
            <w:tcW w:type="dxa" w:w="8860"/>
            <w:shd w:fill="EAF2F6" w:val="clear"/>
            <w:tcMar>
              <w:top w:type="dxa" w:w="55"/>
              <w:left w:type="dxa" w:w="90"/>
              <w:bottom w:type="dxa" w:w="55"/>
              <w:right w:type="dxa" w:w="90"/>
            </w:tcMar>
          </w:tcPr>
          <w:p>
            <w:r>
              <w:rPr>
                <w:b w:val="false"/>
                <w:bCs w:val="false"/>
                <w:sz w:val="17"/>
                <w:szCs w:val="17"/>
              </w:rPr>
              <w:t xml:space="preserve">Real screenshots of the fixed console attached — not the original mockup, not a description.</w:t>
            </w:r>
          </w:p>
        </w:tc>
      </w:tr>
    </w:tbl>
    <w:p>
      <w:pPr>
        <w:spacing w:after="150"/>
      </w:pPr>
    </w:p>
    <w:p>
      <w:pPr>
        <w:spacing w:after="120" w:line="284"/>
        <w:jc w:val="both"/>
      </w:pPr>
      <w:r>
        <w:rPr>
          <w:sz w:val="22"/>
          <w:szCs w:val="22"/>
        </w:rPr>
        <w:t xml:space="preserve">Report back with the same evidence standard as always: which query B1 traced to and what was actually wrong, a screenshot showing the filter working, and a screenshot confirming only one tenant view exists.</w:t>
      </w:r>
    </w:p>
    <w:sectPr>
      <w:footerReference w:type="default" r:id="rId7"/>
      <w:pgSz w:w="12240" w:h="15840" w:orient="portrait"/>
      <w:pgMar w:top="1150" w:right="940" w:bottom="115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Operator Console — Data Integrity, Duplication &amp; Corporate Direction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sz w:val="29"/>
      <w:szCs w:val="29"/>
    </w:rPr>
  </w:style>
  <w:style w:type="paragraph" w:styleId="Heading2">
    <w:name w:val="Heading 2"/>
    <w:basedOn w:val="Normal"/>
    <w:next w:val="Normal"/>
    <w:qFormat/>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2026-07-31T15:33:38.705Z</dcterms:created>
  <dcterms:modified xsi:type="dcterms:W3CDTF">2026-07-31T15:33:38.733Z</dcterms:modified>
</cp:coreProperties>
</file>

<file path=docProps/custom.xml><?xml version="1.0" encoding="utf-8"?>
<Properties xmlns="http://schemas.openxmlformats.org/officeDocument/2006/custom-properties" xmlns:vt="http://schemas.openxmlformats.org/officeDocument/2006/docPropsVTypes"/>
</file>