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
      </w:pPr>
      <w:r>
        <w:rPr>
          <w:b/>
          <w:bCs/>
          <w:color w:val="1F4E5F"/>
          <w:sz w:val="32"/>
          <w:szCs w:val="32"/>
        </w:rPr>
        <w:t xml:space="preserve">Information Architecture &amp; Role Navigation Plan</w:t>
      </w:r>
    </w:p>
    <w:p>
      <w:pPr>
        <w:spacing w:after="180"/>
      </w:pPr>
      <w:r>
        <w:rPr>
          <w:i/>
          <w:iCs/>
          <w:color w:val="555555"/>
          <w:sz w:val="22"/>
          <w:szCs w:val="22"/>
        </w:rPr>
        <w:t xml:space="preserve">What lands where, for whom — organizing ~20+ screens into one coherent product (MediGo 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BEEDC" w:val="clear"/>
            <w:tcMar>
              <w:top w:type="dxa" w:w="110"/>
              <w:left w:type="dxa" w:w="150"/>
              <w:bottom w:type="dxa" w:w="110"/>
              <w:right w:type="dxa" w:w="150"/>
            </w:tcMar>
          </w:tcPr>
          <w:p>
            <w:r>
              <w:rPr>
                <w:b/>
                <w:bCs/>
                <w:color w:val="8A4B08"/>
                <w:sz w:val="20"/>
                <w:szCs w:val="20"/>
              </w:rPr>
              <w:t xml:space="preserve">Why this document exists.  </w:t>
            </w:r>
          </w:p>
          <w:p>
            <w:pPr>
              <w:spacing w:before="40"/>
            </w:pPr>
            <w:r>
              <w:rPr>
                <w:color w:val="5A4326"/>
                <w:sz w:val="20"/>
                <w:szCs w:val="20"/>
              </w:rPr>
              <w:t xml:space="preserve">Screens were built module-by-module and sprint-by-sprint (patients, scheduling, EMR, orders, billing, referrals, portal, reports, tenant admin), which is the right way to build but the wrong way to arrive at a product a first-time user opens and understands. This document defines ONE landing experience per role and the navigation tree beneath it, so screens that already exist get organized rather than rebuilt.</w:t>
            </w:r>
          </w:p>
        </w:tc>
      </w:tr>
    </w:tbl>
    <w:p>
      <w:pPr>
        <w:spacing w:after="150"/>
      </w:pPr>
    </w:p>
    <w:p>
      <w:pPr>
        <w:pStyle w:val="Heading1"/>
        <w:spacing w:after="120" w:before="300"/>
      </w:pPr>
      <w:r>
        <w:rPr>
          <w:color w:val="1F4E5F"/>
        </w:rPr>
        <w:t xml:space="preserve">Contents</w:t>
      </w:r>
    </w:p>
    <w:sdt>
      <w:sdtPr>
        <w:alias w:val="TOC"/>
      </w:sdtPr>
      <w:sdtContent>
        <w:p>
          <w:r>
            <w:fldChar w:fldCharType="begin" w:dirty="true"/>
            <w:instrText xml:space="preserve">TOC \h \o "1-1"</w:instrText>
            <w:fldChar w:fldCharType="separate"/>
          </w:r>
        </w:p>
        <w:p>
          <w:r>
            <w:fldChar w:fldCharType="end"/>
          </w:r>
        </w:p>
      </w:sdtContent>
    </w:sdt>
    <w:p>
      <w:r>
        <w:br w:type="page"/>
      </w:r>
    </w:p>
    <w:p>
      <w:pPr>
        <w:pStyle w:val="Heading1"/>
        <w:spacing w:after="120" w:before="300"/>
      </w:pPr>
      <w:r>
        <w:rPr>
          <w:color w:val="1F4E5F"/>
        </w:rPr>
        <w:t xml:space="preserve">1. Principle: One App, Role-Shaped</w:t>
      </w:r>
    </w:p>
    <w:p>
      <w:pPr>
        <w:spacing w:after="120" w:line="284"/>
        <w:jc w:val="both"/>
      </w:pPr>
      <w:r>
        <w:rPr>
          <w:sz w:val="22"/>
          <w:szCs w:val="22"/>
        </w:rPr>
        <w:t xml:space="preserve">There is one application shell (already built: header, role-gated nav, tenant·role indicator — CLAUDE.md §3.1 UI-102). What changes per role is not the app, but which landing view appears first and which nav items are visible. Nobody should see a flat list of 20+ links; each role sees a small, purposeful set built around what they do all day, with everything else reachable but not front-and-center.</w:t>
      </w:r>
    </w:p>
    <w:p>
      <w:pPr>
        <w:spacing w:after="120" w:line="284"/>
        <w:jc w:val="both"/>
      </w:pPr>
      <w:r>
        <w:rPr>
          <w:sz w:val="22"/>
          <w:szCs w:val="22"/>
        </w:rPr>
        <w:t xml:space="preserve">Two audiences use fundamentally different shells: CLINIC STAFF (receptionist, physician, nurse, billing, admin) work inside the main app at hms.zensynq.com. PATIENTS work inside the mobile-first Portal, a distinct visual mode of the same app (POR module). OPERATORS (your team, not the hospital's) work in a separate Operator Console, per the two-console security rule already established — never reachable from a tenant login.</w:t>
      </w:r>
    </w:p>
    <w:p>
      <w:pPr>
        <w:spacing w:after="150"/>
      </w:pPr>
    </w:p>
    <w:p>
      <w:pPr>
        <w:pStyle w:val="Heading1"/>
        <w:spacing w:after="120" w:before="300"/>
      </w:pPr>
      <w:r>
        <w:rPr>
          <w:color w:val="1F4E5F"/>
        </w:rPr>
        <w:t xml:space="preserve">2. The Landing Page — Before Login</w:t>
      </w:r>
    </w:p>
    <w:p>
      <w:pPr>
        <w:spacing w:after="120" w:line="284"/>
        <w:jc w:val="both"/>
      </w:pPr>
      <w:r>
        <w:rPr>
          <w:sz w:val="22"/>
          <w:szCs w:val="22"/>
        </w:rPr>
        <w:t xml:space="preserve">A single public landing/login screen at hms.zensynq.com, MediGo-themed. It is intentionally simple: product identity, a login action, and just enough orientation that someone arriving cold (a hospital evaluating the product, or staff who forgot their bookmark) understands what they're looking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4E5F" w:val="clear"/>
            <w:tcMar>
              <w:top w:type="dxa" w:w="55"/>
              <w:left w:type="dxa" w:w="90"/>
              <w:bottom w:type="dxa" w:w="55"/>
              <w:right w:type="dxa" w:w="90"/>
            </w:tcMar>
          </w:tcPr>
          <w:p>
            <w:r>
              <w:rPr>
                <w:b/>
                <w:bCs/>
                <w:color w:val="FFFFFF"/>
                <w:sz w:val="17"/>
                <w:szCs w:val="17"/>
              </w:rPr>
              <w:t xml:space="preserve">Zone</w:t>
            </w:r>
          </w:p>
        </w:tc>
        <w:tc>
          <w:tcPr>
            <w:tcW w:type="dxa" w:w="7560"/>
            <w:shd w:fill="1F4E5F" w:val="clear"/>
            <w:tcMar>
              <w:top w:type="dxa" w:w="55"/>
              <w:left w:type="dxa" w:w="90"/>
              <w:bottom w:type="dxa" w:w="55"/>
              <w:right w:type="dxa" w:w="90"/>
            </w:tcMar>
          </w:tcPr>
          <w:p>
            <w:r>
              <w:rPr>
                <w:b/>
                <w:bCs/>
                <w:color w:val="FFFFFF"/>
                <w:sz w:val="17"/>
                <w:szCs w:val="17"/>
              </w:rPr>
              <w:t xml:space="preserve">Content</w:t>
            </w:r>
          </w:p>
        </w:tc>
      </w:tr>
      <w:tr>
        <w:tc>
          <w:tcPr>
            <w:tcW w:type="dxa" w:w="1800"/>
            <w:tcMar>
              <w:top w:type="dxa" w:w="55"/>
              <w:left w:type="dxa" w:w="90"/>
              <w:bottom w:type="dxa" w:w="55"/>
              <w:right w:type="dxa" w:w="90"/>
            </w:tcMar>
          </w:tcPr>
          <w:p>
            <w:r>
              <w:rPr>
                <w:b w:val="false"/>
                <w:bCs w:val="false"/>
                <w:sz w:val="17"/>
                <w:szCs w:val="17"/>
              </w:rPr>
              <w:t xml:space="preserve">Header</w:t>
            </w:r>
          </w:p>
        </w:tc>
        <w:tc>
          <w:tcPr>
            <w:tcW w:type="dxa" w:w="7560"/>
            <w:tcMar>
              <w:top w:type="dxa" w:w="55"/>
              <w:left w:type="dxa" w:w="90"/>
              <w:bottom w:type="dxa" w:w="55"/>
              <w:right w:type="dxa" w:w="90"/>
            </w:tcMar>
          </w:tcPr>
          <w:p>
            <w:r>
              <w:rPr>
                <w:b w:val="false"/>
                <w:bCs w:val="false"/>
                <w:sz w:val="17"/>
                <w:szCs w:val="17"/>
              </w:rPr>
              <w:t xml:space="preserve">MediGo logo/wordmark; language toggle (EN/Telugu) — visible pre-login since it's a first-run decision</w:t>
            </w:r>
          </w:p>
        </w:tc>
      </w:tr>
      <w:tr>
        <w:tc>
          <w:tcPr>
            <w:tcW w:type="dxa" w:w="1800"/>
            <w:shd w:fill="EAF2F6" w:val="clear"/>
            <w:tcMar>
              <w:top w:type="dxa" w:w="55"/>
              <w:left w:type="dxa" w:w="90"/>
              <w:bottom w:type="dxa" w:w="55"/>
              <w:right w:type="dxa" w:w="90"/>
            </w:tcMar>
          </w:tcPr>
          <w:p>
            <w:r>
              <w:rPr>
                <w:b w:val="false"/>
                <w:bCs w:val="false"/>
                <w:sz w:val="17"/>
                <w:szCs w:val="17"/>
              </w:rPr>
              <w:t xml:space="preserve">Hero</w:t>
            </w:r>
          </w:p>
        </w:tc>
        <w:tc>
          <w:tcPr>
            <w:tcW w:type="dxa" w:w="7560"/>
            <w:shd w:fill="EAF2F6" w:val="clear"/>
            <w:tcMar>
              <w:top w:type="dxa" w:w="55"/>
              <w:left w:type="dxa" w:w="90"/>
              <w:bottom w:type="dxa" w:w="55"/>
              <w:right w:type="dxa" w:w="90"/>
            </w:tcMar>
          </w:tcPr>
          <w:p>
            <w:r>
              <w:rPr>
                <w:b w:val="false"/>
                <w:bCs w:val="false"/>
                <w:sz w:val="17"/>
                <w:szCs w:val="17"/>
              </w:rPr>
              <w:t xml:space="preserve">One-line positioning + a single primary action: Log in. No feature marketing wall — staff use this daily, it should get out of their way fast</w:t>
            </w:r>
          </w:p>
        </w:tc>
      </w:tr>
      <w:tr>
        <w:tc>
          <w:tcPr>
            <w:tcW w:type="dxa" w:w="1800"/>
            <w:tcMar>
              <w:top w:type="dxa" w:w="55"/>
              <w:left w:type="dxa" w:w="90"/>
              <w:bottom w:type="dxa" w:w="55"/>
              <w:right w:type="dxa" w:w="90"/>
            </w:tcMar>
          </w:tcPr>
          <w:p>
            <w:r>
              <w:rPr>
                <w:b w:val="false"/>
                <w:bCs w:val="false"/>
                <w:sz w:val="17"/>
                <w:szCs w:val="17"/>
              </w:rPr>
              <w:t xml:space="preserve">Login</w:t>
            </w:r>
          </w:p>
        </w:tc>
        <w:tc>
          <w:tcPr>
            <w:tcW w:type="dxa" w:w="7560"/>
            <w:tcMar>
              <w:top w:type="dxa" w:w="55"/>
              <w:left w:type="dxa" w:w="90"/>
              <w:bottom w:type="dxa" w:w="55"/>
              <w:right w:type="dxa" w:w="90"/>
            </w:tcMar>
          </w:tcPr>
          <w:p>
            <w:r>
              <w:rPr>
                <w:b w:val="false"/>
                <w:bCs w:val="false"/>
                <w:sz w:val="17"/>
                <w:szCs w:val="17"/>
              </w:rPr>
              <w:t xml:space="preserve">Tenant-aware login (email/username + password → Keycloak OIDC redirect). Dev-token picker ONLY rendered when ENV=development (never in staging/prod build)</w:t>
            </w:r>
          </w:p>
        </w:tc>
      </w:tr>
      <w:tr>
        <w:tc>
          <w:tcPr>
            <w:tcW w:type="dxa" w:w="1800"/>
            <w:shd w:fill="EAF2F6" w:val="clear"/>
            <w:tcMar>
              <w:top w:type="dxa" w:w="55"/>
              <w:left w:type="dxa" w:w="90"/>
              <w:bottom w:type="dxa" w:w="55"/>
              <w:right w:type="dxa" w:w="90"/>
            </w:tcMar>
          </w:tcPr>
          <w:p>
            <w:r>
              <w:rPr>
                <w:b w:val="false"/>
                <w:bCs w:val="false"/>
                <w:sz w:val="17"/>
                <w:szCs w:val="17"/>
              </w:rPr>
              <w:t xml:space="preserve">Footer</w:t>
            </w:r>
          </w:p>
        </w:tc>
        <w:tc>
          <w:tcPr>
            <w:tcW w:type="dxa" w:w="7560"/>
            <w:shd w:fill="EAF2F6" w:val="clear"/>
            <w:tcMar>
              <w:top w:type="dxa" w:w="55"/>
              <w:left w:type="dxa" w:w="90"/>
              <w:bottom w:type="dxa" w:w="55"/>
              <w:right w:type="dxa" w:w="90"/>
            </w:tcMar>
          </w:tcPr>
          <w:p>
            <w:r>
              <w:rPr>
                <w:b w:val="false"/>
                <w:bCs w:val="false"/>
                <w:sz w:val="17"/>
                <w:szCs w:val="17"/>
              </w:rPr>
              <w:t xml:space="preserve">Minimal: support contact, version, links to status page once it exists</w:t>
            </w:r>
          </w:p>
        </w:tc>
      </w:tr>
    </w:tbl>
    <w:p>
      <w:pPr>
        <w:spacing w:after="120" w:line="284"/>
        <w:jc w:val="both"/>
      </w:pPr>
      <w:r>
        <w:rPr>
          <w:sz w:val="22"/>
          <w:szCs w:val="22"/>
        </w:rPr>
        <w:t xml:space="preserve">After successful login, the user NEVER sees this page again for that session — they land directly on their role's home view per Section 3. There is no generic post-login dashboard that's the same for everyone; genericness is exactly what makes an app feel unorganized.</w:t>
      </w:r>
    </w:p>
    <w:p>
      <w:pPr>
        <w:spacing w:after="150"/>
      </w:pPr>
    </w:p>
    <w:p>
      <w:pPr>
        <w:pStyle w:val="Heading1"/>
        <w:spacing w:after="120" w:before="300"/>
      </w:pPr>
      <w:r>
        <w:rPr>
          <w:color w:val="1F4E5F"/>
        </w:rPr>
        <w:t xml:space="preserve">3. Role Landing Views — What Each Person Sees First</w:t>
      </w:r>
    </w:p>
    <w:p>
      <w:pPr>
        <w:spacing w:after="120" w:line="284"/>
        <w:jc w:val="both"/>
      </w:pPr>
      <w:r>
        <w:rPr>
          <w:sz w:val="22"/>
          <w:szCs w:val="22"/>
        </w:rPr>
        <w:t xml:space="preserve">Each row is that role's HOME — the screen they land on after login and the one the logo/home nav item returns to. Screens referenced already exist per the sprint backlogs; this section says which is canonical 'home' for whom, not new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3050"/>
        <w:gridCol w:w="4560"/>
      </w:tblGrid>
      <w:tr>
        <w:trPr>
          <w:tblHeader/>
        </w:trPr>
        <w:tc>
          <w:tcPr>
            <w:tcW w:type="dxa" w:w="1750"/>
            <w:shd w:fill="1F4E5F" w:val="clear"/>
            <w:tcMar>
              <w:top w:type="dxa" w:w="55"/>
              <w:left w:type="dxa" w:w="90"/>
              <w:bottom w:type="dxa" w:w="55"/>
              <w:right w:type="dxa" w:w="90"/>
            </w:tcMar>
          </w:tcPr>
          <w:p>
            <w:r>
              <w:rPr>
                <w:b/>
                <w:bCs/>
                <w:color w:val="FFFFFF"/>
                <w:sz w:val="17"/>
                <w:szCs w:val="17"/>
              </w:rPr>
              <w:t xml:space="preserve">Role</w:t>
            </w:r>
          </w:p>
        </w:tc>
        <w:tc>
          <w:tcPr>
            <w:tcW w:type="dxa" w:w="3050"/>
            <w:shd w:fill="1F4E5F" w:val="clear"/>
            <w:tcMar>
              <w:top w:type="dxa" w:w="55"/>
              <w:left w:type="dxa" w:w="90"/>
              <w:bottom w:type="dxa" w:w="55"/>
              <w:right w:type="dxa" w:w="90"/>
            </w:tcMar>
          </w:tcPr>
          <w:p>
            <w:r>
              <w:rPr>
                <w:b/>
                <w:bCs/>
                <w:color w:val="FFFFFF"/>
                <w:sz w:val="17"/>
                <w:szCs w:val="17"/>
              </w:rPr>
              <w:t xml:space="preserve">Lands on</w:t>
            </w:r>
          </w:p>
        </w:tc>
        <w:tc>
          <w:tcPr>
            <w:tcW w:type="dxa" w:w="4560"/>
            <w:shd w:fill="1F4E5F" w:val="clear"/>
            <w:tcMar>
              <w:top w:type="dxa" w:w="55"/>
              <w:left w:type="dxa" w:w="90"/>
              <w:bottom w:type="dxa" w:w="55"/>
              <w:right w:type="dxa" w:w="90"/>
            </w:tcMar>
          </w:tcPr>
          <w:p>
            <w:r>
              <w:rPr>
                <w:b/>
                <w:bCs/>
                <w:color w:val="FFFFFF"/>
                <w:sz w:val="17"/>
                <w:szCs w:val="17"/>
              </w:rPr>
              <w:t xml:space="preserve">Why this, not something else</w:t>
            </w:r>
          </w:p>
        </w:tc>
      </w:tr>
      <w:tr>
        <w:tc>
          <w:tcPr>
            <w:tcW w:type="dxa" w:w="1750"/>
            <w:tcMar>
              <w:top w:type="dxa" w:w="55"/>
              <w:left w:type="dxa" w:w="90"/>
              <w:bottom w:type="dxa" w:w="55"/>
              <w:right w:type="dxa" w:w="90"/>
            </w:tcMar>
          </w:tcPr>
          <w:p>
            <w:r>
              <w:rPr>
                <w:b w:val="false"/>
                <w:bCs w:val="false"/>
                <w:sz w:val="17"/>
                <w:szCs w:val="17"/>
              </w:rPr>
              <w:t xml:space="preserve">Receptionist / Front Desk</w:t>
            </w:r>
          </w:p>
        </w:tc>
        <w:tc>
          <w:tcPr>
            <w:tcW w:type="dxa" w:w="3050"/>
            <w:tcMar>
              <w:top w:type="dxa" w:w="55"/>
              <w:left w:type="dxa" w:w="90"/>
              <w:bottom w:type="dxa" w:w="55"/>
              <w:right w:type="dxa" w:w="90"/>
            </w:tcMar>
          </w:tcPr>
          <w:p>
            <w:r>
              <w:rPr>
                <w:b w:val="false"/>
                <w:bCs w:val="false"/>
                <w:sz w:val="17"/>
                <w:szCs w:val="17"/>
              </w:rPr>
              <w:t xml:space="preserve">Live Queue / Check-in board (SCH-005 QueueBoard)</w:t>
            </w:r>
          </w:p>
        </w:tc>
        <w:tc>
          <w:tcPr>
            <w:tcW w:type="dxa" w:w="4560"/>
            <w:tcMar>
              <w:top w:type="dxa" w:w="55"/>
              <w:left w:type="dxa" w:w="90"/>
              <w:bottom w:type="dxa" w:w="55"/>
              <w:right w:type="dxa" w:w="90"/>
            </w:tcMar>
          </w:tcPr>
          <w:p>
            <w:r>
              <w:rPr>
                <w:b w:val="false"/>
                <w:bCs w:val="false"/>
                <w:sz w:val="17"/>
                <w:szCs w:val="17"/>
              </w:rPr>
              <w:t xml:space="preserve">Their day starts with who's arriving now, not a dashboard of numbers</w:t>
            </w:r>
          </w:p>
        </w:tc>
      </w:tr>
      <w:tr>
        <w:tc>
          <w:tcPr>
            <w:tcW w:type="dxa" w:w="1750"/>
            <w:shd w:fill="EAF2F6" w:val="clear"/>
            <w:tcMar>
              <w:top w:type="dxa" w:w="55"/>
              <w:left w:type="dxa" w:w="90"/>
              <w:bottom w:type="dxa" w:w="55"/>
              <w:right w:type="dxa" w:w="90"/>
            </w:tcMar>
          </w:tcPr>
          <w:p>
            <w:r>
              <w:rPr>
                <w:b w:val="false"/>
                <w:bCs w:val="false"/>
                <w:sz w:val="17"/>
                <w:szCs w:val="17"/>
              </w:rPr>
              <w:t xml:space="preserve">Physician / Nurse</w:t>
            </w:r>
          </w:p>
        </w:tc>
        <w:tc>
          <w:tcPr>
            <w:tcW w:type="dxa" w:w="3050"/>
            <w:shd w:fill="EAF2F6" w:val="clear"/>
            <w:tcMar>
              <w:top w:type="dxa" w:w="55"/>
              <w:left w:type="dxa" w:w="90"/>
              <w:bottom w:type="dxa" w:w="55"/>
              <w:right w:type="dxa" w:w="90"/>
            </w:tcMar>
          </w:tcPr>
          <w:p>
            <w:r>
              <w:rPr>
                <w:b w:val="false"/>
                <w:bCs w:val="false"/>
                <w:sz w:val="17"/>
                <w:szCs w:val="17"/>
              </w:rPr>
              <w:t xml:space="preserve">My Schedule (today's appointments) — new thin view composing existing calendar+queue data filtered to 'assigned to me'</w:t>
            </w:r>
          </w:p>
        </w:tc>
        <w:tc>
          <w:tcPr>
            <w:tcW w:type="dxa" w:w="4560"/>
            <w:shd w:fill="EAF2F6" w:val="clear"/>
            <w:tcMar>
              <w:top w:type="dxa" w:w="55"/>
              <w:left w:type="dxa" w:w="90"/>
              <w:bottom w:type="dxa" w:w="55"/>
              <w:right w:type="dxa" w:w="90"/>
            </w:tcMar>
          </w:tcPr>
          <w:p>
            <w:r>
              <w:rPr>
                <w:b w:val="false"/>
                <w:bCs w:val="false"/>
                <w:sz w:val="17"/>
                <w:szCs w:val="17"/>
              </w:rPr>
              <w:t xml:space="preserve">Clinicians want their own list, not the whole clinic's; avoids re-deriving a full dashboard</w:t>
            </w:r>
          </w:p>
        </w:tc>
      </w:tr>
      <w:tr>
        <w:tc>
          <w:tcPr>
            <w:tcW w:type="dxa" w:w="1750"/>
            <w:tcMar>
              <w:top w:type="dxa" w:w="55"/>
              <w:left w:type="dxa" w:w="90"/>
              <w:bottom w:type="dxa" w:w="55"/>
              <w:right w:type="dxa" w:w="90"/>
            </w:tcMar>
          </w:tcPr>
          <w:p>
            <w:r>
              <w:rPr>
                <w:b w:val="false"/>
                <w:bCs w:val="false"/>
                <w:sz w:val="17"/>
                <w:szCs w:val="17"/>
              </w:rPr>
              <w:t xml:space="preserve">Billing Clerk</w:t>
            </w:r>
          </w:p>
        </w:tc>
        <w:tc>
          <w:tcPr>
            <w:tcW w:type="dxa" w:w="3050"/>
            <w:tcMar>
              <w:top w:type="dxa" w:w="55"/>
              <w:left w:type="dxa" w:w="90"/>
              <w:bottom w:type="dxa" w:w="55"/>
              <w:right w:type="dxa" w:w="90"/>
            </w:tcMar>
          </w:tcPr>
          <w:p>
            <w:r>
              <w:rPr>
                <w:b w:val="false"/>
                <w:bCs w:val="false"/>
                <w:sz w:val="17"/>
                <w:szCs w:val="17"/>
              </w:rPr>
              <w:t xml:space="preserve">Billing Worklist — open/unpaid invoices + today's till (BIL invoice/payment screens, filtered to actionable items)</w:t>
            </w:r>
          </w:p>
        </w:tc>
        <w:tc>
          <w:tcPr>
            <w:tcW w:type="dxa" w:w="4560"/>
            <w:tcMar>
              <w:top w:type="dxa" w:w="55"/>
              <w:left w:type="dxa" w:w="90"/>
              <w:bottom w:type="dxa" w:w="55"/>
              <w:right w:type="dxa" w:w="90"/>
            </w:tcMar>
          </w:tcPr>
          <w:p>
            <w:r>
              <w:rPr>
                <w:b w:val="false"/>
                <w:bCs w:val="false"/>
                <w:sz w:val="17"/>
                <w:szCs w:val="17"/>
              </w:rPr>
              <w:t xml:space="preserve">Billing's job is clearing a queue of money-in-motion, same shape as the clinical queue</w:t>
            </w:r>
          </w:p>
        </w:tc>
      </w:tr>
      <w:tr>
        <w:tc>
          <w:tcPr>
            <w:tcW w:type="dxa" w:w="1750"/>
            <w:shd w:fill="EAF2F6" w:val="clear"/>
            <w:tcMar>
              <w:top w:type="dxa" w:w="55"/>
              <w:left w:type="dxa" w:w="90"/>
              <w:bottom w:type="dxa" w:w="55"/>
              <w:right w:type="dxa" w:w="90"/>
            </w:tcMar>
          </w:tcPr>
          <w:p>
            <w:r>
              <w:rPr>
                <w:b w:val="false"/>
                <w:bCs w:val="false"/>
                <w:sz w:val="17"/>
                <w:szCs w:val="17"/>
              </w:rPr>
              <w:t xml:space="preserve">Tenant Admin</w:t>
            </w:r>
          </w:p>
        </w:tc>
        <w:tc>
          <w:tcPr>
            <w:tcW w:type="dxa" w:w="3050"/>
            <w:shd w:fill="EAF2F6" w:val="clear"/>
            <w:tcMar>
              <w:top w:type="dxa" w:w="55"/>
              <w:left w:type="dxa" w:w="90"/>
              <w:bottom w:type="dxa" w:w="55"/>
              <w:right w:type="dxa" w:w="90"/>
            </w:tcMar>
          </w:tcPr>
          <w:p>
            <w:r>
              <w:rPr>
                <w:b w:val="false"/>
                <w:bCs w:val="false"/>
                <w:sz w:val="17"/>
                <w:szCs w:val="17"/>
              </w:rPr>
              <w:t xml:space="preserve">Tenant Operations Dashboard (RPT-001 OperationalDashboard) + a 'Setup' banner if onboarding isn't finished</w:t>
            </w:r>
          </w:p>
        </w:tc>
        <w:tc>
          <w:tcPr>
            <w:tcW w:type="dxa" w:w="4560"/>
            <w:shd w:fill="EAF2F6" w:val="clear"/>
            <w:tcMar>
              <w:top w:type="dxa" w:w="55"/>
              <w:left w:type="dxa" w:w="90"/>
              <w:bottom w:type="dxa" w:w="55"/>
              <w:right w:type="dxa" w:w="90"/>
            </w:tcMar>
          </w:tcPr>
          <w:p>
            <w:r>
              <w:rPr>
                <w:b w:val="false"/>
                <w:bCs w:val="false"/>
                <w:sz w:val="17"/>
                <w:szCs w:val="17"/>
              </w:rPr>
              <w:t xml:space="preserve">Admin needs the whole-clinic picture; the readiness banner surfaces unfinished TEN-1xx/2xx setup without a separate nag flow</w:t>
            </w:r>
          </w:p>
        </w:tc>
      </w:tr>
      <w:tr>
        <w:tc>
          <w:tcPr>
            <w:tcW w:type="dxa" w:w="1750"/>
            <w:tcMar>
              <w:top w:type="dxa" w:w="55"/>
              <w:left w:type="dxa" w:w="90"/>
              <w:bottom w:type="dxa" w:w="55"/>
              <w:right w:type="dxa" w:w="90"/>
            </w:tcMar>
          </w:tcPr>
          <w:p>
            <w:r>
              <w:rPr>
                <w:b w:val="false"/>
                <w:bCs w:val="false"/>
                <w:sz w:val="17"/>
                <w:szCs w:val="17"/>
              </w:rPr>
              <w:t xml:space="preserve">Operator (your team)</w:t>
            </w:r>
          </w:p>
        </w:tc>
        <w:tc>
          <w:tcPr>
            <w:tcW w:type="dxa" w:w="3050"/>
            <w:tcMar>
              <w:top w:type="dxa" w:w="55"/>
              <w:left w:type="dxa" w:w="90"/>
              <w:bottom w:type="dxa" w:w="55"/>
              <w:right w:type="dxa" w:w="90"/>
            </w:tcMar>
          </w:tcPr>
          <w:p>
            <w:r>
              <w:rPr>
                <w:b w:val="false"/>
                <w:bCs w:val="false"/>
                <w:sz w:val="17"/>
                <w:szCs w:val="17"/>
              </w:rPr>
              <w:t xml:space="preserve">Tenant list / platform health (Operator Console home — TEN-101 list + metrics)</w:t>
            </w:r>
          </w:p>
        </w:tc>
        <w:tc>
          <w:tcPr>
            <w:tcW w:type="dxa" w:w="4560"/>
            <w:tcMar>
              <w:top w:type="dxa" w:w="55"/>
              <w:left w:type="dxa" w:w="90"/>
              <w:bottom w:type="dxa" w:w="55"/>
              <w:right w:type="dxa" w:w="90"/>
            </w:tcMar>
          </w:tcPr>
          <w:p>
            <w:r>
              <w:rPr>
                <w:b w:val="false"/>
                <w:bCs w:val="false"/>
                <w:sz w:val="17"/>
                <w:szCs w:val="17"/>
              </w:rPr>
              <w:t xml:space="preserve">Never a clinical view; operators work on tenants, not patients</w:t>
            </w:r>
          </w:p>
        </w:tc>
      </w:tr>
      <w:tr>
        <w:tc>
          <w:tcPr>
            <w:tcW w:type="dxa" w:w="1750"/>
            <w:shd w:fill="EAF2F6" w:val="clear"/>
            <w:tcMar>
              <w:top w:type="dxa" w:w="55"/>
              <w:left w:type="dxa" w:w="90"/>
              <w:bottom w:type="dxa" w:w="55"/>
              <w:right w:type="dxa" w:w="90"/>
            </w:tcMar>
          </w:tcPr>
          <w:p>
            <w:r>
              <w:rPr>
                <w:b w:val="false"/>
                <w:bCs w:val="false"/>
                <w:sz w:val="17"/>
                <w:szCs w:val="17"/>
              </w:rPr>
              <w:t xml:space="preserve">Patient (Portal)</w:t>
            </w:r>
          </w:p>
        </w:tc>
        <w:tc>
          <w:tcPr>
            <w:tcW w:type="dxa" w:w="3050"/>
            <w:shd w:fill="EAF2F6" w:val="clear"/>
            <w:tcMar>
              <w:top w:type="dxa" w:w="55"/>
              <w:left w:type="dxa" w:w="90"/>
              <w:bottom w:type="dxa" w:w="55"/>
              <w:right w:type="dxa" w:w="90"/>
            </w:tcMar>
          </w:tcPr>
          <w:p>
            <w:r>
              <w:rPr>
                <w:b w:val="false"/>
                <w:bCs w:val="false"/>
                <w:sz w:val="17"/>
                <w:szCs w:val="17"/>
              </w:rPr>
              <w:t xml:space="preserve">Upcoming Visit card (POR-002) — next appointment + its prerequisites, front and center</w:t>
            </w:r>
          </w:p>
        </w:tc>
        <w:tc>
          <w:tcPr>
            <w:tcW w:type="dxa" w:w="4560"/>
            <w:shd w:fill="EAF2F6" w:val="clear"/>
            <w:tcMar>
              <w:top w:type="dxa" w:w="55"/>
              <w:left w:type="dxa" w:w="90"/>
              <w:bottom w:type="dxa" w:w="55"/>
              <w:right w:type="dxa" w:w="90"/>
            </w:tcMar>
          </w:tcPr>
          <w:p>
            <w:r>
              <w:rPr>
                <w:b w:val="false"/>
                <w:bCs w:val="false"/>
                <w:sz w:val="17"/>
                <w:szCs w:val="17"/>
              </w:rPr>
              <w:t xml:space="preserve">The single most common reason a patient opens the portal is 'what do I need to do before my visit'</w:t>
            </w:r>
          </w:p>
        </w:tc>
      </w:tr>
    </w:tbl>
    <w:p>
      <w:pPr>
        <w:spacing w:after="150"/>
      </w:pPr>
    </w:p>
    <w:p>
      <w:pPr>
        <w:pStyle w:val="Heading1"/>
        <w:spacing w:after="120" w:before="300"/>
      </w:pPr>
      <w:r>
        <w:rPr>
          <w:color w:val="1F4E5F"/>
        </w:rPr>
        <w:t xml:space="preserve">4. Navigation Tree — Clinic Staff App</w:t>
      </w:r>
    </w:p>
    <w:p>
      <w:pPr>
        <w:spacing w:after="120" w:line="284"/>
        <w:jc w:val="both"/>
      </w:pPr>
      <w:r>
        <w:rPr>
          <w:sz w:val="22"/>
          <w:szCs w:val="22"/>
        </w:rPr>
        <w:t xml:space="preserve">Primary nav is a SHORT, role-filtered list (5–7 items max visible per role) — everything else nests one level under these, never a flat 20-link sidebar. This is the concrete fix for 'looks unorganized.'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60"/>
        <w:gridCol w:w="2500"/>
      </w:tblGrid>
      <w:tr>
        <w:trPr>
          <w:tblHeader/>
        </w:trPr>
        <w:tc>
          <w:tcPr>
            <w:tcW w:type="dxa" w:w="1400"/>
            <w:shd w:fill="1F4E5F" w:val="clear"/>
            <w:tcMar>
              <w:top w:type="dxa" w:w="55"/>
              <w:left w:type="dxa" w:w="90"/>
              <w:bottom w:type="dxa" w:w="55"/>
              <w:right w:type="dxa" w:w="90"/>
            </w:tcMar>
          </w:tcPr>
          <w:p>
            <w:r>
              <w:rPr>
                <w:b/>
                <w:bCs/>
                <w:color w:val="FFFFFF"/>
                <w:sz w:val="17"/>
                <w:szCs w:val="17"/>
              </w:rPr>
              <w:t xml:space="preserve">Nav group</w:t>
            </w:r>
          </w:p>
        </w:tc>
        <w:tc>
          <w:tcPr>
            <w:tcW w:type="dxa" w:w="5460"/>
            <w:shd w:fill="1F4E5F" w:val="clear"/>
            <w:tcMar>
              <w:top w:type="dxa" w:w="55"/>
              <w:left w:type="dxa" w:w="90"/>
              <w:bottom w:type="dxa" w:w="55"/>
              <w:right w:type="dxa" w:w="90"/>
            </w:tcMar>
          </w:tcPr>
          <w:p>
            <w:r>
              <w:rPr>
                <w:b/>
                <w:bCs/>
                <w:color w:val="FFFFFF"/>
                <w:sz w:val="17"/>
                <w:szCs w:val="17"/>
              </w:rPr>
              <w:t xml:space="preserve">Contains (existing screens)</w:t>
            </w:r>
          </w:p>
        </w:tc>
        <w:tc>
          <w:tcPr>
            <w:tcW w:type="dxa" w:w="2500"/>
            <w:shd w:fill="1F4E5F" w:val="clear"/>
            <w:tcMar>
              <w:top w:type="dxa" w:w="55"/>
              <w:left w:type="dxa" w:w="90"/>
              <w:bottom w:type="dxa" w:w="55"/>
              <w:right w:type="dxa" w:w="90"/>
            </w:tcMar>
          </w:tcPr>
          <w:p>
            <w:r>
              <w:rPr>
                <w:b/>
                <w:bCs/>
                <w:color w:val="FFFFFF"/>
                <w:sz w:val="17"/>
                <w:szCs w:val="17"/>
              </w:rPr>
              <w:t xml:space="preserve">Visible to</w:t>
            </w:r>
          </w:p>
        </w:tc>
      </w:tr>
      <w:tr>
        <w:tc>
          <w:tcPr>
            <w:tcW w:type="dxa" w:w="1400"/>
            <w:tcMar>
              <w:top w:type="dxa" w:w="55"/>
              <w:left w:type="dxa" w:w="90"/>
              <w:bottom w:type="dxa" w:w="55"/>
              <w:right w:type="dxa" w:w="90"/>
            </w:tcMar>
          </w:tcPr>
          <w:p>
            <w:r>
              <w:rPr>
                <w:b w:val="false"/>
                <w:bCs w:val="false"/>
                <w:sz w:val="17"/>
                <w:szCs w:val="17"/>
              </w:rPr>
              <w:t xml:space="preserve">Home</w:t>
            </w:r>
          </w:p>
        </w:tc>
        <w:tc>
          <w:tcPr>
            <w:tcW w:type="dxa" w:w="5460"/>
            <w:tcMar>
              <w:top w:type="dxa" w:w="55"/>
              <w:left w:type="dxa" w:w="90"/>
              <w:bottom w:type="dxa" w:w="55"/>
              <w:right w:type="dxa" w:w="90"/>
            </w:tcMar>
          </w:tcPr>
          <w:p>
            <w:r>
              <w:rPr>
                <w:b w:val="false"/>
                <w:bCs w:val="false"/>
                <w:sz w:val="17"/>
                <w:szCs w:val="17"/>
              </w:rPr>
              <w:t xml:space="preserve">Role's landing view (Section 3)</w:t>
            </w:r>
          </w:p>
        </w:tc>
        <w:tc>
          <w:tcPr>
            <w:tcW w:type="dxa" w:w="2500"/>
            <w:tcMar>
              <w:top w:type="dxa" w:w="55"/>
              <w:left w:type="dxa" w:w="90"/>
              <w:bottom w:type="dxa" w:w="55"/>
              <w:right w:type="dxa" w:w="90"/>
            </w:tcMar>
          </w:tcPr>
          <w:p>
            <w:r>
              <w:rPr>
                <w:b w:val="false"/>
                <w:bCs w:val="false"/>
                <w:sz w:val="17"/>
                <w:szCs w:val="17"/>
              </w:rPr>
              <w:t xml:space="preserve">All staff roles</w:t>
            </w:r>
          </w:p>
        </w:tc>
      </w:tr>
      <w:tr>
        <w:tc>
          <w:tcPr>
            <w:tcW w:type="dxa" w:w="1400"/>
            <w:shd w:fill="EAF2F6" w:val="clear"/>
            <w:tcMar>
              <w:top w:type="dxa" w:w="55"/>
              <w:left w:type="dxa" w:w="90"/>
              <w:bottom w:type="dxa" w:w="55"/>
              <w:right w:type="dxa" w:w="90"/>
            </w:tcMar>
          </w:tcPr>
          <w:p>
            <w:r>
              <w:rPr>
                <w:b w:val="false"/>
                <w:bCs w:val="false"/>
                <w:sz w:val="17"/>
                <w:szCs w:val="17"/>
              </w:rPr>
              <w:t xml:space="preserve">Patients</w:t>
            </w:r>
          </w:p>
        </w:tc>
        <w:tc>
          <w:tcPr>
            <w:tcW w:type="dxa" w:w="5460"/>
            <w:shd w:fill="EAF2F6" w:val="clear"/>
            <w:tcMar>
              <w:top w:type="dxa" w:w="55"/>
              <w:left w:type="dxa" w:w="90"/>
              <w:bottom w:type="dxa" w:w="55"/>
              <w:right w:type="dxa" w:w="90"/>
            </w:tcMar>
          </w:tcPr>
          <w:p>
            <w:r>
              <w:rPr>
                <w:b w:val="false"/>
                <w:bCs w:val="false"/>
                <w:sz w:val="17"/>
                <w:szCs w:val="17"/>
              </w:rPr>
              <w:t xml:space="preserve">Search, register, patient summary/EMR, allergy banner</w:t>
            </w:r>
          </w:p>
        </w:tc>
        <w:tc>
          <w:tcPr>
            <w:tcW w:type="dxa" w:w="2500"/>
            <w:shd w:fill="EAF2F6" w:val="clear"/>
            <w:tcMar>
              <w:top w:type="dxa" w:w="55"/>
              <w:left w:type="dxa" w:w="90"/>
              <w:bottom w:type="dxa" w:w="55"/>
              <w:right w:type="dxa" w:w="90"/>
            </w:tcMar>
          </w:tcPr>
          <w:p>
            <w:r>
              <w:rPr>
                <w:b w:val="false"/>
                <w:bCs w:val="false"/>
                <w:sz w:val="17"/>
                <w:szCs w:val="17"/>
              </w:rPr>
              <w:t xml:space="preserve">Receptionist, physician, nurse, admin</w:t>
            </w:r>
          </w:p>
        </w:tc>
      </w:tr>
      <w:tr>
        <w:tc>
          <w:tcPr>
            <w:tcW w:type="dxa" w:w="1400"/>
            <w:tcMar>
              <w:top w:type="dxa" w:w="55"/>
              <w:left w:type="dxa" w:w="90"/>
              <w:bottom w:type="dxa" w:w="55"/>
              <w:right w:type="dxa" w:w="90"/>
            </w:tcMar>
          </w:tcPr>
          <w:p>
            <w:r>
              <w:rPr>
                <w:b w:val="false"/>
                <w:bCs w:val="false"/>
                <w:sz w:val="17"/>
                <w:szCs w:val="17"/>
              </w:rPr>
              <w:t xml:space="preserve">Schedule</w:t>
            </w:r>
          </w:p>
        </w:tc>
        <w:tc>
          <w:tcPr>
            <w:tcW w:type="dxa" w:w="5460"/>
            <w:tcMar>
              <w:top w:type="dxa" w:w="55"/>
              <w:left w:type="dxa" w:w="90"/>
              <w:bottom w:type="dxa" w:w="55"/>
              <w:right w:type="dxa" w:w="90"/>
            </w:tcMar>
          </w:tcPr>
          <w:p>
            <w:r>
              <w:rPr>
                <w:b w:val="false"/>
                <w:bCs w:val="false"/>
                <w:sz w:val="17"/>
                <w:szCs w:val="17"/>
              </w:rPr>
              <w:t xml:space="preserve">Calendar, booking, check-in, queue board</w:t>
            </w:r>
          </w:p>
        </w:tc>
        <w:tc>
          <w:tcPr>
            <w:tcW w:type="dxa" w:w="2500"/>
            <w:tcMar>
              <w:top w:type="dxa" w:w="55"/>
              <w:left w:type="dxa" w:w="90"/>
              <w:bottom w:type="dxa" w:w="55"/>
              <w:right w:type="dxa" w:w="90"/>
            </w:tcMar>
          </w:tcPr>
          <w:p>
            <w:r>
              <w:rPr>
                <w:b w:val="false"/>
                <w:bCs w:val="false"/>
                <w:sz w:val="17"/>
                <w:szCs w:val="17"/>
              </w:rPr>
              <w:t xml:space="preserve">Receptionist, physician, nurse, admin</w:t>
            </w:r>
          </w:p>
        </w:tc>
      </w:tr>
      <w:tr>
        <w:tc>
          <w:tcPr>
            <w:tcW w:type="dxa" w:w="1400"/>
            <w:shd w:fill="EAF2F6" w:val="clear"/>
            <w:tcMar>
              <w:top w:type="dxa" w:w="55"/>
              <w:left w:type="dxa" w:w="90"/>
              <w:bottom w:type="dxa" w:w="55"/>
              <w:right w:type="dxa" w:w="90"/>
            </w:tcMar>
          </w:tcPr>
          <w:p>
            <w:r>
              <w:rPr>
                <w:b w:val="false"/>
                <w:bCs w:val="false"/>
                <w:sz w:val="17"/>
                <w:szCs w:val="17"/>
              </w:rPr>
              <w:t xml:space="preserve">Clinical</w:t>
            </w:r>
          </w:p>
        </w:tc>
        <w:tc>
          <w:tcPr>
            <w:tcW w:type="dxa" w:w="5460"/>
            <w:shd w:fill="EAF2F6" w:val="clear"/>
            <w:tcMar>
              <w:top w:type="dxa" w:w="55"/>
              <w:left w:type="dxa" w:w="90"/>
              <w:bottom w:type="dxa" w:w="55"/>
              <w:right w:type="dxa" w:w="90"/>
            </w:tcMar>
          </w:tcPr>
          <w:p>
            <w:r>
              <w:rPr>
                <w:b w:val="false"/>
                <w:bCs w:val="false"/>
                <w:sz w:val="17"/>
                <w:szCs w:val="17"/>
              </w:rPr>
              <w:t xml:space="preserve">Encounter note, prescription composer, next-visit panel, lab orders/results inbox</w:t>
            </w:r>
          </w:p>
        </w:tc>
        <w:tc>
          <w:tcPr>
            <w:tcW w:type="dxa" w:w="2500"/>
            <w:shd w:fill="EAF2F6" w:val="clear"/>
            <w:tcMar>
              <w:top w:type="dxa" w:w="55"/>
              <w:left w:type="dxa" w:w="90"/>
              <w:bottom w:type="dxa" w:w="55"/>
              <w:right w:type="dxa" w:w="90"/>
            </w:tcMar>
          </w:tcPr>
          <w:p>
            <w:r>
              <w:rPr>
                <w:b w:val="false"/>
                <w:bCs w:val="false"/>
                <w:sz w:val="17"/>
                <w:szCs w:val="17"/>
              </w:rPr>
              <w:t xml:space="preserve">Physician, nurse</w:t>
            </w:r>
          </w:p>
        </w:tc>
      </w:tr>
      <w:tr>
        <w:tc>
          <w:tcPr>
            <w:tcW w:type="dxa" w:w="1400"/>
            <w:tcMar>
              <w:top w:type="dxa" w:w="55"/>
              <w:left w:type="dxa" w:w="90"/>
              <w:bottom w:type="dxa" w:w="55"/>
              <w:right w:type="dxa" w:w="90"/>
            </w:tcMar>
          </w:tcPr>
          <w:p>
            <w:r>
              <w:rPr>
                <w:b w:val="false"/>
                <w:bCs w:val="false"/>
                <w:sz w:val="17"/>
                <w:szCs w:val="17"/>
              </w:rPr>
              <w:t xml:space="preserve">Billing</w:t>
            </w:r>
          </w:p>
        </w:tc>
        <w:tc>
          <w:tcPr>
            <w:tcW w:type="dxa" w:w="5460"/>
            <w:tcMar>
              <w:top w:type="dxa" w:w="55"/>
              <w:left w:type="dxa" w:w="90"/>
              <w:bottom w:type="dxa" w:w="55"/>
              <w:right w:type="dxa" w:w="90"/>
            </w:tcMar>
          </w:tcPr>
          <w:p>
            <w:r>
              <w:rPr>
                <w:b w:val="false"/>
                <w:bCs w:val="false"/>
                <w:sz w:val="17"/>
                <w:szCs w:val="17"/>
              </w:rPr>
              <w:t xml:space="preserve">Invoices, payments/till, claims, Aarogyasri pre-auth</w:t>
            </w:r>
          </w:p>
        </w:tc>
        <w:tc>
          <w:tcPr>
            <w:tcW w:type="dxa" w:w="2500"/>
            <w:tcMar>
              <w:top w:type="dxa" w:w="55"/>
              <w:left w:type="dxa" w:w="90"/>
              <w:bottom w:type="dxa" w:w="55"/>
              <w:right w:type="dxa" w:w="90"/>
            </w:tcMar>
          </w:tcPr>
          <w:p>
            <w:r>
              <w:rPr>
                <w:b w:val="false"/>
                <w:bCs w:val="false"/>
                <w:sz w:val="17"/>
                <w:szCs w:val="17"/>
              </w:rPr>
              <w:t xml:space="preserve">Billing clerk, admin</w:t>
            </w:r>
          </w:p>
        </w:tc>
      </w:tr>
      <w:tr>
        <w:tc>
          <w:tcPr>
            <w:tcW w:type="dxa" w:w="1400"/>
            <w:shd w:fill="EAF2F6" w:val="clear"/>
            <w:tcMar>
              <w:top w:type="dxa" w:w="55"/>
              <w:left w:type="dxa" w:w="90"/>
              <w:bottom w:type="dxa" w:w="55"/>
              <w:right w:type="dxa" w:w="90"/>
            </w:tcMar>
          </w:tcPr>
          <w:p>
            <w:r>
              <w:rPr>
                <w:b w:val="false"/>
                <w:bCs w:val="false"/>
                <w:sz w:val="17"/>
                <w:szCs w:val="17"/>
              </w:rPr>
              <w:t xml:space="preserve">Referrals</w:t>
            </w:r>
          </w:p>
        </w:tc>
        <w:tc>
          <w:tcPr>
            <w:tcW w:type="dxa" w:w="5460"/>
            <w:shd w:fill="EAF2F6" w:val="clear"/>
            <w:tcMar>
              <w:top w:type="dxa" w:w="55"/>
              <w:left w:type="dxa" w:w="90"/>
              <w:bottom w:type="dxa" w:w="55"/>
              <w:right w:type="dxa" w:w="90"/>
            </w:tcMar>
          </w:tcPr>
          <w:p>
            <w:r>
              <w:rPr>
                <w:b w:val="false"/>
                <w:bCs w:val="false"/>
                <w:sz w:val="17"/>
                <w:szCs w:val="17"/>
              </w:rPr>
              <w:t xml:space="preserve">Referrer capture (inside registration), referral timeline</w:t>
            </w:r>
          </w:p>
        </w:tc>
        <w:tc>
          <w:tcPr>
            <w:tcW w:type="dxa" w:w="2500"/>
            <w:shd w:fill="EAF2F6" w:val="clear"/>
            <w:tcMar>
              <w:top w:type="dxa" w:w="55"/>
              <w:left w:type="dxa" w:w="90"/>
              <w:bottom w:type="dxa" w:w="55"/>
              <w:right w:type="dxa" w:w="90"/>
            </w:tcMar>
          </w:tcPr>
          <w:p>
            <w:r>
              <w:rPr>
                <w:b w:val="false"/>
                <w:bCs w:val="false"/>
                <w:sz w:val="17"/>
                <w:szCs w:val="17"/>
              </w:rPr>
              <w:t xml:space="preserve">Receptionist, physician, admin</w:t>
            </w:r>
          </w:p>
        </w:tc>
      </w:tr>
      <w:tr>
        <w:tc>
          <w:tcPr>
            <w:tcW w:type="dxa" w:w="1400"/>
            <w:tcMar>
              <w:top w:type="dxa" w:w="55"/>
              <w:left w:type="dxa" w:w="90"/>
              <w:bottom w:type="dxa" w:w="55"/>
              <w:right w:type="dxa" w:w="90"/>
            </w:tcMar>
          </w:tcPr>
          <w:p>
            <w:r>
              <w:rPr>
                <w:b w:val="false"/>
                <w:bCs w:val="false"/>
                <w:sz w:val="17"/>
                <w:szCs w:val="17"/>
              </w:rPr>
              <w:t xml:space="preserve">Reports</w:t>
            </w:r>
          </w:p>
        </w:tc>
        <w:tc>
          <w:tcPr>
            <w:tcW w:type="dxa" w:w="5460"/>
            <w:tcMar>
              <w:top w:type="dxa" w:w="55"/>
              <w:left w:type="dxa" w:w="90"/>
              <w:bottom w:type="dxa" w:w="55"/>
              <w:right w:type="dxa" w:w="90"/>
            </w:tcMar>
          </w:tcPr>
          <w:p>
            <w:r>
              <w:rPr>
                <w:b w:val="false"/>
                <w:bCs w:val="false"/>
                <w:sz w:val="17"/>
                <w:szCs w:val="17"/>
              </w:rPr>
              <w:t xml:space="preserve">Operational dashboard, visits/revenue/diagnoses/A-R reports</w:t>
            </w:r>
          </w:p>
        </w:tc>
        <w:tc>
          <w:tcPr>
            <w:tcW w:type="dxa" w:w="2500"/>
            <w:tcMar>
              <w:top w:type="dxa" w:w="55"/>
              <w:left w:type="dxa" w:w="90"/>
              <w:bottom w:type="dxa" w:w="55"/>
              <w:right w:type="dxa" w:w="90"/>
            </w:tcMar>
          </w:tcPr>
          <w:p>
            <w:r>
              <w:rPr>
                <w:b w:val="false"/>
                <w:bCs w:val="false"/>
                <w:sz w:val="17"/>
                <w:szCs w:val="17"/>
              </w:rPr>
              <w:t xml:space="preserve">Admin, billing (scoped), physician (diagnoses only)</w:t>
            </w:r>
          </w:p>
        </w:tc>
      </w:tr>
      <w:tr>
        <w:tc>
          <w:tcPr>
            <w:tcW w:type="dxa" w:w="1400"/>
            <w:shd w:fill="EAF2F6" w:val="clear"/>
            <w:tcMar>
              <w:top w:type="dxa" w:w="55"/>
              <w:left w:type="dxa" w:w="90"/>
              <w:bottom w:type="dxa" w:w="55"/>
              <w:right w:type="dxa" w:w="90"/>
            </w:tcMar>
          </w:tcPr>
          <w:p>
            <w:r>
              <w:rPr>
                <w:b w:val="false"/>
                <w:bCs w:val="false"/>
                <w:sz w:val="17"/>
                <w:szCs w:val="17"/>
              </w:rPr>
              <w:t xml:space="preserve">Settings</w:t>
            </w:r>
          </w:p>
        </w:tc>
        <w:tc>
          <w:tcPr>
            <w:tcW w:type="dxa" w:w="5460"/>
            <w:shd w:fill="EAF2F6" w:val="clear"/>
            <w:tcMar>
              <w:top w:type="dxa" w:w="55"/>
              <w:left w:type="dxa" w:w="90"/>
              <w:bottom w:type="dxa" w:w="55"/>
              <w:right w:type="dxa" w:w="90"/>
            </w:tcMar>
          </w:tcPr>
          <w:p>
            <w:r>
              <w:rPr>
                <w:b w:val="false"/>
                <w:bCs w:val="false"/>
                <w:sz w:val="17"/>
                <w:szCs w:val="17"/>
              </w:rPr>
              <w:t xml:space="preserve">Tenant profile, branding, sites/rooms/services, staff invitations, feature flags (read-only where locked)</w:t>
            </w:r>
          </w:p>
        </w:tc>
        <w:tc>
          <w:tcPr>
            <w:tcW w:type="dxa" w:w="2500"/>
            <w:shd w:fill="EAF2F6" w:val="clear"/>
            <w:tcMar>
              <w:top w:type="dxa" w:w="55"/>
              <w:left w:type="dxa" w:w="90"/>
              <w:bottom w:type="dxa" w:w="55"/>
              <w:right w:type="dxa" w:w="90"/>
            </w:tcMar>
          </w:tcPr>
          <w:p>
            <w:r>
              <w:rPr>
                <w:b w:val="false"/>
                <w:bCs w:val="false"/>
                <w:sz w:val="17"/>
                <w:szCs w:val="17"/>
              </w:rPr>
              <w:t xml:space="preserve">Admin only</w:t>
            </w:r>
          </w:p>
        </w:tc>
      </w:tr>
    </w:tbl>
    <w:p>
      <w:pPr>
        <w:spacing w:after="120" w:line="284"/>
        <w:jc w:val="both"/>
      </w:pPr>
      <w:r>
        <w:rPr>
          <w:sz w:val="22"/>
          <w:szCs w:val="22"/>
        </w:rPr>
        <w:t xml:space="preserve">Rule: a nav item only appears if the logged-in role has at least one action inside it. A nurse never sees 'Settings'; a billing clerk never sees 'Clinical'. This is enforced the same way role-gating already works in the shell (IAM-002 mirror), just applied consistently to nav visibility, not only to button-level permissions.</w:t>
      </w:r>
    </w:p>
    <w:p>
      <w:pPr>
        <w:spacing w:after="150"/>
      </w:pPr>
    </w:p>
    <w:p>
      <w:pPr>
        <w:pStyle w:val="Heading1"/>
        <w:spacing w:after="120" w:before="300"/>
      </w:pPr>
      <w:r>
        <w:rPr>
          <w:color w:val="1F4E5F"/>
        </w:rPr>
        <w:t xml:space="preserve">5. Navigation Tree — Patient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60"/>
        <w:gridCol w:w="2500"/>
      </w:tblGrid>
      <w:tr>
        <w:trPr>
          <w:tblHeader/>
        </w:trPr>
        <w:tc>
          <w:tcPr>
            <w:tcW w:type="dxa" w:w="1400"/>
            <w:shd w:fill="1F4E5F" w:val="clear"/>
            <w:tcMar>
              <w:top w:type="dxa" w:w="55"/>
              <w:left w:type="dxa" w:w="90"/>
              <w:bottom w:type="dxa" w:w="55"/>
              <w:right w:type="dxa" w:w="90"/>
            </w:tcMar>
          </w:tcPr>
          <w:p>
            <w:r>
              <w:rPr>
                <w:b/>
                <w:bCs/>
                <w:color w:val="FFFFFF"/>
                <w:sz w:val="17"/>
                <w:szCs w:val="17"/>
              </w:rPr>
              <w:t xml:space="preserve">Nav group</w:t>
            </w:r>
          </w:p>
        </w:tc>
        <w:tc>
          <w:tcPr>
            <w:tcW w:type="dxa" w:w="5460"/>
            <w:shd w:fill="1F4E5F" w:val="clear"/>
            <w:tcMar>
              <w:top w:type="dxa" w:w="55"/>
              <w:left w:type="dxa" w:w="90"/>
              <w:bottom w:type="dxa" w:w="55"/>
              <w:right w:type="dxa" w:w="90"/>
            </w:tcMar>
          </w:tcPr>
          <w:p>
            <w:r>
              <w:rPr>
                <w:b/>
                <w:bCs/>
                <w:color w:val="FFFFFF"/>
                <w:sz w:val="17"/>
                <w:szCs w:val="17"/>
              </w:rPr>
              <w:t xml:space="preserve">Contains</w:t>
            </w:r>
          </w:p>
        </w:tc>
        <w:tc>
          <w:tcPr>
            <w:tcW w:type="dxa" w:w="2500"/>
            <w:shd w:fill="1F4E5F" w:val="clear"/>
            <w:tcMar>
              <w:top w:type="dxa" w:w="55"/>
              <w:left w:type="dxa" w:w="90"/>
              <w:bottom w:type="dxa" w:w="55"/>
              <w:right w:type="dxa" w:w="90"/>
            </w:tcMar>
          </w:tcPr>
          <w:p>
            <w:r>
              <w:rPr>
                <w:b/>
                <w:bCs/>
                <w:color w:val="FFFFFF"/>
                <w:sz w:val="17"/>
                <w:szCs w:val="17"/>
              </w:rPr>
              <w:t xml:space="preserve">Note</w:t>
            </w:r>
          </w:p>
        </w:tc>
      </w:tr>
      <w:tr>
        <w:tc>
          <w:tcPr>
            <w:tcW w:type="dxa" w:w="1400"/>
            <w:tcMar>
              <w:top w:type="dxa" w:w="55"/>
              <w:left w:type="dxa" w:w="90"/>
              <w:bottom w:type="dxa" w:w="55"/>
              <w:right w:type="dxa" w:w="90"/>
            </w:tcMar>
          </w:tcPr>
          <w:p>
            <w:r>
              <w:rPr>
                <w:b w:val="false"/>
                <w:bCs w:val="false"/>
                <w:sz w:val="17"/>
                <w:szCs w:val="17"/>
              </w:rPr>
              <w:t xml:space="preserve">Home</w:t>
            </w:r>
          </w:p>
        </w:tc>
        <w:tc>
          <w:tcPr>
            <w:tcW w:type="dxa" w:w="5460"/>
            <w:tcMar>
              <w:top w:type="dxa" w:w="55"/>
              <w:left w:type="dxa" w:w="90"/>
              <w:bottom w:type="dxa" w:w="55"/>
              <w:right w:type="dxa" w:w="90"/>
            </w:tcMar>
          </w:tcPr>
          <w:p>
            <w:r>
              <w:rPr>
                <w:b w:val="false"/>
                <w:bCs w:val="false"/>
                <w:sz w:val="17"/>
                <w:szCs w:val="17"/>
              </w:rPr>
              <w:t xml:space="preserve">Upcoming visit + prerequisites (POR-002)</w:t>
            </w:r>
          </w:p>
        </w:tc>
        <w:tc>
          <w:tcPr>
            <w:tcW w:type="dxa" w:w="2500"/>
            <w:tcMar>
              <w:top w:type="dxa" w:w="55"/>
              <w:left w:type="dxa" w:w="90"/>
              <w:bottom w:type="dxa" w:w="55"/>
              <w:right w:type="dxa" w:w="90"/>
            </w:tcMar>
          </w:tcPr>
          <w:p>
            <w:r>
              <w:rPr>
                <w:b w:val="false"/>
                <w:bCs w:val="false"/>
                <w:sz w:val="17"/>
                <w:szCs w:val="17"/>
              </w:rPr>
              <w:t xml:space="preserve">Landing view</w:t>
            </w:r>
          </w:p>
        </w:tc>
      </w:tr>
      <w:tr>
        <w:tc>
          <w:tcPr>
            <w:tcW w:type="dxa" w:w="1400"/>
            <w:shd w:fill="EAF2F6" w:val="clear"/>
            <w:tcMar>
              <w:top w:type="dxa" w:w="55"/>
              <w:left w:type="dxa" w:w="90"/>
              <w:bottom w:type="dxa" w:w="55"/>
              <w:right w:type="dxa" w:w="90"/>
            </w:tcMar>
          </w:tcPr>
          <w:p>
            <w:r>
              <w:rPr>
                <w:b w:val="false"/>
                <w:bCs w:val="false"/>
                <w:sz w:val="17"/>
                <w:szCs w:val="17"/>
              </w:rPr>
              <w:t xml:space="preserve">Appointments</w:t>
            </w:r>
          </w:p>
        </w:tc>
        <w:tc>
          <w:tcPr>
            <w:tcW w:type="dxa" w:w="5460"/>
            <w:shd w:fill="EAF2F6" w:val="clear"/>
            <w:tcMar>
              <w:top w:type="dxa" w:w="55"/>
              <w:left w:type="dxa" w:w="90"/>
              <w:bottom w:type="dxa" w:w="55"/>
              <w:right w:type="dxa" w:w="90"/>
            </w:tcMar>
          </w:tcPr>
          <w:p>
            <w:r>
              <w:rPr>
                <w:b w:val="false"/>
                <w:bCs w:val="false"/>
                <w:sz w:val="17"/>
                <w:szCs w:val="17"/>
              </w:rPr>
              <w:t xml:space="preserve">Book/reschedule, pre-visit questionnaires (POR-003)</w:t>
            </w:r>
          </w:p>
        </w:tc>
        <w:tc>
          <w:tcPr>
            <w:tcW w:type="dxa" w:w="2500"/>
            <w:shd w:fill="EAF2F6" w:val="clear"/>
            <w:tcMar>
              <w:top w:type="dxa" w:w="55"/>
              <w:left w:type="dxa" w:w="90"/>
              <w:bottom w:type="dxa" w:w="55"/>
              <w:right w:type="dxa" w:w="90"/>
            </w:tcMar>
          </w:tcPr>
          <w:p>
            <w:r>
              <w:rPr>
                <w:b w:val="false"/>
                <w:bCs w:val="false"/>
                <w:sz w:val="17"/>
                <w:szCs w:val="17"/>
              </w:rPr>
              <w:t xml:space="preserve"/>
            </w:r>
          </w:p>
        </w:tc>
      </w:tr>
      <w:tr>
        <w:tc>
          <w:tcPr>
            <w:tcW w:type="dxa" w:w="1400"/>
            <w:tcMar>
              <w:top w:type="dxa" w:w="55"/>
              <w:left w:type="dxa" w:w="90"/>
              <w:bottom w:type="dxa" w:w="55"/>
              <w:right w:type="dxa" w:w="90"/>
            </w:tcMar>
          </w:tcPr>
          <w:p>
            <w:r>
              <w:rPr>
                <w:b w:val="false"/>
                <w:bCs w:val="false"/>
                <w:sz w:val="17"/>
                <w:szCs w:val="17"/>
              </w:rPr>
              <w:t xml:space="preserve">My Records</w:t>
            </w:r>
          </w:p>
        </w:tc>
        <w:tc>
          <w:tcPr>
            <w:tcW w:type="dxa" w:w="5460"/>
            <w:tcMar>
              <w:top w:type="dxa" w:w="55"/>
              <w:left w:type="dxa" w:w="90"/>
              <w:bottom w:type="dxa" w:w="55"/>
              <w:right w:type="dxa" w:w="90"/>
            </w:tcMar>
          </w:tcPr>
          <w:p>
            <w:r>
              <w:rPr>
                <w:b w:val="false"/>
                <w:bCs w:val="false"/>
                <w:sz w:val="17"/>
                <w:szCs w:val="17"/>
              </w:rPr>
              <w:t xml:space="preserve">Released results, prescriptions, visit summaries (POR-004)</w:t>
            </w:r>
          </w:p>
        </w:tc>
        <w:tc>
          <w:tcPr>
            <w:tcW w:type="dxa" w:w="2500"/>
            <w:tcMar>
              <w:top w:type="dxa" w:w="55"/>
              <w:left w:type="dxa" w:w="90"/>
              <w:bottom w:type="dxa" w:w="55"/>
              <w:right w:type="dxa" w:w="90"/>
            </w:tcMar>
          </w:tcPr>
          <w:p>
            <w:r>
              <w:rPr>
                <w:b w:val="false"/>
                <w:bCs w:val="false"/>
                <w:sz w:val="17"/>
                <w:szCs w:val="17"/>
              </w:rPr>
              <w:t xml:space="preserve">Read-only, every view audited</w:t>
            </w:r>
          </w:p>
        </w:tc>
      </w:tr>
      <w:tr>
        <w:tc>
          <w:tcPr>
            <w:tcW w:type="dxa" w:w="1400"/>
            <w:shd w:fill="EAF2F6" w:val="clear"/>
            <w:tcMar>
              <w:top w:type="dxa" w:w="55"/>
              <w:left w:type="dxa" w:w="90"/>
              <w:bottom w:type="dxa" w:w="55"/>
              <w:right w:type="dxa" w:w="90"/>
            </w:tcMar>
          </w:tcPr>
          <w:p>
            <w:r>
              <w:rPr>
                <w:b w:val="false"/>
                <w:bCs w:val="false"/>
                <w:sz w:val="17"/>
                <w:szCs w:val="17"/>
              </w:rPr>
              <w:t xml:space="preserve">Billing</w:t>
            </w:r>
          </w:p>
        </w:tc>
        <w:tc>
          <w:tcPr>
            <w:tcW w:type="dxa" w:w="5460"/>
            <w:shd w:fill="EAF2F6" w:val="clear"/>
            <w:tcMar>
              <w:top w:type="dxa" w:w="55"/>
              <w:left w:type="dxa" w:w="90"/>
              <w:bottom w:type="dxa" w:w="55"/>
              <w:right w:type="dxa" w:w="90"/>
            </w:tcMar>
          </w:tcPr>
          <w:p>
            <w:r>
              <w:rPr>
                <w:b w:val="false"/>
                <w:bCs w:val="false"/>
                <w:sz w:val="17"/>
                <w:szCs w:val="17"/>
              </w:rPr>
              <w:t xml:space="preserve">Invoices, pay online (payment connector)</w:t>
            </w:r>
          </w:p>
        </w:tc>
        <w:tc>
          <w:tcPr>
            <w:tcW w:type="dxa" w:w="2500"/>
            <w:shd w:fill="EAF2F6" w:val="clear"/>
            <w:tcMar>
              <w:top w:type="dxa" w:w="55"/>
              <w:left w:type="dxa" w:w="90"/>
              <w:bottom w:type="dxa" w:w="55"/>
              <w:right w:type="dxa" w:w="90"/>
            </w:tcMar>
          </w:tcPr>
          <w:p>
            <w:r>
              <w:rPr>
                <w:b w:val="false"/>
                <w:bCs w:val="false"/>
                <w:sz w:val="17"/>
                <w:szCs w:val="17"/>
              </w:rPr>
              <w:t xml:space="preserve"/>
            </w:r>
          </w:p>
        </w:tc>
      </w:tr>
      <w:tr>
        <w:tc>
          <w:tcPr>
            <w:tcW w:type="dxa" w:w="1400"/>
            <w:tcMar>
              <w:top w:type="dxa" w:w="55"/>
              <w:left w:type="dxa" w:w="90"/>
              <w:bottom w:type="dxa" w:w="55"/>
              <w:right w:type="dxa" w:w="90"/>
            </w:tcMar>
          </w:tcPr>
          <w:p>
            <w:r>
              <w:rPr>
                <w:b w:val="false"/>
                <w:bCs w:val="false"/>
                <w:sz w:val="17"/>
                <w:szCs w:val="17"/>
              </w:rPr>
              <w:t xml:space="preserve">Profile</w:t>
            </w:r>
          </w:p>
        </w:tc>
        <w:tc>
          <w:tcPr>
            <w:tcW w:type="dxa" w:w="5460"/>
            <w:tcMar>
              <w:top w:type="dxa" w:w="55"/>
              <w:left w:type="dxa" w:w="90"/>
              <w:bottom w:type="dxa" w:w="55"/>
              <w:right w:type="dxa" w:w="90"/>
            </w:tcMar>
          </w:tcPr>
          <w:p>
            <w:r>
              <w:rPr>
                <w:b w:val="false"/>
                <w:bCs w:val="false"/>
                <w:sz w:val="17"/>
                <w:szCs w:val="17"/>
              </w:rPr>
              <w:t xml:space="preserve">Language, contact details, consent status</w:t>
            </w:r>
          </w:p>
        </w:tc>
        <w:tc>
          <w:tcPr>
            <w:tcW w:type="dxa" w:w="2500"/>
            <w:tcMar>
              <w:top w:type="dxa" w:w="55"/>
              <w:left w:type="dxa" w:w="90"/>
              <w:bottom w:type="dxa" w:w="55"/>
              <w:right w:type="dxa" w:w="90"/>
            </w:tcMar>
          </w:tcPr>
          <w:p>
            <w:r>
              <w:rPr>
                <w:b w:val="false"/>
                <w:bCs w:val="false"/>
                <w:sz w:val="17"/>
                <w:szCs w:val="17"/>
              </w:rPr>
              <w:t xml:space="preserve"/>
            </w:r>
          </w:p>
        </w:tc>
      </w:tr>
    </w:tbl>
    <w:p>
      <w:pPr>
        <w:spacing w:after="120" w:line="284"/>
        <w:jc w:val="both"/>
      </w:pPr>
      <w:r>
        <w:rPr>
          <w:sz w:val="22"/>
          <w:szCs w:val="22"/>
        </w:rPr>
        <w:t xml:space="preserve">Portal uses the SAME design tokens and component kit as the staff app (CLAUDE.md Part 1) but a mobile-first layout: bottom tab bar instead of a top nav, 44px touch targets, single-column. It should feel like the same product family, not a different app that happens to share a color.</w:t>
      </w:r>
    </w:p>
    <w:p>
      <w:pPr>
        <w:spacing w:after="150"/>
      </w:pPr>
    </w:p>
    <w:p>
      <w:pPr>
        <w:pStyle w:val="Heading1"/>
        <w:spacing w:after="120" w:before="300"/>
      </w:pPr>
      <w:r>
        <w:rPr>
          <w:color w:val="1F4E5F"/>
        </w:rPr>
        <w:t xml:space="preserve">6. Navigation Tree — Operator Console</w:t>
      </w:r>
    </w:p>
    <w:p>
      <w:pPr>
        <w:spacing w:after="120" w:line="284"/>
        <w:jc w:val="both"/>
      </w:pPr>
      <w:r>
        <w:rPr>
          <w:sz w:val="22"/>
          <w:szCs w:val="22"/>
        </w:rPr>
        <w:t xml:space="preserve">Structurally separate app shell (different route/audience, per the two-console rule already established for TEN-101+ and the Control Center). Never shares a nav bar with the tenant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5F" w:val="clear"/>
            <w:tcMar>
              <w:top w:type="dxa" w:w="55"/>
              <w:left w:type="dxa" w:w="90"/>
              <w:bottom w:type="dxa" w:w="55"/>
              <w:right w:type="dxa" w:w="90"/>
            </w:tcMar>
          </w:tcPr>
          <w:p>
            <w:r>
              <w:rPr>
                <w:b/>
                <w:bCs/>
                <w:color w:val="FFFFFF"/>
                <w:sz w:val="17"/>
                <w:szCs w:val="17"/>
              </w:rPr>
              <w:t xml:space="preserve">Nav group</w:t>
            </w:r>
          </w:p>
        </w:tc>
        <w:tc>
          <w:tcPr>
            <w:tcW w:type="dxa" w:w="7160"/>
            <w:shd w:fill="1F4E5F" w:val="clear"/>
            <w:tcMar>
              <w:top w:type="dxa" w:w="55"/>
              <w:left w:type="dxa" w:w="90"/>
              <w:bottom w:type="dxa" w:w="55"/>
              <w:right w:type="dxa" w:w="90"/>
            </w:tcMar>
          </w:tcPr>
          <w:p>
            <w:r>
              <w:rPr>
                <w:b/>
                <w:bCs/>
                <w:color w:val="FFFFFF"/>
                <w:sz w:val="17"/>
                <w:szCs w:val="17"/>
              </w:rPr>
              <w:t xml:space="preserve">Contains</w:t>
            </w:r>
          </w:p>
        </w:tc>
      </w:tr>
      <w:tr>
        <w:tc>
          <w:tcPr>
            <w:tcW w:type="dxa" w:w="2200"/>
            <w:tcMar>
              <w:top w:type="dxa" w:w="55"/>
              <w:left w:type="dxa" w:w="90"/>
              <w:bottom w:type="dxa" w:w="55"/>
              <w:right w:type="dxa" w:w="90"/>
            </w:tcMar>
          </w:tcPr>
          <w:p>
            <w:r>
              <w:rPr>
                <w:b w:val="false"/>
                <w:bCs w:val="false"/>
                <w:sz w:val="17"/>
                <w:szCs w:val="17"/>
              </w:rPr>
              <w:t xml:space="preserve">Tenants</w:t>
            </w:r>
          </w:p>
        </w:tc>
        <w:tc>
          <w:tcPr>
            <w:tcW w:type="dxa" w:w="7160"/>
            <w:tcMar>
              <w:top w:type="dxa" w:w="55"/>
              <w:left w:type="dxa" w:w="90"/>
              <w:bottom w:type="dxa" w:w="55"/>
              <w:right w:type="dxa" w:w="90"/>
            </w:tcMar>
          </w:tcPr>
          <w:p>
            <w:r>
              <w:rPr>
                <w:b w:val="false"/>
                <w:bCs w:val="false"/>
                <w:sz w:val="17"/>
                <w:szCs w:val="17"/>
              </w:rPr>
              <w:t xml:space="preserve">List, provision, status, wizard config, invitations</w:t>
            </w:r>
          </w:p>
        </w:tc>
      </w:tr>
      <w:tr>
        <w:tc>
          <w:tcPr>
            <w:tcW w:type="dxa" w:w="2200"/>
            <w:shd w:fill="EAF2F6" w:val="clear"/>
            <w:tcMar>
              <w:top w:type="dxa" w:w="55"/>
              <w:left w:type="dxa" w:w="90"/>
              <w:bottom w:type="dxa" w:w="55"/>
              <w:right w:type="dxa" w:w="90"/>
            </w:tcMar>
          </w:tcPr>
          <w:p>
            <w:r>
              <w:rPr>
                <w:b w:val="false"/>
                <w:bCs w:val="false"/>
                <w:sz w:val="17"/>
                <w:szCs w:val="17"/>
              </w:rPr>
              <w:t xml:space="preserve">Onboarding</w:t>
            </w:r>
          </w:p>
        </w:tc>
        <w:tc>
          <w:tcPr>
            <w:tcW w:type="dxa" w:w="7160"/>
            <w:shd w:fill="EAF2F6" w:val="clear"/>
            <w:tcMar>
              <w:top w:type="dxa" w:w="55"/>
              <w:left w:type="dxa" w:w="90"/>
              <w:bottom w:type="dxa" w:w="55"/>
              <w:right w:type="dxa" w:w="90"/>
            </w:tcMar>
          </w:tcPr>
          <w:p>
            <w:r>
              <w:rPr>
                <w:b w:val="false"/>
                <w:bCs w:val="false"/>
                <w:sz w:val="17"/>
                <w:szCs w:val="17"/>
              </w:rPr>
              <w:t xml:space="preserve">Migration staging/reconciliation, readiness checklist, go-live</w:t>
            </w:r>
          </w:p>
        </w:tc>
      </w:tr>
      <w:tr>
        <w:tc>
          <w:tcPr>
            <w:tcW w:type="dxa" w:w="2200"/>
            <w:tcMar>
              <w:top w:type="dxa" w:w="55"/>
              <w:left w:type="dxa" w:w="90"/>
              <w:bottom w:type="dxa" w:w="55"/>
              <w:right w:type="dxa" w:w="90"/>
            </w:tcMar>
          </w:tcPr>
          <w:p>
            <w:r>
              <w:rPr>
                <w:b w:val="false"/>
                <w:bCs w:val="false"/>
                <w:sz w:val="17"/>
                <w:szCs w:val="17"/>
              </w:rPr>
              <w:t xml:space="preserve">Billing Ops</w:t>
            </w:r>
          </w:p>
        </w:tc>
        <w:tc>
          <w:tcPr>
            <w:tcW w:type="dxa" w:w="7160"/>
            <w:tcMar>
              <w:top w:type="dxa" w:w="55"/>
              <w:left w:type="dxa" w:w="90"/>
              <w:bottom w:type="dxa" w:w="55"/>
              <w:right w:type="dxa" w:w="90"/>
            </w:tcMar>
          </w:tcPr>
          <w:p>
            <w:r>
              <w:rPr>
                <w:b w:val="false"/>
                <w:bCs w:val="false"/>
                <w:sz w:val="17"/>
                <w:szCs w:val="17"/>
              </w:rPr>
              <w:t xml:space="preserve">Subscription invoicing, Aarogyasri/PMJAY claims (if this genuinely belongs here — see note below)</w:t>
            </w:r>
          </w:p>
        </w:tc>
      </w:tr>
      <w:tr>
        <w:tc>
          <w:tcPr>
            <w:tcW w:type="dxa" w:w="2200"/>
            <w:shd w:fill="EAF2F6" w:val="clear"/>
            <w:tcMar>
              <w:top w:type="dxa" w:w="55"/>
              <w:left w:type="dxa" w:w="90"/>
              <w:bottom w:type="dxa" w:w="55"/>
              <w:right w:type="dxa" w:w="90"/>
            </w:tcMar>
          </w:tcPr>
          <w:p>
            <w:r>
              <w:rPr>
                <w:b w:val="false"/>
                <w:bCs w:val="false"/>
                <w:sz w:val="17"/>
                <w:szCs w:val="17"/>
              </w:rPr>
              <w:t xml:space="preserve">Platform Health</w:t>
            </w:r>
          </w:p>
        </w:tc>
        <w:tc>
          <w:tcPr>
            <w:tcW w:type="dxa" w:w="7160"/>
            <w:shd w:fill="EAF2F6" w:val="clear"/>
            <w:tcMar>
              <w:top w:type="dxa" w:w="55"/>
              <w:left w:type="dxa" w:w="90"/>
              <w:bottom w:type="dxa" w:w="55"/>
              <w:right w:type="dxa" w:w="90"/>
            </w:tcMar>
          </w:tcPr>
          <w:p>
            <w:r>
              <w:rPr>
                <w:b w:val="false"/>
                <w:bCs w:val="false"/>
                <w:sz w:val="17"/>
                <w:szCs w:val="17"/>
              </w:rPr>
              <w:t xml:space="preserve">Metrics, alerts (TEN-3xx Control Center, when built)</w:t>
            </w:r>
          </w:p>
        </w:tc>
      </w:tr>
      <w:tr>
        <w:tc>
          <w:tcPr>
            <w:tcW w:type="dxa" w:w="2200"/>
            <w:tcMar>
              <w:top w:type="dxa" w:w="55"/>
              <w:left w:type="dxa" w:w="90"/>
              <w:bottom w:type="dxa" w:w="55"/>
              <w:right w:type="dxa" w:w="90"/>
            </w:tcMar>
          </w:tcPr>
          <w:p>
            <w:r>
              <w:rPr>
                <w:b w:val="false"/>
                <w:bCs w:val="false"/>
                <w:sz w:val="17"/>
                <w:szCs w:val="17"/>
              </w:rPr>
              <w:t xml:space="preserve">Governance</w:t>
            </w:r>
          </w:p>
        </w:tc>
        <w:tc>
          <w:tcPr>
            <w:tcW w:type="dxa" w:w="7160"/>
            <w:tcMar>
              <w:top w:type="dxa" w:w="55"/>
              <w:left w:type="dxa" w:w="90"/>
              <w:bottom w:type="dxa" w:w="55"/>
              <w:right w:type="dxa" w:w="90"/>
            </w:tcMar>
          </w:tcPr>
          <w:p>
            <w:r>
              <w:rPr>
                <w:b w:val="false"/>
                <w:bCs w:val="false"/>
                <w:sz w:val="17"/>
                <w:szCs w:val="17"/>
              </w:rPr>
              <w:t xml:space="preserve">Suspend/override actions, audit search — always reason-gated and logged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BEEDC" w:val="clear"/>
            <w:tcMar>
              <w:top w:type="dxa" w:w="110"/>
              <w:left w:type="dxa" w:w="150"/>
              <w:bottom w:type="dxa" w:w="110"/>
              <w:right w:type="dxa" w:w="150"/>
            </w:tcMar>
          </w:tcPr>
          <w:p>
            <w:r>
              <w:rPr>
                <w:b/>
                <w:bCs/>
                <w:color w:val="8A4B08"/>
                <w:sz w:val="20"/>
                <w:szCs w:val="20"/>
              </w:rPr>
              <w:t xml:space="preserve">Standing note, carried from earlier review.  </w:t>
            </w:r>
          </w:p>
          <w:p>
            <w:pPr>
              <w:spacing w:before="40"/>
            </w:pPr>
            <w:r>
              <w:rPr>
                <w:color w:val="5A4326"/>
                <w:sz w:val="20"/>
                <w:szCs w:val="20"/>
              </w:rPr>
              <w:t xml:space="preserve">Aarogyasri/PMJAY pre-auth CLAIM BUILDING is patient-level clinical/billing work and belongs in the tenant Billing nav (Section 4), done by the hospital's own billing clerk for their own patients. The Operator Console should at most show an AGGREGATE count of claims per tenant — never patient-level claim details. If TEN-302 currently renders patient claim data inside the Operator Console, that's a placement bug to fix during Sprint E4, not a navigation choice to formalize here.</w:t>
            </w:r>
          </w:p>
        </w:tc>
      </w:tr>
    </w:tbl>
    <w:p>
      <w:pPr>
        <w:spacing w:after="150"/>
      </w:pPr>
    </w:p>
    <w:p>
      <w:pPr>
        <w:pStyle w:val="Heading1"/>
        <w:spacing w:after="120" w:before="300"/>
      </w:pPr>
      <w:r>
        <w:rPr>
          <w:color w:val="1F4E5F"/>
        </w:rPr>
        <w:t xml:space="preserve">7. Cross-Cutting UI Fixes (the likely sources of 'unorganized')</w:t>
      </w:r>
    </w:p>
    <w:p>
      <w:pPr>
        <w:spacing w:after="120" w:line="284"/>
        <w:jc w:val="both"/>
      </w:pPr>
      <w:r>
        <w:rPr>
          <w:sz w:val="22"/>
          <w:szCs w:val="22"/>
        </w:rPr>
        <w:t xml:space="preserve">Beyond navigation structure, these are the specific things that make a set of individually-fine screens feel like a pile. Each maps to an existing CLAUDE.md rule that may have drifted during rapid sprint building — this is a consistency PASS, not new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60"/>
      </w:tblGrid>
      <w:tr>
        <w:trPr>
          <w:tblHeader/>
        </w:trPr>
        <w:tc>
          <w:tcPr>
            <w:tcW w:type="dxa" w:w="2300"/>
            <w:shd w:fill="1F4E5F" w:val="clear"/>
            <w:tcMar>
              <w:top w:type="dxa" w:w="55"/>
              <w:left w:type="dxa" w:w="90"/>
              <w:bottom w:type="dxa" w:w="55"/>
              <w:right w:type="dxa" w:w="90"/>
            </w:tcMar>
          </w:tcPr>
          <w:p>
            <w:r>
              <w:rPr>
                <w:b/>
                <w:bCs/>
                <w:color w:val="FFFFFF"/>
                <w:sz w:val="17"/>
                <w:szCs w:val="17"/>
              </w:rPr>
              <w:t xml:space="preserve">Symptom</w:t>
            </w:r>
          </w:p>
        </w:tc>
        <w:tc>
          <w:tcPr>
            <w:tcW w:type="dxa" w:w="3200"/>
            <w:shd w:fill="1F4E5F" w:val="clear"/>
            <w:tcMar>
              <w:top w:type="dxa" w:w="55"/>
              <w:left w:type="dxa" w:w="90"/>
              <w:bottom w:type="dxa" w:w="55"/>
              <w:right w:type="dxa" w:w="90"/>
            </w:tcMar>
          </w:tcPr>
          <w:p>
            <w:r>
              <w:rPr>
                <w:b/>
                <w:bCs/>
                <w:color w:val="FFFFFF"/>
                <w:sz w:val="17"/>
                <w:szCs w:val="17"/>
              </w:rPr>
              <w:t xml:space="preserve">Likely cause</w:t>
            </w:r>
          </w:p>
        </w:tc>
        <w:tc>
          <w:tcPr>
            <w:tcW w:type="dxa" w:w="3860"/>
            <w:shd w:fill="1F4E5F" w:val="clear"/>
            <w:tcMar>
              <w:top w:type="dxa" w:w="55"/>
              <w:left w:type="dxa" w:w="90"/>
              <w:bottom w:type="dxa" w:w="55"/>
              <w:right w:type="dxa" w:w="90"/>
            </w:tcMar>
          </w:tcPr>
          <w:p>
            <w:r>
              <w:rPr>
                <w:b/>
                <w:bCs/>
                <w:color w:val="FFFFFF"/>
                <w:sz w:val="17"/>
                <w:szCs w:val="17"/>
              </w:rPr>
              <w:t xml:space="preserve">Fix</w:t>
            </w:r>
          </w:p>
        </w:tc>
      </w:tr>
      <w:tr>
        <w:tc>
          <w:tcPr>
            <w:tcW w:type="dxa" w:w="2300"/>
            <w:tcMar>
              <w:top w:type="dxa" w:w="55"/>
              <w:left w:type="dxa" w:w="90"/>
              <w:bottom w:type="dxa" w:w="55"/>
              <w:right w:type="dxa" w:w="90"/>
            </w:tcMar>
          </w:tcPr>
          <w:p>
            <w:r>
              <w:rPr>
                <w:b w:val="false"/>
                <w:bCs w:val="false"/>
                <w:sz w:val="17"/>
                <w:szCs w:val="17"/>
              </w:rPr>
              <w:t xml:space="preserve">Screens feel visually inconsistent</w:t>
            </w:r>
          </w:p>
        </w:tc>
        <w:tc>
          <w:tcPr>
            <w:tcW w:type="dxa" w:w="3200"/>
            <w:tcMar>
              <w:top w:type="dxa" w:w="55"/>
              <w:left w:type="dxa" w:w="90"/>
              <w:bottom w:type="dxa" w:w="55"/>
              <w:right w:type="dxa" w:w="90"/>
            </w:tcMar>
          </w:tcPr>
          <w:p>
            <w:r>
              <w:rPr>
                <w:b w:val="false"/>
                <w:bCs w:val="false"/>
                <w:sz w:val="17"/>
                <w:szCs w:val="17"/>
              </w:rPr>
              <w:t xml:space="preserve">Components built ad hoc per sprint instead of reusing src/ui kit</w:t>
            </w:r>
          </w:p>
        </w:tc>
        <w:tc>
          <w:tcPr>
            <w:tcW w:type="dxa" w:w="3860"/>
            <w:tcMar>
              <w:top w:type="dxa" w:w="55"/>
              <w:left w:type="dxa" w:w="90"/>
              <w:bottom w:type="dxa" w:w="55"/>
              <w:right w:type="dxa" w:w="90"/>
            </w:tcMar>
          </w:tcPr>
          <w:p>
            <w:r>
              <w:rPr>
                <w:b w:val="false"/>
                <w:bCs w:val="false"/>
                <w:sz w:val="17"/>
                <w:szCs w:val="17"/>
              </w:rPr>
              <w:t xml:space="preserve">Audit every screen against src/ui/components.tsx; anything with an inline hex/px value gets swapped for a token or a missing primitive gets added to the kit, not one-offed again</w:t>
            </w:r>
          </w:p>
        </w:tc>
      </w:tr>
      <w:tr>
        <w:tc>
          <w:tcPr>
            <w:tcW w:type="dxa" w:w="2300"/>
            <w:shd w:fill="EAF2F6" w:val="clear"/>
            <w:tcMar>
              <w:top w:type="dxa" w:w="55"/>
              <w:left w:type="dxa" w:w="90"/>
              <w:bottom w:type="dxa" w:w="55"/>
              <w:right w:type="dxa" w:w="90"/>
            </w:tcMar>
          </w:tcPr>
          <w:p>
            <w:r>
              <w:rPr>
                <w:b w:val="false"/>
                <w:bCs w:val="false"/>
                <w:sz w:val="17"/>
                <w:szCs w:val="17"/>
              </w:rPr>
              <w:t xml:space="preserve">Unclear where to go next</w:t>
            </w:r>
          </w:p>
        </w:tc>
        <w:tc>
          <w:tcPr>
            <w:tcW w:type="dxa" w:w="3200"/>
            <w:shd w:fill="EAF2F6" w:val="clear"/>
            <w:tcMar>
              <w:top w:type="dxa" w:w="55"/>
              <w:left w:type="dxa" w:w="90"/>
              <w:bottom w:type="dxa" w:w="55"/>
              <w:right w:type="dxa" w:w="90"/>
            </w:tcMar>
          </w:tcPr>
          <w:p>
            <w:r>
              <w:rPr>
                <w:b w:val="false"/>
                <w:bCs w:val="false"/>
                <w:sz w:val="17"/>
                <w:szCs w:val="17"/>
              </w:rPr>
              <w:t xml:space="preserve">Flat/duplicated nav items across sprints (E1–E4 each may have added ad hoc links)</w:t>
            </w:r>
          </w:p>
        </w:tc>
        <w:tc>
          <w:tcPr>
            <w:tcW w:type="dxa" w:w="3860"/>
            <w:shd w:fill="EAF2F6" w:val="clear"/>
            <w:tcMar>
              <w:top w:type="dxa" w:w="55"/>
              <w:left w:type="dxa" w:w="90"/>
              <w:bottom w:type="dxa" w:w="55"/>
              <w:right w:type="dxa" w:w="90"/>
            </w:tcMar>
          </w:tcPr>
          <w:p>
            <w:r>
              <w:rPr>
                <w:b w:val="false"/>
                <w:bCs w:val="false"/>
                <w:sz w:val="17"/>
                <w:szCs w:val="17"/>
              </w:rPr>
              <w:t xml:space="preserve">Apply the nav trees in Sections 4–6 exactly; remove anything not in these tables or fold it in one level down</w:t>
            </w:r>
          </w:p>
        </w:tc>
      </w:tr>
      <w:tr>
        <w:tc>
          <w:tcPr>
            <w:tcW w:type="dxa" w:w="2300"/>
            <w:tcMar>
              <w:top w:type="dxa" w:w="55"/>
              <w:left w:type="dxa" w:w="90"/>
              <w:bottom w:type="dxa" w:w="55"/>
              <w:right w:type="dxa" w:w="90"/>
            </w:tcMar>
          </w:tcPr>
          <w:p>
            <w:r>
              <w:rPr>
                <w:b w:val="false"/>
                <w:bCs w:val="false"/>
                <w:sz w:val="17"/>
                <w:szCs w:val="17"/>
              </w:rPr>
              <w:t xml:space="preserve">Empty/loading/error states missing or inconsistent</w:t>
            </w:r>
          </w:p>
        </w:tc>
        <w:tc>
          <w:tcPr>
            <w:tcW w:type="dxa" w:w="3200"/>
            <w:tcMar>
              <w:top w:type="dxa" w:w="55"/>
              <w:left w:type="dxa" w:w="90"/>
              <w:bottom w:type="dxa" w:w="55"/>
              <w:right w:type="dxa" w:w="90"/>
            </w:tcMar>
          </w:tcPr>
          <w:p>
            <w:r>
              <w:rPr>
                <w:b w:val="false"/>
                <w:bCs w:val="false"/>
                <w:sz w:val="17"/>
                <w:szCs w:val="17"/>
              </w:rPr>
              <w:t xml:space="preserve">Fast sprint pace deprioritized non-happy-path states</w:t>
            </w:r>
          </w:p>
        </w:tc>
        <w:tc>
          <w:tcPr>
            <w:tcW w:type="dxa" w:w="3860"/>
            <w:tcMar>
              <w:top w:type="dxa" w:w="55"/>
              <w:left w:type="dxa" w:w="90"/>
              <w:bottom w:type="dxa" w:w="55"/>
              <w:right w:type="dxa" w:w="90"/>
            </w:tcMar>
          </w:tcPr>
          <w:p>
            <w:r>
              <w:rPr>
                <w:b w:val="false"/>
                <w:bCs w:val="false"/>
                <w:sz w:val="17"/>
                <w:szCs w:val="17"/>
              </w:rPr>
              <w:t xml:space="preserve">Sweep per CLAUDE.md DoD: every screen needs all 4 states; track as a punch list, screen by screen</w:t>
            </w:r>
          </w:p>
        </w:tc>
      </w:tr>
      <w:tr>
        <w:tc>
          <w:tcPr>
            <w:tcW w:type="dxa" w:w="2300"/>
            <w:shd w:fill="EAF2F6" w:val="clear"/>
            <w:tcMar>
              <w:top w:type="dxa" w:w="55"/>
              <w:left w:type="dxa" w:w="90"/>
              <w:bottom w:type="dxa" w:w="55"/>
              <w:right w:type="dxa" w:w="90"/>
            </w:tcMar>
          </w:tcPr>
          <w:p>
            <w:r>
              <w:rPr>
                <w:b w:val="false"/>
                <w:bCs w:val="false"/>
                <w:sz w:val="17"/>
                <w:szCs w:val="17"/>
              </w:rPr>
              <w:t xml:space="preserve">Feels different in English vs Telugu</w:t>
            </w:r>
          </w:p>
        </w:tc>
        <w:tc>
          <w:tcPr>
            <w:tcW w:type="dxa" w:w="3200"/>
            <w:shd w:fill="EAF2F6" w:val="clear"/>
            <w:tcMar>
              <w:top w:type="dxa" w:w="55"/>
              <w:left w:type="dxa" w:w="90"/>
              <w:bottom w:type="dxa" w:w="55"/>
              <w:right w:type="dxa" w:w="90"/>
            </w:tcMar>
          </w:tcPr>
          <w:p>
            <w:r>
              <w:rPr>
                <w:b w:val="false"/>
                <w:bCs w:val="false"/>
                <w:sz w:val="17"/>
                <w:szCs w:val="17"/>
              </w:rPr>
              <w:t xml:space="preserve">i18n added after some screens were already hardcoded</w:t>
            </w:r>
          </w:p>
        </w:tc>
        <w:tc>
          <w:tcPr>
            <w:tcW w:type="dxa" w:w="3860"/>
            <w:shd w:fill="EAF2F6" w:val="clear"/>
            <w:tcMar>
              <w:top w:type="dxa" w:w="55"/>
              <w:left w:type="dxa" w:w="90"/>
              <w:bottom w:type="dxa" w:w="55"/>
              <w:right w:type="dxa" w:w="90"/>
            </w:tcMar>
          </w:tcPr>
          <w:p>
            <w:r>
              <w:rPr>
                <w:b w:val="false"/>
                <w:bCs w:val="false"/>
                <w:sz w:val="17"/>
                <w:szCs w:val="17"/>
              </w:rPr>
              <w:t xml:space="preserve">Grep for string literals in JSX (lint rule exists — confirm it's enforced in CI, not just documented)</w:t>
            </w:r>
          </w:p>
        </w:tc>
      </w:tr>
      <w:tr>
        <w:tc>
          <w:tcPr>
            <w:tcW w:type="dxa" w:w="2300"/>
            <w:tcMar>
              <w:top w:type="dxa" w:w="55"/>
              <w:left w:type="dxa" w:w="90"/>
              <w:bottom w:type="dxa" w:w="55"/>
              <w:right w:type="dxa" w:w="90"/>
            </w:tcMar>
          </w:tcPr>
          <w:p>
            <w:r>
              <w:rPr>
                <w:b w:val="false"/>
                <w:bCs w:val="false"/>
                <w:sz w:val="17"/>
                <w:szCs w:val="17"/>
              </w:rPr>
              <w:t xml:space="preserve">Landing experience feels like 'pick a module' rather than 'here's my day'</w:t>
            </w:r>
          </w:p>
        </w:tc>
        <w:tc>
          <w:tcPr>
            <w:tcW w:type="dxa" w:w="3200"/>
            <w:tcMar>
              <w:top w:type="dxa" w:w="55"/>
              <w:left w:type="dxa" w:w="90"/>
              <w:bottom w:type="dxa" w:w="55"/>
              <w:right w:type="dxa" w:w="90"/>
            </w:tcMar>
          </w:tcPr>
          <w:p>
            <w:r>
              <w:rPr>
                <w:b w:val="false"/>
                <w:bCs w:val="false"/>
                <w:sz w:val="17"/>
                <w:szCs w:val="17"/>
              </w:rPr>
              <w:t xml:space="preserve">No role-specific home view existed before this document</w:t>
            </w:r>
          </w:p>
        </w:tc>
        <w:tc>
          <w:tcPr>
            <w:tcW w:type="dxa" w:w="3860"/>
            <w:tcMar>
              <w:top w:type="dxa" w:w="55"/>
              <w:left w:type="dxa" w:w="90"/>
              <w:bottom w:type="dxa" w:w="55"/>
              <w:right w:type="dxa" w:w="90"/>
            </w:tcMar>
          </w:tcPr>
          <w:p>
            <w:r>
              <w:rPr>
                <w:b w:val="false"/>
                <w:bCs w:val="false"/>
                <w:sz w:val="17"/>
                <w:szCs w:val="17"/>
              </w:rPr>
              <w:t xml:space="preserve">Build the thin per-role landing views in Section 3 — mostly composition of existing data, not new screens</w:t>
            </w:r>
          </w:p>
        </w:tc>
      </w:tr>
    </w:tbl>
    <w:p>
      <w:pPr>
        <w:spacing w:after="150"/>
      </w:pPr>
    </w:p>
    <w:p>
      <w:pPr>
        <w:pStyle w:val="Heading1"/>
        <w:spacing w:after="120" w:before="300"/>
      </w:pPr>
      <w:r>
        <w:rPr>
          <w:color w:val="1F4E5F"/>
        </w:rPr>
        <w:t xml:space="preserve">8. Recommended Sequencing</w:t>
      </w:r>
    </w:p>
    <w:p>
      <w:pPr>
        <w:spacing w:after="120" w:line="284"/>
        <w:jc w:val="both"/>
      </w:pPr>
      <w:r>
        <w:rPr>
          <w:sz w:val="22"/>
          <w:szCs w:val="22"/>
        </w:rPr>
        <w:t xml:space="preserve">This is a short, high-leverage pass, not a new sprint's worth of features — most of the work is organizing and composing screens that already exist.</w:t>
      </w:r>
    </w:p>
    <w:p>
      <w:pPr>
        <w:pStyle w:val="ListParagraph"/>
        <w:numPr>
          <w:ilvl w:val="0"/>
          <w:numId w:val="1"/>
        </w:numPr>
        <w:spacing w:after="60" w:line="270"/>
      </w:pPr>
      <w:r>
        <w:rPr>
          <w:sz w:val="21"/>
          <w:szCs w:val="21"/>
        </w:rPr>
        <w:t xml:space="preserve">Step 1 — Build the 4 thin role-landing views (physician 'My Schedule', billing worklist, admin dashboard+readiness banner, patient upcoming-visit-first if not already default) — these are filters/compositions over existing endpoints, not new backend work.</w:t>
      </w:r>
    </w:p>
    <w:p>
      <w:pPr>
        <w:pStyle w:val="ListParagraph"/>
        <w:numPr>
          <w:ilvl w:val="0"/>
          <w:numId w:val="1"/>
        </w:numPr>
        <w:spacing w:after="60" w:line="270"/>
      </w:pPr>
      <w:r>
        <w:rPr>
          <w:sz w:val="21"/>
          <w:szCs w:val="21"/>
        </w:rPr>
        <w:t xml:space="preserve">Step 2 — Reconcile the actual current nav component against Sections 4–6; remove/relocate anything that doesn't match, including moving Aarogyasri claim-building out of the Operator Console if it's there.</w:t>
      </w:r>
    </w:p>
    <w:p>
      <w:pPr>
        <w:pStyle w:val="ListParagraph"/>
        <w:numPr>
          <w:ilvl w:val="0"/>
          <w:numId w:val="1"/>
        </w:numPr>
        <w:spacing w:after="60" w:line="270"/>
      </w:pPr>
      <w:r>
        <w:rPr>
          <w:sz w:val="21"/>
          <w:szCs w:val="21"/>
        </w:rPr>
        <w:t xml:space="preserve">Step 3 — Run the 4-states + i18n + design-token audit from Section 7 as a screen-by-screen checklist, fixing as you go.</w:t>
      </w:r>
    </w:p>
    <w:p>
      <w:pPr>
        <w:pStyle w:val="ListParagraph"/>
        <w:numPr>
          <w:ilvl w:val="0"/>
          <w:numId w:val="1"/>
        </w:numPr>
        <w:spacing w:after="60" w:line="270"/>
      </w:pPr>
      <w:r>
        <w:rPr>
          <w:sz w:val="21"/>
          <w:szCs w:val="21"/>
        </w:rPr>
        <w:t xml:space="preserve">Step 4 — Re-run the two flagship Playwright specs after nav changes to confirm testids didn't move (update selectors if screens relocated).</w:t>
      </w:r>
    </w:p>
    <w:p>
      <w:pPr>
        <w:spacing w:after="150"/>
      </w:pPr>
    </w:p>
    <w:p>
      <w:pPr>
        <w:spacing w:after="120" w:line="284"/>
        <w:jc w:val="both"/>
      </w:pPr>
      <w:r>
        <w:rPr>
          <w:sz w:val="22"/>
          <w:szCs w:val="22"/>
        </w:rPr>
        <w:t xml:space="preserve">The output of this pass should be visible in one sentence per role: a receptionist opens the app and sees who's arriving; a physician sees today's list and a signed note ends with a follow-up date; a billing clerk sees what's unpaid; an admin sees the clinic's health and whether setup is finished; a patient sees what to do before their next visit. If any role's first screen doesn't answer 'what do I do right now,' that role's landing view isn't done yet.</w:t>
      </w:r>
    </w:p>
    <w:sectPr>
      <w:footerReference w:type="default" r:id="rId7"/>
      <w:pgSz w:w="12240" w:h="15840" w:orient="portrait"/>
      <w:pgMar w:top="1150" w:right="940" w:bottom="115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Information Architecture &amp; Role Navigation Plan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sz w:val="29"/>
      <w:szCs w:val="29"/>
    </w:rPr>
  </w:style>
  <w:style w:type="paragraph" w:styleId="Heading2">
    <w:name w:val="Heading 2"/>
    <w:basedOn w:val="Normal"/>
    <w:next w:val="Normal"/>
    <w:qFormat/>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2026-07-25T17:34:03.926Z</dcterms:created>
  <dcterms:modified xsi:type="dcterms:W3CDTF">2026-07-25T17:34:03.941Z</dcterms:modified>
</cp:coreProperties>
</file>

<file path=docProps/custom.xml><?xml version="1.0" encoding="utf-8"?>
<Properties xmlns="http://schemas.openxmlformats.org/officeDocument/2006/custom-properties" xmlns:vt="http://schemas.openxmlformats.org/officeDocument/2006/docPropsVTypes"/>
</file>