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
      </w:pPr>
      <w:r>
        <w:rPr>
          <w:b/>
          <w:bCs/>
          <w:color w:val="1F4E5F"/>
          <w:sz w:val="32"/>
          <w:szCs w:val="32"/>
        </w:rPr>
        <w:t xml:space="preserve">Operator Identity Hardening &amp; Staff Invite Verification</w:t>
      </w:r>
    </w:p>
    <w:p>
      <w:pPr>
        <w:spacing w:after="180"/>
      </w:pPr>
      <w:r>
        <w:rPr>
          <w:i/>
          <w:iCs/>
          <w:color w:val="555555"/>
          <w:sz w:val="22"/>
          <w:szCs w:val="22"/>
        </w:rPr>
        <w:t xml:space="preserve">Two small, concrete fixes surfaced from a routine question: why does the operator account show tenant_id: apollo?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FBEEDC" w:val="clear"/>
            <w:tcMar>
              <w:top w:type="dxa" w:w="110"/>
              <w:left w:type="dxa" w:w="150"/>
              <w:bottom w:type="dxa" w:w="110"/>
              <w:right w:type="dxa" w:w="150"/>
            </w:tcMar>
          </w:tcPr>
          <w:p>
            <w:r>
              <w:rPr>
                <w:b/>
                <w:bCs/>
                <w:color w:val="8A4B08"/>
                <w:sz w:val="20"/>
                <w:szCs w:val="20"/>
              </w:rPr>
              <w:t xml:space="preserve">Context — why this matters.  </w:t>
            </w:r>
          </w:p>
          <w:p>
            <w:pPr>
              <w:spacing w:before="40"/>
            </w:pPr>
            <w:r>
              <w:rPr>
                <w:color w:val="5A4326"/>
                <w:sz w:val="20"/>
                <w:szCs w:val="20"/>
              </w:rPr>
              <w:t xml:space="preserve">Today's operator write paths correctly ignore the token's tenant_id and rebind to the explicit target tenant (proven by test_operator_target_tenant_context_isolation and the suspend/override/offboard isolation tests). That discipline is real and tested. But it's enforced per-handler, not structurally impossible to violate. If operator@zensynq.com's token carries tenant_id: apollo, a future endpoint that reads ctx.tenant_id directly instead of an explicit target parameter would SILENTLY act as apollo — a real tenant — instead of failing loudly. This doc removes that latent footgun and closes a second, unrelated open question about whether staff invites actually work end to end.</w:t>
            </w:r>
          </w:p>
        </w:tc>
      </w:tr>
    </w:tbl>
    <w:p>
      <w:pPr>
        <w:spacing w:after="150"/>
      </w:pPr>
    </w:p>
    <w:p>
      <w:pPr>
        <w:pStyle w:val="Heading1"/>
        <w:spacing w:after="120" w:before="280"/>
      </w:pPr>
      <w:r>
        <w:rPr>
          <w:color w:val="1F4E5F"/>
        </w:rPr>
        <w:t xml:space="preserve">Part 1 — Operator Identity Should Never Resemble a Real Tenant</w:t>
      </w:r>
    </w:p>
    <w:p>
      <w:pPr>
        <w:spacing w:after="120" w:line="284"/>
        <w:jc w:val="both"/>
      </w:pPr>
      <w:r>
        <w:rPr>
          <w:sz w:val="22"/>
          <w:szCs w:val="22"/>
        </w:rPr>
        <w:t xml:space="preserve">The operator account's Keycloak profile currently has tenant_id = 'apollo', most likely leftover from being cloned/templated off a real staff user during setup rather than a deliberate choice. Fix it so any future code path that accidentally trusts the token's tenant_id fails loudly instead of silently succeeding against a real hospital's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3200"/>
            <w:shd w:fill="1F4E5F" w:val="clear"/>
            <w:tcMar>
              <w:top w:type="dxa" w:w="55"/>
              <w:left w:type="dxa" w:w="90"/>
              <w:bottom w:type="dxa" w:w="55"/>
              <w:right w:type="dxa" w:w="90"/>
            </w:tcMar>
          </w:tcPr>
          <w:p>
            <w:r>
              <w:rPr>
                <w:b/>
                <w:bCs/>
                <w:color w:val="FFFFFF"/>
                <w:sz w:val="17"/>
                <w:szCs w:val="17"/>
              </w:rPr>
              <w:t xml:space="preserve">Task</w:t>
            </w:r>
          </w:p>
        </w:tc>
        <w:tc>
          <w:tcPr>
            <w:tcW w:type="dxa" w:w="5660"/>
            <w:shd w:fill="1F4E5F" w:val="clear"/>
            <w:tcMar>
              <w:top w:type="dxa" w:w="55"/>
              <w:left w:type="dxa" w:w="90"/>
              <w:bottom w:type="dxa" w:w="55"/>
              <w:right w:type="dxa" w:w="90"/>
            </w:tcMar>
          </w:tcPr>
          <w:p>
            <w:r>
              <w:rPr>
                <w:b/>
                <w:bCs/>
                <w:color w:val="FFFFFF"/>
                <w:sz w:val="17"/>
                <w:szCs w:val="17"/>
              </w:rPr>
              <w:t xml:space="preserve">Detail</w:t>
            </w:r>
          </w:p>
        </w:tc>
      </w:tr>
      <w:tr>
        <w:tc>
          <w:tcPr>
            <w:tcW w:type="dxa" w:w="500"/>
            <w:tcMar>
              <w:top w:type="dxa" w:w="55"/>
              <w:left w:type="dxa" w:w="90"/>
              <w:bottom w:type="dxa" w:w="55"/>
              <w:right w:type="dxa" w:w="90"/>
            </w:tcMar>
          </w:tcPr>
          <w:p>
            <w:r>
              <w:rPr>
                <w:b w:val="false"/>
                <w:bCs w:val="false"/>
                <w:sz w:val="17"/>
                <w:szCs w:val="17"/>
              </w:rPr>
              <w:t xml:space="preserve">P1-01</w:t>
            </w:r>
          </w:p>
        </w:tc>
        <w:tc>
          <w:tcPr>
            <w:tcW w:type="dxa" w:w="3200"/>
            <w:tcMar>
              <w:top w:type="dxa" w:w="55"/>
              <w:left w:type="dxa" w:w="90"/>
              <w:bottom w:type="dxa" w:w="55"/>
              <w:right w:type="dxa" w:w="90"/>
            </w:tcMar>
          </w:tcPr>
          <w:p>
            <w:r>
              <w:rPr>
                <w:b w:val="false"/>
                <w:bCs w:val="false"/>
                <w:sz w:val="17"/>
                <w:szCs w:val="17"/>
              </w:rPr>
              <w:t xml:space="preserve">Change the operator's tenant_id attribute in Keycloak</w:t>
            </w:r>
          </w:p>
        </w:tc>
        <w:tc>
          <w:tcPr>
            <w:tcW w:type="dxa" w:w="5660"/>
            <w:tcMar>
              <w:top w:type="dxa" w:w="55"/>
              <w:left w:type="dxa" w:w="90"/>
              <w:bottom w:type="dxa" w:w="55"/>
              <w:right w:type="dxa" w:w="90"/>
            </w:tcMar>
          </w:tcPr>
          <w:p>
            <w:r>
              <w:rPr>
                <w:b w:val="false"/>
                <w:bCs w:val="false"/>
                <w:sz w:val="17"/>
                <w:szCs w:val="17"/>
              </w:rPr>
              <w:t xml:space="preserve">In the hms realm admin console, edit operator@zensynq.com's user attributes. Change tenant_id from apollo to a sentinel value that can never be a real tenant slug — recommend __platform__ or __operator__ (the leading/trailing underscores make it visually and programmatically distinct from real slugs like apollo, kims).</w:t>
            </w:r>
          </w:p>
        </w:tc>
      </w:tr>
      <w:tr>
        <w:tc>
          <w:tcPr>
            <w:tcW w:type="dxa" w:w="500"/>
            <w:shd w:fill="EAF2F6" w:val="clear"/>
            <w:tcMar>
              <w:top w:type="dxa" w:w="55"/>
              <w:left w:type="dxa" w:w="90"/>
              <w:bottom w:type="dxa" w:w="55"/>
              <w:right w:type="dxa" w:w="90"/>
            </w:tcMar>
          </w:tcPr>
          <w:p>
            <w:r>
              <w:rPr>
                <w:b w:val="false"/>
                <w:bCs w:val="false"/>
                <w:sz w:val="17"/>
                <w:szCs w:val="17"/>
              </w:rPr>
              <w:t xml:space="preserve">P1-02</w:t>
            </w:r>
          </w:p>
        </w:tc>
        <w:tc>
          <w:tcPr>
            <w:tcW w:type="dxa" w:w="3200"/>
            <w:shd w:fill="EAF2F6" w:val="clear"/>
            <w:tcMar>
              <w:top w:type="dxa" w:w="55"/>
              <w:left w:type="dxa" w:w="90"/>
              <w:bottom w:type="dxa" w:w="55"/>
              <w:right w:type="dxa" w:w="90"/>
            </w:tcMar>
          </w:tcPr>
          <w:p>
            <w:r>
              <w:rPr>
                <w:b w:val="false"/>
                <w:bCs w:val="false"/>
                <w:sz w:val="17"/>
                <w:szCs w:val="17"/>
              </w:rPr>
              <w:t xml:space="preserve">Confirm the app.tenant_id custom claim mapper picks up the new value</w:t>
            </w:r>
          </w:p>
        </w:tc>
        <w:tc>
          <w:tcPr>
            <w:tcW w:type="dxa" w:w="5660"/>
            <w:shd w:fill="EAF2F6" w:val="clear"/>
            <w:tcMar>
              <w:top w:type="dxa" w:w="55"/>
              <w:left w:type="dxa" w:w="90"/>
              <w:bottom w:type="dxa" w:w="55"/>
              <w:right w:type="dxa" w:w="90"/>
            </w:tcMar>
          </w:tcPr>
          <w:p>
            <w:r>
              <w:rPr>
                <w:b w:val="false"/>
                <w:bCs w:val="false"/>
                <w:sz w:val="17"/>
                <w:szCs w:val="17"/>
              </w:rPr>
              <w:t xml:space="preserve">Log in as operator@zensynq.com through the real browser OIDC flow (not password grant, not dev token). Decode the resulting JWT and confirm app.tenant_id now reads the sentinel value, not apollo.</w:t>
            </w:r>
          </w:p>
        </w:tc>
      </w:tr>
      <w:tr>
        <w:tc>
          <w:tcPr>
            <w:tcW w:type="dxa" w:w="500"/>
            <w:tcMar>
              <w:top w:type="dxa" w:w="55"/>
              <w:left w:type="dxa" w:w="90"/>
              <w:bottom w:type="dxa" w:w="55"/>
              <w:right w:type="dxa" w:w="90"/>
            </w:tcMar>
          </w:tcPr>
          <w:p>
            <w:r>
              <w:rPr>
                <w:b w:val="false"/>
                <w:bCs w:val="false"/>
                <w:sz w:val="17"/>
                <w:szCs w:val="17"/>
              </w:rPr>
              <w:t xml:space="preserve">P1-03</w:t>
            </w:r>
          </w:p>
        </w:tc>
        <w:tc>
          <w:tcPr>
            <w:tcW w:type="dxa" w:w="3200"/>
            <w:tcMar>
              <w:top w:type="dxa" w:w="55"/>
              <w:left w:type="dxa" w:w="90"/>
              <w:bottom w:type="dxa" w:w="55"/>
              <w:right w:type="dxa" w:w="90"/>
            </w:tcMar>
          </w:tcPr>
          <w:p>
            <w:r>
              <w:rPr>
                <w:b w:val="false"/>
                <w:bCs w:val="false"/>
                <w:sz w:val="17"/>
                <w:szCs w:val="17"/>
              </w:rPr>
              <w:t xml:space="preserve">Re-run the operator isolation test suite</w:t>
            </w:r>
          </w:p>
        </w:tc>
        <w:tc>
          <w:tcPr>
            <w:tcW w:type="dxa" w:w="5660"/>
            <w:tcMar>
              <w:top w:type="dxa" w:w="55"/>
              <w:left w:type="dxa" w:w="90"/>
              <w:bottom w:type="dxa" w:w="55"/>
              <w:right w:type="dxa" w:w="90"/>
            </w:tcMar>
          </w:tcPr>
          <w:p>
            <w:r>
              <w:rPr>
                <w:b w:val="false"/>
                <w:bCs w:val="false"/>
                <w:sz w:val="17"/>
                <w:szCs w:val="17"/>
              </w:rPr>
              <w:t xml:space="preserve">docker compose exec plt pytest -v tests/test_tenant_isolation.py -k operator — all operator-context tests must still pass with the new sentinel identity. If any test hardcoded 'apollo' as the operator's OWN tenant_id (as opposed to the target tenant under test), fix that test — it was relying on the same coincidence this doc is removing.</w:t>
            </w:r>
          </w:p>
        </w:tc>
      </w:tr>
      <w:tr>
        <w:tc>
          <w:tcPr>
            <w:tcW w:type="dxa" w:w="500"/>
            <w:shd w:fill="EAF2F6" w:val="clear"/>
            <w:tcMar>
              <w:top w:type="dxa" w:w="55"/>
              <w:left w:type="dxa" w:w="90"/>
              <w:bottom w:type="dxa" w:w="55"/>
              <w:right w:type="dxa" w:w="90"/>
            </w:tcMar>
          </w:tcPr>
          <w:p>
            <w:r>
              <w:rPr>
                <w:b w:val="false"/>
                <w:bCs w:val="false"/>
                <w:sz w:val="17"/>
                <w:szCs w:val="17"/>
              </w:rPr>
              <w:t xml:space="preserve">P1-04</w:t>
            </w:r>
          </w:p>
        </w:tc>
        <w:tc>
          <w:tcPr>
            <w:tcW w:type="dxa" w:w="3200"/>
            <w:shd w:fill="EAF2F6" w:val="clear"/>
            <w:tcMar>
              <w:top w:type="dxa" w:w="55"/>
              <w:left w:type="dxa" w:w="90"/>
              <w:bottom w:type="dxa" w:w="55"/>
              <w:right w:type="dxa" w:w="90"/>
            </w:tcMar>
          </w:tcPr>
          <w:p>
            <w:r>
              <w:rPr>
                <w:b w:val="false"/>
                <w:bCs w:val="false"/>
                <w:sz w:val="17"/>
                <w:szCs w:val="17"/>
              </w:rPr>
              <w:t xml:space="preserve">Grep for any code that reads ctx.tenant_id without a tenant_id path/body parameter present</w:t>
            </w:r>
          </w:p>
        </w:tc>
        <w:tc>
          <w:tcPr>
            <w:tcW w:type="dxa" w:w="5660"/>
            <w:shd w:fill="EAF2F6" w:val="clear"/>
            <w:tcMar>
              <w:top w:type="dxa" w:w="55"/>
              <w:left w:type="dxa" w:w="90"/>
              <w:bottom w:type="dxa" w:w="55"/>
              <w:right w:type="dxa" w:w="90"/>
            </w:tcMar>
          </w:tcPr>
          <w:p>
            <w:r>
              <w:rPr>
                <w:b w:val="false"/>
                <w:bCs w:val="false"/>
                <w:sz w:val="17"/>
                <w:szCs w:val="17"/>
              </w:rPr>
              <w:t xml:space="preserve">grep -rn 'ctx.tenant_id' services/plt/app/routers/ — for every operator-only route, confirm the actual DB write path uses the explicit target parameter (tenant_session(session, ctx, tenant_id=tenant_id)), never ctx.tenant_id alone. Any exception found is a real bug — file it immediately, don't defer.</w:t>
            </w:r>
          </w:p>
        </w:tc>
      </w:tr>
      <w:tr>
        <w:tc>
          <w:tcPr>
            <w:tcW w:type="dxa" w:w="500"/>
            <w:tcMar>
              <w:top w:type="dxa" w:w="55"/>
              <w:left w:type="dxa" w:w="90"/>
              <w:bottom w:type="dxa" w:w="55"/>
              <w:right w:type="dxa" w:w="90"/>
            </w:tcMar>
          </w:tcPr>
          <w:p>
            <w:r>
              <w:rPr>
                <w:b w:val="false"/>
                <w:bCs w:val="false"/>
                <w:sz w:val="17"/>
                <w:szCs w:val="17"/>
              </w:rPr>
              <w:t xml:space="preserve">P1-05</w:t>
            </w:r>
          </w:p>
        </w:tc>
        <w:tc>
          <w:tcPr>
            <w:tcW w:type="dxa" w:w="3200"/>
            <w:tcMar>
              <w:top w:type="dxa" w:w="55"/>
              <w:left w:type="dxa" w:w="90"/>
              <w:bottom w:type="dxa" w:w="55"/>
              <w:right w:type="dxa" w:w="90"/>
            </w:tcMar>
          </w:tcPr>
          <w:p>
            <w:r>
              <w:rPr>
                <w:b w:val="false"/>
                <w:bCs w:val="false"/>
                <w:sz w:val="17"/>
                <w:szCs w:val="17"/>
              </w:rPr>
              <w:t xml:space="preserve">Add one explicit test: operator token has NO real-tenant tenant_id</w:t>
            </w:r>
          </w:p>
        </w:tc>
        <w:tc>
          <w:tcPr>
            <w:tcW w:type="dxa" w:w="5660"/>
            <w:tcMar>
              <w:top w:type="dxa" w:w="55"/>
              <w:left w:type="dxa" w:w="90"/>
              <w:bottom w:type="dxa" w:w="55"/>
              <w:right w:type="dxa" w:w="90"/>
            </w:tcMar>
          </w:tcPr>
          <w:p>
            <w:r>
              <w:rPr>
                <w:b w:val="false"/>
                <w:bCs w:val="false"/>
                <w:sz w:val="17"/>
                <w:szCs w:val="17"/>
              </w:rPr>
              <w:t xml:space="preserve">A new isolation test asserting that if ctx.tenant_id (from the operator's own token) is ever used by mistake in an operator write path, it resolves to the sentinel and fails (404/403), not to a real tenant's data. This turns the fix into a permanent regression guard, not a one-time cleanup.</w:t>
            </w:r>
          </w:p>
        </w:tc>
      </w:tr>
    </w:tbl>
    <w:p>
      <w:pPr>
        <w:spacing w:after="150"/>
      </w:pPr>
    </w:p>
    <w:p>
      <w:pPr>
        <w:pStyle w:val="Heading1"/>
        <w:spacing w:after="120" w:before="280"/>
      </w:pPr>
      <w:r>
        <w:rPr>
          <w:color w:val="1F4E5F"/>
        </w:rPr>
        <w:t xml:space="preserve">Part 2 — Verify Staff Invitations Actually Work End to End</w:t>
      </w:r>
    </w:p>
    <w:p>
      <w:pPr>
        <w:spacing w:after="120" w:line="284"/>
        <w:jc w:val="both"/>
      </w:pPr>
      <w:r>
        <w:rPr>
          <w:sz w:val="22"/>
          <w:szCs w:val="22"/>
        </w:rPr>
        <w:t xml:space="preserve">The UI walkthrough states that after 'Send Invitation,' the invited staff member can log in. This needs to be verified as real behavior, not assumed from the button existing. Two very different outcomes are possible: the invite either provisions a real Keycloak account with an activation flow, or it only writes a database row and Keycloak is never touched — in which case the invited person cannot actually sign in, and the walkthrough is describing something that doesn't work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3200"/>
            <w:shd w:fill="1F4E5F" w:val="clear"/>
            <w:tcMar>
              <w:top w:type="dxa" w:w="55"/>
              <w:left w:type="dxa" w:w="90"/>
              <w:bottom w:type="dxa" w:w="55"/>
              <w:right w:type="dxa" w:w="90"/>
            </w:tcMar>
          </w:tcPr>
          <w:p>
            <w:r>
              <w:rPr>
                <w:b/>
                <w:bCs/>
                <w:color w:val="FFFFFF"/>
                <w:sz w:val="17"/>
                <w:szCs w:val="17"/>
              </w:rPr>
              <w:t xml:space="preserve">Task</w:t>
            </w:r>
          </w:p>
        </w:tc>
        <w:tc>
          <w:tcPr>
            <w:tcW w:type="dxa" w:w="5660"/>
            <w:shd w:fill="1F4E5F" w:val="clear"/>
            <w:tcMar>
              <w:top w:type="dxa" w:w="55"/>
              <w:left w:type="dxa" w:w="90"/>
              <w:bottom w:type="dxa" w:w="55"/>
              <w:right w:type="dxa" w:w="90"/>
            </w:tcMar>
          </w:tcPr>
          <w:p>
            <w:r>
              <w:rPr>
                <w:b/>
                <w:bCs/>
                <w:color w:val="FFFFFF"/>
                <w:sz w:val="17"/>
                <w:szCs w:val="17"/>
              </w:rPr>
              <w:t xml:space="preserve">Detail</w:t>
            </w:r>
          </w:p>
        </w:tc>
      </w:tr>
      <w:tr>
        <w:tc>
          <w:tcPr>
            <w:tcW w:type="dxa" w:w="500"/>
            <w:tcMar>
              <w:top w:type="dxa" w:w="55"/>
              <w:left w:type="dxa" w:w="90"/>
              <w:bottom w:type="dxa" w:w="55"/>
              <w:right w:type="dxa" w:w="90"/>
            </w:tcMar>
          </w:tcPr>
          <w:p>
            <w:r>
              <w:rPr>
                <w:b w:val="false"/>
                <w:bCs w:val="false"/>
                <w:sz w:val="17"/>
                <w:szCs w:val="17"/>
              </w:rPr>
              <w:t xml:space="preserve">P2-01</w:t>
            </w:r>
          </w:p>
        </w:tc>
        <w:tc>
          <w:tcPr>
            <w:tcW w:type="dxa" w:w="3200"/>
            <w:tcMar>
              <w:top w:type="dxa" w:w="55"/>
              <w:left w:type="dxa" w:w="90"/>
              <w:bottom w:type="dxa" w:w="55"/>
              <w:right w:type="dxa" w:w="90"/>
            </w:tcMar>
          </w:tcPr>
          <w:p>
            <w:r>
              <w:rPr>
                <w:b w:val="false"/>
                <w:bCs w:val="false"/>
                <w:sz w:val="17"/>
                <w:szCs w:val="17"/>
              </w:rPr>
              <w:t xml:space="preserve">Trace the invite endpoint's implementation</w:t>
            </w:r>
          </w:p>
        </w:tc>
        <w:tc>
          <w:tcPr>
            <w:tcW w:type="dxa" w:w="5660"/>
            <w:tcMar>
              <w:top w:type="dxa" w:w="55"/>
              <w:left w:type="dxa" w:w="90"/>
              <w:bottom w:type="dxa" w:w="55"/>
              <w:right w:type="dxa" w:w="90"/>
            </w:tcMar>
          </w:tcPr>
          <w:p>
            <w:r>
              <w:rPr>
                <w:b w:val="false"/>
                <w:bCs w:val="false"/>
                <w:sz w:val="17"/>
                <w:szCs w:val="17"/>
              </w:rPr>
              <w:t xml:space="preserve">Open the handler behind POST /tenants/{tenant_id}/invitations (or equivalent). Does it call out to Keycloak's admin API to create a user, or does it only INSERT into a local invitations/staff table?</w:t>
            </w:r>
          </w:p>
        </w:tc>
      </w:tr>
      <w:tr>
        <w:tc>
          <w:tcPr>
            <w:tcW w:type="dxa" w:w="500"/>
            <w:shd w:fill="EAF2F6" w:val="clear"/>
            <w:tcMar>
              <w:top w:type="dxa" w:w="55"/>
              <w:left w:type="dxa" w:w="90"/>
              <w:bottom w:type="dxa" w:w="55"/>
              <w:right w:type="dxa" w:w="90"/>
            </w:tcMar>
          </w:tcPr>
          <w:p>
            <w:r>
              <w:rPr>
                <w:b w:val="false"/>
                <w:bCs w:val="false"/>
                <w:sz w:val="17"/>
                <w:szCs w:val="17"/>
              </w:rPr>
              <w:t xml:space="preserve">P2-02</w:t>
            </w:r>
          </w:p>
        </w:tc>
        <w:tc>
          <w:tcPr>
            <w:tcW w:type="dxa" w:w="3200"/>
            <w:shd w:fill="EAF2F6" w:val="clear"/>
            <w:tcMar>
              <w:top w:type="dxa" w:w="55"/>
              <w:left w:type="dxa" w:w="90"/>
              <w:bottom w:type="dxa" w:w="55"/>
              <w:right w:type="dxa" w:w="90"/>
            </w:tcMar>
          </w:tcPr>
          <w:p>
            <w:r>
              <w:rPr>
                <w:b w:val="false"/>
                <w:bCs w:val="false"/>
                <w:sz w:val="17"/>
                <w:szCs w:val="17"/>
              </w:rPr>
              <w:t xml:space="preserve">Send a real invitation and check Keycloak directly</w:t>
            </w:r>
          </w:p>
        </w:tc>
        <w:tc>
          <w:tcPr>
            <w:tcW w:type="dxa" w:w="5660"/>
            <w:shd w:fill="EAF2F6" w:val="clear"/>
            <w:tcMar>
              <w:top w:type="dxa" w:w="55"/>
              <w:left w:type="dxa" w:w="90"/>
              <w:bottom w:type="dxa" w:w="55"/>
              <w:right w:type="dxa" w:w="90"/>
            </w:tcMar>
          </w:tcPr>
          <w:p>
            <w:r>
              <w:rPr>
                <w:b w:val="false"/>
                <w:bCs w:val="false"/>
                <w:sz w:val="17"/>
                <w:szCs w:val="17"/>
              </w:rPr>
              <w:t xml:space="preserve">Through the UI, invite a test email under a test tenant. Then check the hms realm's Users list in Keycloak admin — does a new user now exist for that email?</w:t>
            </w:r>
          </w:p>
        </w:tc>
      </w:tr>
      <w:tr>
        <w:tc>
          <w:tcPr>
            <w:tcW w:type="dxa" w:w="500"/>
            <w:tcMar>
              <w:top w:type="dxa" w:w="55"/>
              <w:left w:type="dxa" w:w="90"/>
              <w:bottom w:type="dxa" w:w="55"/>
              <w:right w:type="dxa" w:w="90"/>
            </w:tcMar>
          </w:tcPr>
          <w:p>
            <w:r>
              <w:rPr>
                <w:b w:val="false"/>
                <w:bCs w:val="false"/>
                <w:sz w:val="17"/>
                <w:szCs w:val="17"/>
              </w:rPr>
              <w:t xml:space="preserve">P2-03</w:t>
            </w:r>
          </w:p>
        </w:tc>
        <w:tc>
          <w:tcPr>
            <w:tcW w:type="dxa" w:w="3200"/>
            <w:tcMar>
              <w:top w:type="dxa" w:w="55"/>
              <w:left w:type="dxa" w:w="90"/>
              <w:bottom w:type="dxa" w:w="55"/>
              <w:right w:type="dxa" w:w="90"/>
            </w:tcMar>
          </w:tcPr>
          <w:p>
            <w:r>
              <w:rPr>
                <w:b w:val="false"/>
                <w:bCs w:val="false"/>
                <w:sz w:val="17"/>
                <w:szCs w:val="17"/>
              </w:rPr>
              <w:t xml:space="preserve">If a Keycloak user IS created: verify the activation path</w:t>
            </w:r>
          </w:p>
        </w:tc>
        <w:tc>
          <w:tcPr>
            <w:tcW w:type="dxa" w:w="5660"/>
            <w:tcMar>
              <w:top w:type="dxa" w:w="55"/>
              <w:left w:type="dxa" w:w="90"/>
              <w:bottom w:type="dxa" w:w="55"/>
              <w:right w:type="dxa" w:w="90"/>
            </w:tcMar>
          </w:tcPr>
          <w:p>
            <w:r>
              <w:rPr>
                <w:b w:val="false"/>
                <w:bCs w:val="false"/>
                <w:sz w:val="17"/>
                <w:szCs w:val="17"/>
              </w:rPr>
              <w:t xml:space="preserve">Confirm there's a real password-set/first-login flow (e.g. Keycloak's required actions, or a magic link) — not a account that exists but has no way for the invitee to ever set a password and log in.</w:t>
            </w:r>
          </w:p>
        </w:tc>
      </w:tr>
      <w:tr>
        <w:tc>
          <w:tcPr>
            <w:tcW w:type="dxa" w:w="500"/>
            <w:shd w:fill="EAF2F6" w:val="clear"/>
            <w:tcMar>
              <w:top w:type="dxa" w:w="55"/>
              <w:left w:type="dxa" w:w="90"/>
              <w:bottom w:type="dxa" w:w="55"/>
              <w:right w:type="dxa" w:w="90"/>
            </w:tcMar>
          </w:tcPr>
          <w:p>
            <w:r>
              <w:rPr>
                <w:b w:val="false"/>
                <w:bCs w:val="false"/>
                <w:sz w:val="17"/>
                <w:szCs w:val="17"/>
              </w:rPr>
              <w:t xml:space="preserve">P2-04</w:t>
            </w:r>
          </w:p>
        </w:tc>
        <w:tc>
          <w:tcPr>
            <w:tcW w:type="dxa" w:w="3200"/>
            <w:shd w:fill="EAF2F6" w:val="clear"/>
            <w:tcMar>
              <w:top w:type="dxa" w:w="55"/>
              <w:left w:type="dxa" w:w="90"/>
              <w:bottom w:type="dxa" w:w="55"/>
              <w:right w:type="dxa" w:w="90"/>
            </w:tcMar>
          </w:tcPr>
          <w:p>
            <w:r>
              <w:rPr>
                <w:b w:val="false"/>
                <w:bCs w:val="false"/>
                <w:sz w:val="17"/>
                <w:szCs w:val="17"/>
              </w:rPr>
              <w:t xml:space="preserve">If a Keycloak user is NOT created: this is a real gap, not a documentation issue</w:t>
            </w:r>
          </w:p>
        </w:tc>
        <w:tc>
          <w:tcPr>
            <w:tcW w:type="dxa" w:w="5660"/>
            <w:shd w:fill="EAF2F6" w:val="clear"/>
            <w:tcMar>
              <w:top w:type="dxa" w:w="55"/>
              <w:left w:type="dxa" w:w="90"/>
              <w:bottom w:type="dxa" w:w="55"/>
              <w:right w:type="dxa" w:w="90"/>
            </w:tcMar>
          </w:tcPr>
          <w:p>
            <w:r>
              <w:rPr>
                <w:b w:val="false"/>
                <w:bCs w:val="false"/>
                <w:sz w:val="17"/>
                <w:szCs w:val="17"/>
              </w:rPr>
              <w:t xml:space="preserve">The invite currently only records intent, not identity. Scope the actual fix: call Keycloak's admin API on invite (create user, set required action UPDATE_PASSWORD, assign the realm role, send the activation email or return an activation link). This is real backend work — size it as its own ticket, don't fold it silently into this doc.</w:t>
            </w:r>
          </w:p>
        </w:tc>
      </w:tr>
      <w:tr>
        <w:tc>
          <w:tcPr>
            <w:tcW w:type="dxa" w:w="500"/>
            <w:tcMar>
              <w:top w:type="dxa" w:w="55"/>
              <w:left w:type="dxa" w:w="90"/>
              <w:bottom w:type="dxa" w:w="55"/>
              <w:right w:type="dxa" w:w="90"/>
            </w:tcMar>
          </w:tcPr>
          <w:p>
            <w:r>
              <w:rPr>
                <w:b w:val="false"/>
                <w:bCs w:val="false"/>
                <w:sz w:val="17"/>
                <w:szCs w:val="17"/>
              </w:rPr>
              <w:t xml:space="preserve">P2-05</w:t>
            </w:r>
          </w:p>
        </w:tc>
        <w:tc>
          <w:tcPr>
            <w:tcW w:type="dxa" w:w="3200"/>
            <w:tcMar>
              <w:top w:type="dxa" w:w="55"/>
              <w:left w:type="dxa" w:w="90"/>
              <w:bottom w:type="dxa" w:w="55"/>
              <w:right w:type="dxa" w:w="90"/>
            </w:tcMar>
          </w:tcPr>
          <w:p>
            <w:r>
              <w:rPr>
                <w:b w:val="false"/>
                <w:bCs w:val="false"/>
                <w:sz w:val="17"/>
                <w:szCs w:val="17"/>
              </w:rPr>
              <w:t xml:space="preserve">End-to-end proof once fixed (or confirmed already working)</w:t>
            </w:r>
          </w:p>
        </w:tc>
        <w:tc>
          <w:tcPr>
            <w:tcW w:type="dxa" w:w="5660"/>
            <w:tcMar>
              <w:top w:type="dxa" w:w="55"/>
              <w:left w:type="dxa" w:w="90"/>
              <w:bottom w:type="dxa" w:w="55"/>
              <w:right w:type="dxa" w:w="90"/>
            </w:tcMar>
          </w:tcPr>
          <w:p>
            <w:r>
              <w:rPr>
                <w:b w:val="false"/>
                <w:bCs w:val="false"/>
                <w:sz w:val="17"/>
                <w:szCs w:val="17"/>
              </w:rPr>
              <w:t xml:space="preserve">Full loop: invite → Keycloak user appears → invitee completes activation → invitee logs in via the real browser OIDC flow → lands on their role's correct screen with correct permissions. Paste the literal evidence (Keycloak admin screenshot showing the user, and the real login walkthrough) — same standard as every other claim in this project.</w:t>
            </w:r>
          </w:p>
        </w:tc>
      </w:tr>
    </w:tbl>
    <w:p>
      <w:pPr>
        <w:spacing w:after="150"/>
      </w:pPr>
    </w:p>
    <w:p>
      <w:pPr>
        <w:pStyle w:val="Heading1"/>
        <w:spacing w:after="120" w:before="280"/>
      </w:pPr>
      <w:r>
        <w:rPr>
          <w:color w:val="1F4E5F"/>
        </w:rPr>
        <w:t xml:space="preserve">Why These Are Bundled Together</w:t>
      </w:r>
    </w:p>
    <w:p>
      <w:pPr>
        <w:spacing w:after="120" w:line="284"/>
        <w:jc w:val="both"/>
      </w:pPr>
      <w:r>
        <w:rPr>
          <w:sz w:val="22"/>
          <w:szCs w:val="22"/>
        </w:rPr>
        <w:t xml:space="preserve">Both items came from the same five-minute question about the operator's tenant_id, and both are small, well-scoped, and don't require redesigning anything — they harden an assumption (operator identity) and verify an assumption (staff invites actually provision access). Neither should take more than a day combined. Do Part 1 first since it's fully self-contained; Part 2's outcome (P2-01) determines whether Part 2 is a five-minute confirmation or a real new ticket.</w:t>
      </w:r>
    </w:p>
    <w:p>
      <w:pPr>
        <w:spacing w:after="150"/>
      </w:pPr>
    </w:p>
    <w:p>
      <w:pPr>
        <w:pStyle w:val="Heading1"/>
        <w:spacing w:after="120" w:before="280"/>
      </w:pPr>
      <w:r>
        <w:rPr>
          <w:color w:val="1F4E5F"/>
        </w:rPr>
        <w:t xml:space="preserve">Definition of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shd w:fill="1F4E5F" w:val="clear"/>
            <w:tcMar>
              <w:top w:type="dxa" w:w="55"/>
              <w:left w:type="dxa" w:w="90"/>
              <w:bottom w:type="dxa" w:w="55"/>
              <w:right w:type="dxa" w:w="90"/>
            </w:tcMar>
          </w:tcPr>
          <w:p>
            <w:r>
              <w:rPr>
                <w:b/>
                <w:bCs/>
                <w:color w:val="FFFFFF"/>
                <w:sz w:val="17"/>
                <w:szCs w:val="17"/>
              </w:rPr>
              <w:t xml:space="preserve">#</w:t>
            </w:r>
          </w:p>
        </w:tc>
        <w:tc>
          <w:tcPr>
            <w:tcW w:type="dxa" w:w="8860"/>
            <w:shd w:fill="1F4E5F" w:val="clear"/>
            <w:tcMar>
              <w:top w:type="dxa" w:w="55"/>
              <w:left w:type="dxa" w:w="90"/>
              <w:bottom w:type="dxa" w:w="55"/>
              <w:right w:type="dxa" w:w="90"/>
            </w:tcMar>
          </w:tcPr>
          <w:p>
            <w:r>
              <w:rPr>
                <w:b/>
                <w:bCs/>
                <w:color w:val="FFFFFF"/>
                <w:sz w:val="17"/>
                <w:szCs w:val="17"/>
              </w:rPr>
              <w:t xml:space="preserve">Check</w:t>
            </w:r>
          </w:p>
        </w:tc>
      </w:tr>
      <w:tr>
        <w:tc>
          <w:tcPr>
            <w:tcW w:type="dxa" w:w="500"/>
            <w:tcMar>
              <w:top w:type="dxa" w:w="55"/>
              <w:left w:type="dxa" w:w="90"/>
              <w:bottom w:type="dxa" w:w="55"/>
              <w:right w:type="dxa" w:w="90"/>
            </w:tcMar>
          </w:tcPr>
          <w:p>
            <w:r>
              <w:rPr>
                <w:b w:val="false"/>
                <w:bCs w:val="false"/>
                <w:sz w:val="17"/>
                <w:szCs w:val="17"/>
              </w:rPr>
              <w:t xml:space="preserve">1</w:t>
            </w:r>
          </w:p>
        </w:tc>
        <w:tc>
          <w:tcPr>
            <w:tcW w:type="dxa" w:w="8860"/>
            <w:tcMar>
              <w:top w:type="dxa" w:w="55"/>
              <w:left w:type="dxa" w:w="90"/>
              <w:bottom w:type="dxa" w:w="55"/>
              <w:right w:type="dxa" w:w="90"/>
            </w:tcMar>
          </w:tcPr>
          <w:p>
            <w:r>
              <w:rPr>
                <w:b w:val="false"/>
                <w:bCs w:val="false"/>
                <w:sz w:val="17"/>
                <w:szCs w:val="17"/>
              </w:rPr>
              <w:t xml:space="preserve">Operator's Keycloak tenant_id is a sentinel, never a real tenant slug; confirmed via a real decoded JWT, not assumed from the config change alone.</w:t>
            </w:r>
          </w:p>
        </w:tc>
      </w:tr>
      <w:tr>
        <w:tc>
          <w:tcPr>
            <w:tcW w:type="dxa" w:w="500"/>
            <w:shd w:fill="EAF2F6" w:val="clear"/>
            <w:tcMar>
              <w:top w:type="dxa" w:w="55"/>
              <w:left w:type="dxa" w:w="90"/>
              <w:bottom w:type="dxa" w:w="55"/>
              <w:right w:type="dxa" w:w="90"/>
            </w:tcMar>
          </w:tcPr>
          <w:p>
            <w:r>
              <w:rPr>
                <w:b w:val="false"/>
                <w:bCs w:val="false"/>
                <w:sz w:val="17"/>
                <w:szCs w:val="17"/>
              </w:rPr>
              <w:t xml:space="preserve">2</w:t>
            </w:r>
          </w:p>
        </w:tc>
        <w:tc>
          <w:tcPr>
            <w:tcW w:type="dxa" w:w="8860"/>
            <w:shd w:fill="EAF2F6" w:val="clear"/>
            <w:tcMar>
              <w:top w:type="dxa" w:w="55"/>
              <w:left w:type="dxa" w:w="90"/>
              <w:bottom w:type="dxa" w:w="55"/>
              <w:right w:type="dxa" w:w="90"/>
            </w:tcMar>
          </w:tcPr>
          <w:p>
            <w:r>
              <w:rPr>
                <w:b w:val="false"/>
                <w:bCs w:val="false"/>
                <w:sz w:val="17"/>
                <w:szCs w:val="17"/>
              </w:rPr>
              <w:t xml:space="preserve">All operator isolation tests still pass under the new identity; any test that quietly relied on 'apollo' as the operator's own tenant is fixed.</w:t>
            </w:r>
          </w:p>
        </w:tc>
      </w:tr>
      <w:tr>
        <w:tc>
          <w:tcPr>
            <w:tcW w:type="dxa" w:w="500"/>
            <w:tcMar>
              <w:top w:type="dxa" w:w="55"/>
              <w:left w:type="dxa" w:w="90"/>
              <w:bottom w:type="dxa" w:w="55"/>
              <w:right w:type="dxa" w:w="90"/>
            </w:tcMar>
          </w:tcPr>
          <w:p>
            <w:r>
              <w:rPr>
                <w:b w:val="false"/>
                <w:bCs w:val="false"/>
                <w:sz w:val="17"/>
                <w:szCs w:val="17"/>
              </w:rPr>
              <w:t xml:space="preserve">3</w:t>
            </w:r>
          </w:p>
        </w:tc>
        <w:tc>
          <w:tcPr>
            <w:tcW w:type="dxa" w:w="8860"/>
            <w:tcMar>
              <w:top w:type="dxa" w:w="55"/>
              <w:left w:type="dxa" w:w="90"/>
              <w:bottom w:type="dxa" w:w="55"/>
              <w:right w:type="dxa" w:w="90"/>
            </w:tcMar>
          </w:tcPr>
          <w:p>
            <w:r>
              <w:rPr>
                <w:b w:val="false"/>
                <w:bCs w:val="false"/>
                <w:sz w:val="17"/>
                <w:szCs w:val="17"/>
              </w:rPr>
              <w:t xml:space="preserve">A grep-confirmed statement of whether any operator route reads ctx.tenant_id unsafely — with zero found, or with each finding filed and fixed.</w:t>
            </w:r>
          </w:p>
        </w:tc>
      </w:tr>
      <w:tr>
        <w:tc>
          <w:tcPr>
            <w:tcW w:type="dxa" w:w="500"/>
            <w:shd w:fill="EAF2F6" w:val="clear"/>
            <w:tcMar>
              <w:top w:type="dxa" w:w="55"/>
              <w:left w:type="dxa" w:w="90"/>
              <w:bottom w:type="dxa" w:w="55"/>
              <w:right w:type="dxa" w:w="90"/>
            </w:tcMar>
          </w:tcPr>
          <w:p>
            <w:r>
              <w:rPr>
                <w:b w:val="false"/>
                <w:bCs w:val="false"/>
                <w:sz w:val="17"/>
                <w:szCs w:val="17"/>
              </w:rPr>
              <w:t xml:space="preserve">4</w:t>
            </w:r>
          </w:p>
        </w:tc>
        <w:tc>
          <w:tcPr>
            <w:tcW w:type="dxa" w:w="8860"/>
            <w:shd w:fill="EAF2F6" w:val="clear"/>
            <w:tcMar>
              <w:top w:type="dxa" w:w="55"/>
              <w:left w:type="dxa" w:w="90"/>
              <w:bottom w:type="dxa" w:w="55"/>
              <w:right w:type="dxa" w:w="90"/>
            </w:tcMar>
          </w:tcPr>
          <w:p>
            <w:r>
              <w:rPr>
                <w:b w:val="false"/>
                <w:bCs w:val="false"/>
                <w:sz w:val="17"/>
                <w:szCs w:val="17"/>
              </w:rPr>
              <w:t xml:space="preserve">A permanent regression test exists proving the operator's own token can never resolve to a real tenant's data even if a future handler misuses it.</w:t>
            </w:r>
          </w:p>
        </w:tc>
      </w:tr>
      <w:tr>
        <w:tc>
          <w:tcPr>
            <w:tcW w:type="dxa" w:w="500"/>
            <w:tcMar>
              <w:top w:type="dxa" w:w="55"/>
              <w:left w:type="dxa" w:w="90"/>
              <w:bottom w:type="dxa" w:w="55"/>
              <w:right w:type="dxa" w:w="90"/>
            </w:tcMar>
          </w:tcPr>
          <w:p>
            <w:r>
              <w:rPr>
                <w:b w:val="false"/>
                <w:bCs w:val="false"/>
                <w:sz w:val="17"/>
                <w:szCs w:val="17"/>
              </w:rPr>
              <w:t xml:space="preserve">5</w:t>
            </w:r>
          </w:p>
        </w:tc>
        <w:tc>
          <w:tcPr>
            <w:tcW w:type="dxa" w:w="8860"/>
            <w:tcMar>
              <w:top w:type="dxa" w:w="55"/>
              <w:left w:type="dxa" w:w="90"/>
              <w:bottom w:type="dxa" w:w="55"/>
              <w:right w:type="dxa" w:w="90"/>
            </w:tcMar>
          </w:tcPr>
          <w:p>
            <w:r>
              <w:rPr>
                <w:b w:val="false"/>
                <w:bCs w:val="false"/>
                <w:sz w:val="17"/>
                <w:szCs w:val="17"/>
              </w:rPr>
              <w:t xml:space="preserve">A definitive, evidenced answer on whether staff invites provision real Keycloak access — either a working end-to-end login proof, or a filed ticket if it doesn't yet.</w:t>
            </w:r>
          </w:p>
        </w:tc>
      </w:tr>
    </w:tbl>
    <w:p>
      <w:pPr>
        <w:spacing w:after="150"/>
      </w:pPr>
    </w:p>
    <w:p>
      <w:pPr>
        <w:spacing w:after="120" w:line="284"/>
        <w:jc w:val="both"/>
      </w:pPr>
      <w:r>
        <w:rPr>
          <w:sz w:val="22"/>
          <w:szCs w:val="22"/>
        </w:rPr>
        <w:t xml:space="preserve">Report back the same way as always: literal command output, the decoded JWT, the Keycloak admin screenshot — not a description of what should now be true.</w:t>
      </w:r>
    </w:p>
    <w:sectPr>
      <w:footerReference w:type="default" r:id="rId7"/>
      <w:pgSz w:w="12240" w:h="15840" w:orient="portrait"/>
      <w:pgMar w:top="1150" w:right="940" w:bottom="1150" w:left="9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Operator Identity Hardening &amp; Staff Invite Verification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sz w:val="29"/>
      <w:szCs w:val="2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2026-07-30T15:20:23.996Z</dcterms:created>
  <dcterms:modified xsi:type="dcterms:W3CDTF">2026-07-30T15:20:24.015Z</dcterms:modified>
</cp:coreProperties>
</file>

<file path=docProps/custom.xml><?xml version="1.0" encoding="utf-8"?>
<Properties xmlns="http://schemas.openxmlformats.org/officeDocument/2006/custom-properties" xmlns:vt="http://schemas.openxmlformats.org/officeDocument/2006/docPropsVTypes"/>
</file>