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2"/>
          <w:szCs w:val="32"/>
        </w:rPr>
        <w:t xml:space="preserve">Staff Invite Failure — Investigation &amp; Fix</w:t>
      </w:r>
    </w:p>
    <w:p>
      <w:pPr>
        <w:spacing w:after="180"/>
      </w:pPr>
      <w:r>
        <w:rPr>
          <w:i/>
          <w:iCs/>
          <w:color w:val="555555"/>
          <w:sz w:val="22"/>
          <w:szCs w:val="22"/>
        </w:rPr>
        <w:t xml:space="preserve">The real UI invite wizard failed on its first genuine use. Find the actual cause, fix it, and prove the whole flow works before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Read this first.  </w:t>
            </w:r>
          </w:p>
          <w:p>
            <w:pPr>
              <w:spacing w:before="40"/>
            </w:pPr>
            <w:r>
              <w:rPr>
                <w:color w:val="5A4326"/>
                <w:sz w:val="20"/>
                <w:szCs w:val="20"/>
              </w:rPr>
              <w:t xml:space="preserve">This feature was previously marked done based on a passing pytest suite. It then failed on its very first use through the real UI. The pytest suite is NOT sufficient evidence going forward for this feature — only a real browser walkthrough closes this. Do not mark anything in this doc complete from a test run alone.</w:t>
            </w:r>
          </w:p>
        </w:tc>
      </w:tr>
    </w:tbl>
    <w:p>
      <w:pPr>
        <w:spacing w:after="150"/>
      </w:pPr>
    </w:p>
    <w:p>
      <w:pPr>
        <w:pStyle w:val="Heading1"/>
        <w:spacing w:after="120" w:before="280"/>
      </w:pPr>
      <w:r>
        <w:rPr>
          <w:color w:val="1F4E5F"/>
        </w:rPr>
        <w:t xml:space="preserve">1. What We Know For Certain (from docker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55"/>
              <w:left w:type="dxa" w:w="90"/>
              <w:bottom w:type="dxa" w:w="55"/>
              <w:right w:type="dxa" w:w="90"/>
            </w:tcMar>
          </w:tcPr>
          <w:p>
            <w:r>
              <w:rPr>
                <w:b/>
                <w:bCs/>
                <w:color w:val="FFFFFF"/>
                <w:sz w:val="17"/>
                <w:szCs w:val="17"/>
              </w:rPr>
              <w:t xml:space="preserve">Time (UTC)</w:t>
            </w:r>
          </w:p>
        </w:tc>
        <w:tc>
          <w:tcPr>
            <w:tcW w:type="dxa" w:w="6960"/>
            <w:shd w:fill="1F4E5F" w:val="clear"/>
            <w:tcMar>
              <w:top w:type="dxa" w:w="55"/>
              <w:left w:type="dxa" w:w="90"/>
              <w:bottom w:type="dxa" w:w="55"/>
              <w:right w:type="dxa" w:w="90"/>
            </w:tcMar>
          </w:tcPr>
          <w:p>
            <w:r>
              <w:rPr>
                <w:b/>
                <w:bCs/>
                <w:color w:val="FFFFFF"/>
                <w:sz w:val="17"/>
                <w:szCs w:val="17"/>
              </w:rPr>
              <w:t xml:space="preserve">Event</w:t>
            </w:r>
          </w:p>
        </w:tc>
      </w:tr>
      <w:tr>
        <w:tc>
          <w:tcPr>
            <w:tcW w:type="dxa" w:w="2400"/>
            <w:tcMar>
              <w:top w:type="dxa" w:w="55"/>
              <w:left w:type="dxa" w:w="90"/>
              <w:bottom w:type="dxa" w:w="55"/>
              <w:right w:type="dxa" w:w="90"/>
            </w:tcMar>
          </w:tcPr>
          <w:p>
            <w:r>
              <w:rPr>
                <w:b w:val="false"/>
                <w:bCs w:val="false"/>
                <w:sz w:val="17"/>
                <w:szCs w:val="17"/>
              </w:rPr>
              <w:t xml:space="preserve">01:57:14.312Z</w:t>
            </w:r>
          </w:p>
        </w:tc>
        <w:tc>
          <w:tcPr>
            <w:tcW w:type="dxa" w:w="6960"/>
            <w:tcMar>
              <w:top w:type="dxa" w:w="55"/>
              <w:left w:type="dxa" w:w="90"/>
              <w:bottom w:type="dxa" w:w="55"/>
              <w:right w:type="dxa" w:w="90"/>
            </w:tcMar>
          </w:tcPr>
          <w:p>
            <w:r>
              <w:rPr>
                <w:b w:val="false"/>
                <w:bCs w:val="false"/>
                <w:sz w:val="17"/>
                <w:szCs w:val="17"/>
              </w:rPr>
              <w:t xml:space="preserve">POST /tenants/rainbow/invitations for admin_ranbow@yopmail.com → 422 Unprocessable Entity</w:t>
            </w:r>
          </w:p>
        </w:tc>
      </w:tr>
      <w:tr>
        <w:tc>
          <w:tcPr>
            <w:tcW w:type="dxa" w:w="2400"/>
            <w:shd w:fill="EAF2F6" w:val="clear"/>
            <w:tcMar>
              <w:top w:type="dxa" w:w="55"/>
              <w:left w:type="dxa" w:w="90"/>
              <w:bottom w:type="dxa" w:w="55"/>
              <w:right w:type="dxa" w:w="90"/>
            </w:tcMar>
          </w:tcPr>
          <w:p>
            <w:r>
              <w:rPr>
                <w:b w:val="false"/>
                <w:bCs w:val="false"/>
                <w:sz w:val="17"/>
                <w:szCs w:val="17"/>
              </w:rPr>
              <w:t xml:space="preserve">—</w:t>
            </w:r>
          </w:p>
        </w:tc>
        <w:tc>
          <w:tcPr>
            <w:tcW w:type="dxa" w:w="6960"/>
            <w:shd w:fill="EAF2F6" w:val="clear"/>
            <w:tcMar>
              <w:top w:type="dxa" w:w="55"/>
              <w:left w:type="dxa" w:w="90"/>
              <w:bottom w:type="dxa" w:w="55"/>
              <w:right w:type="dxa" w:w="90"/>
            </w:tcMar>
          </w:tcPr>
          <w:p>
            <w:r>
              <w:rPr>
                <w:b w:val="false"/>
                <w:bCs w:val="false"/>
                <w:sz w:val="17"/>
                <w:szCs w:val="17"/>
              </w:rPr>
              <w:t xml:space="preserve">No retry. No second call to this endpoint appears anywhere later in the log.</w:t>
            </w:r>
          </w:p>
        </w:tc>
      </w:tr>
      <w:tr>
        <w:tc>
          <w:tcPr>
            <w:tcW w:type="dxa" w:w="2400"/>
            <w:tcMar>
              <w:top w:type="dxa" w:w="55"/>
              <w:left w:type="dxa" w:w="90"/>
              <w:bottom w:type="dxa" w:w="55"/>
              <w:right w:type="dxa" w:w="90"/>
            </w:tcMar>
          </w:tcPr>
          <w:p>
            <w:r>
              <w:rPr>
                <w:b w:val="false"/>
                <w:bCs w:val="false"/>
                <w:sz w:val="17"/>
                <w:szCs w:val="17"/>
              </w:rPr>
              <w:t xml:space="preserve">01:58:20 – 01:58:53</w:t>
            </w:r>
          </w:p>
        </w:tc>
        <w:tc>
          <w:tcPr>
            <w:tcW w:type="dxa" w:w="6960"/>
            <w:tcMar>
              <w:top w:type="dxa" w:w="55"/>
              <w:left w:type="dxa" w:w="90"/>
              <w:bottom w:type="dxa" w:w="55"/>
              <w:right w:type="dxa" w:w="90"/>
            </w:tcMar>
          </w:tcPr>
          <w:p>
            <w:r>
              <w:rPr>
                <w:b w:val="false"/>
                <w:bCs w:val="false"/>
                <w:sz w:val="17"/>
                <w:szCs w:val="17"/>
              </w:rPr>
              <w:t xml:space="preserve">Migration, reconciliation, readiness check, and GO-LIVE all proceeded and succeeded — with zero successful staff invitations on record for this tenant.</w:t>
            </w:r>
          </w:p>
        </w:tc>
      </w:tr>
    </w:tbl>
    <w:p>
      <w:pPr>
        <w:spacing w:after="120" w:line="284"/>
        <w:jc w:val="both"/>
      </w:pPr>
      <w:r>
        <w:rPr>
          <w:sz w:val="22"/>
          <w:szCs w:val="22"/>
        </w:rPr>
        <w:t xml:space="preserve">Conclusion: the invite was rejected by request validation before reaching Keycloak. The account that later appeared in Keycloak for this email was very likely created by hand via the Keycloak admin console as a workaround, not by the invite flow. Treat this as unconfirmed until Step 2 below settles it.</w:t>
      </w:r>
    </w:p>
    <w:p>
      <w:pPr>
        <w:spacing w:after="150"/>
      </w:pPr>
    </w:p>
    <w:p>
      <w:pPr>
        <w:pStyle w:val="Heading1"/>
        <w:spacing w:after="120" w:before="280"/>
      </w:pPr>
      <w:r>
        <w:rPr>
          <w:color w:val="1F4E5F"/>
        </w:rPr>
        <w:t xml:space="preserve">2. Step One — Get the Real Error (don't guess)</w:t>
      </w:r>
    </w:p>
    <w:p>
      <w:pPr>
        <w:spacing w:after="120" w:line="284"/>
        <w:jc w:val="both"/>
      </w:pPr>
      <w:r>
        <w:rPr>
          <w:sz w:val="22"/>
          <w:szCs w:val="22"/>
        </w:rPr>
        <w:t xml:space="preserve">A 422 without its response body tells you nothing specific. Get the actual FastAPI validation error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11633" w:val="clear"/>
            <w:tcMar>
              <w:top w:type="dxa" w:w="100"/>
              <w:left w:type="dxa" w:w="140"/>
              <w:bottom w:type="dxa" w:w="100"/>
              <w:right w:type="dxa" w:w="140"/>
            </w:tcMar>
          </w:tcPr>
          <w:p>
            <w:pPr>
              <w:spacing w:after="15" w:line="240"/>
            </w:pPr>
            <w:r>
              <w:rPr>
                <w:rFonts w:ascii="Consolas" w:cs="Consolas" w:eastAsia="Consolas" w:hAnsi="Consolas"/>
                <w:color w:val="CDE0FF"/>
                <w:sz w:val="16"/>
                <w:szCs w:val="16"/>
              </w:rPr>
              <w:t xml:space="preserve"># Option A — pull it from logs around the exact timestamp</w:t>
            </w:r>
          </w:p>
          <w:p>
            <w:pPr>
              <w:spacing w:after="15" w:line="240"/>
            </w:pPr>
            <w:r>
              <w:rPr>
                <w:rFonts w:ascii="Consolas" w:cs="Consolas" w:eastAsia="Consolas" w:hAnsi="Consolas"/>
                <w:color w:val="CDE0FF"/>
                <w:sz w:val="16"/>
                <w:szCs w:val="16"/>
              </w:rPr>
              <w:t xml:space="preserve">docker compose logs plt --since "2026-07-31T01:56:00Z" --until "2026-07-31T01:58:00Z" \</w:t>
            </w:r>
          </w:p>
          <w:p>
            <w:pPr>
              <w:spacing w:after="15" w:line="240"/>
            </w:pPr>
            <w:r>
              <w:rPr>
                <w:rFonts w:ascii="Consolas" w:cs="Consolas" w:eastAsia="Consolas" w:hAnsi="Consolas"/>
                <w:color w:val="CDE0FF"/>
                <w:sz w:val="16"/>
                <w:szCs w:val="16"/>
              </w:rPr>
              <w:t xml:space="preserve">  | grep -A 20 -i "422\|validationerror\|pydantic"</w:t>
            </w:r>
          </w:p>
          <w:p>
            <w:pPr>
              <w:spacing w:after="15" w:line="240"/>
            </w:pPr>
            <w:r>
              <w:rPr>
                <w:rFonts w:ascii="Consolas" w:cs="Consolas" w:eastAsia="Consolas" w:hAnsi="Consolas"/>
                <w:color w:val="CDE0FF"/>
                <w:sz w:val="16"/>
                <w:szCs w:val="16"/>
              </w:rPr>
              <w:t xml:space="preserve"> </w:t>
            </w:r>
          </w:p>
          <w:p>
            <w:pPr>
              <w:spacing w:after="15" w:line="240"/>
            </w:pPr>
            <w:r>
              <w:rPr>
                <w:rFonts w:ascii="Consolas" w:cs="Consolas" w:eastAsia="Consolas" w:hAnsi="Consolas"/>
                <w:color w:val="CDE0FF"/>
                <w:sz w:val="16"/>
                <w:szCs w:val="16"/>
              </w:rPr>
              <w:t xml:space="preserve"># Option B — reproduce it directly and read FastAPI's own error body</w:t>
            </w:r>
          </w:p>
          <w:p>
            <w:pPr>
              <w:spacing w:after="15" w:line="240"/>
            </w:pPr>
            <w:r>
              <w:rPr>
                <w:rFonts w:ascii="Consolas" w:cs="Consolas" w:eastAsia="Consolas" w:hAnsi="Consolas"/>
                <w:color w:val="CDE0FF"/>
                <w:sz w:val="16"/>
                <w:szCs w:val="16"/>
              </w:rPr>
              <w:t xml:space="preserve">curl -i -X POST http://localhost:8000/tenants/rainbow/invitations \</w:t>
            </w:r>
          </w:p>
          <w:p>
            <w:pPr>
              <w:spacing w:after="15" w:line="240"/>
            </w:pPr>
            <w:r>
              <w:rPr>
                <w:rFonts w:ascii="Consolas" w:cs="Consolas" w:eastAsia="Consolas" w:hAnsi="Consolas"/>
                <w:color w:val="CDE0FF"/>
                <w:sz w:val="16"/>
                <w:szCs w:val="16"/>
              </w:rPr>
              <w:t xml:space="preserve">  -H "Authorization: Bearer &lt;valid operator token&gt;" \</w:t>
            </w:r>
          </w:p>
          <w:p>
            <w:pPr>
              <w:spacing w:after="15" w:line="240"/>
            </w:pPr>
            <w:r>
              <w:rPr>
                <w:rFonts w:ascii="Consolas" w:cs="Consolas" w:eastAsia="Consolas" w:hAnsi="Consolas"/>
                <w:color w:val="CDE0FF"/>
                <w:sz w:val="16"/>
                <w:szCs w:val="16"/>
              </w:rPr>
              <w:t xml:space="preserve">  -H "Content-Type: application/json" \</w:t>
            </w:r>
          </w:p>
          <w:p>
            <w:pPr>
              <w:spacing w:after="15" w:line="240"/>
            </w:pPr>
            <w:r>
              <w:rPr>
                <w:rFonts w:ascii="Consolas" w:cs="Consolas" w:eastAsia="Consolas" w:hAnsi="Consolas"/>
                <w:color w:val="CDE0FF"/>
                <w:sz w:val="16"/>
                <w:szCs w:val="16"/>
              </w:rPr>
              <w:t xml:space="preserve">  -d '{"email":"test@example.com","role":"admin","given_name":"Test","family_name":"User"}'</w:t>
            </w:r>
          </w:p>
        </w:tc>
      </w:tr>
    </w:tbl>
    <w:p>
      <w:pPr>
        <w:spacing w:after="120" w:line="284"/>
        <w:jc w:val="both"/>
      </w:pPr>
      <w:r>
        <w:rPr>
          <w:sz w:val="22"/>
          <w:szCs w:val="22"/>
        </w:rPr>
        <w:t xml:space="preserve">If option B returns 200/201 with that exact payload, the bug is a mismatch between what the wizard's frontend actually sends and what StaffInvitePayload expects — capture the browser's real network request body (DevTools → Network tab, the actual failed request) and diff it against StaffInvitePayload's required fields field by field.</w:t>
      </w:r>
    </w:p>
    <w:p>
      <w:pPr>
        <w:spacing w:after="150"/>
      </w:pPr>
    </w:p>
    <w:p>
      <w:pPr>
        <w:pStyle w:val="Heading1"/>
        <w:spacing w:after="120" w:before="280"/>
      </w:pPr>
      <w:r>
        <w:rPr>
          <w:color w:val="1F4E5F"/>
        </w:rPr>
        <w:t xml:space="preserve">3. Step Two — Fix, Matched to the Real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5F" w:val="clear"/>
            <w:tcMar>
              <w:top w:type="dxa" w:w="55"/>
              <w:left w:type="dxa" w:w="90"/>
              <w:bottom w:type="dxa" w:w="55"/>
              <w:right w:type="dxa" w:w="90"/>
            </w:tcMar>
          </w:tcPr>
          <w:p>
            <w:r>
              <w:rPr>
                <w:b/>
                <w:bCs/>
                <w:color w:val="FFFFFF"/>
                <w:sz w:val="17"/>
                <w:szCs w:val="17"/>
              </w:rPr>
              <w:t xml:space="preserve">If the real cause is...</w:t>
            </w:r>
          </w:p>
        </w:tc>
        <w:tc>
          <w:tcPr>
            <w:tcW w:type="dxa" w:w="6460"/>
            <w:shd w:fill="1F4E5F" w:val="clear"/>
            <w:tcMar>
              <w:top w:type="dxa" w:w="55"/>
              <w:left w:type="dxa" w:w="90"/>
              <w:bottom w:type="dxa" w:w="55"/>
              <w:right w:type="dxa" w:w="90"/>
            </w:tcMar>
          </w:tcPr>
          <w:p>
            <w:r>
              <w:rPr>
                <w:b/>
                <w:bCs/>
                <w:color w:val="FFFFFF"/>
                <w:sz w:val="17"/>
                <w:szCs w:val="17"/>
              </w:rPr>
              <w:t xml:space="preserve">Fix</w:t>
            </w:r>
          </w:p>
        </w:tc>
      </w:tr>
      <w:tr>
        <w:tc>
          <w:tcPr>
            <w:tcW w:type="dxa" w:w="2900"/>
            <w:tcMar>
              <w:top w:type="dxa" w:w="55"/>
              <w:left w:type="dxa" w:w="90"/>
              <w:bottom w:type="dxa" w:w="55"/>
              <w:right w:type="dxa" w:w="90"/>
            </w:tcMar>
          </w:tcPr>
          <w:p>
            <w:r>
              <w:rPr>
                <w:b w:val="false"/>
                <w:bCs w:val="false"/>
                <w:sz w:val="17"/>
                <w:szCs w:val="17"/>
              </w:rPr>
              <w:t xml:space="preserve">Frontend sending a field the backend doesn't expect, or missing a required one (e.g. role name mismatch, missing given_name/family_name)</w:t>
            </w:r>
          </w:p>
        </w:tc>
        <w:tc>
          <w:tcPr>
            <w:tcW w:type="dxa" w:w="6460"/>
            <w:tcMar>
              <w:top w:type="dxa" w:w="55"/>
              <w:left w:type="dxa" w:w="90"/>
              <w:bottom w:type="dxa" w:w="55"/>
              <w:right w:type="dxa" w:w="90"/>
            </w:tcMar>
          </w:tcPr>
          <w:p>
            <w:r>
              <w:rPr>
                <w:b w:val="false"/>
                <w:bCs w:val="false"/>
                <w:sz w:val="17"/>
                <w:szCs w:val="17"/>
              </w:rPr>
              <w:t xml:space="preserve">Fix the frontend payload OR relax/align the backend schema — whichever matches the actual intended contract. Don't just loosen validation blindly.</w:t>
            </w:r>
          </w:p>
        </w:tc>
      </w:tr>
      <w:tr>
        <w:tc>
          <w:tcPr>
            <w:tcW w:type="dxa" w:w="2900"/>
            <w:shd w:fill="EAF2F6" w:val="clear"/>
            <w:tcMar>
              <w:top w:type="dxa" w:w="55"/>
              <w:left w:type="dxa" w:w="90"/>
              <w:bottom w:type="dxa" w:w="55"/>
              <w:right w:type="dxa" w:w="90"/>
            </w:tcMar>
          </w:tcPr>
          <w:p>
            <w:r>
              <w:rPr>
                <w:b w:val="false"/>
                <w:bCs w:val="false"/>
                <w:sz w:val="17"/>
                <w:szCs w:val="17"/>
              </w:rPr>
              <w:t xml:space="preserve">role value sent by the UI doesn't match an allowed enum/role list on the backend</w:t>
            </w:r>
          </w:p>
        </w:tc>
        <w:tc>
          <w:tcPr>
            <w:tcW w:type="dxa" w:w="6460"/>
            <w:shd w:fill="EAF2F6" w:val="clear"/>
            <w:tcMar>
              <w:top w:type="dxa" w:w="55"/>
              <w:left w:type="dxa" w:w="90"/>
              <w:bottom w:type="dxa" w:w="55"/>
              <w:right w:type="dxa" w:w="90"/>
            </w:tcMar>
          </w:tcPr>
          <w:p>
            <w:r>
              <w:rPr>
                <w:b w:val="false"/>
                <w:bCs w:val="false"/>
                <w:sz w:val="17"/>
                <w:szCs w:val="17"/>
              </w:rPr>
              <w:t xml:space="preserve">Confirm the exact set of valid role strings the backend accepts and make sure the wizard's role dropdown sends exactly those values.</w:t>
            </w:r>
          </w:p>
        </w:tc>
      </w:tr>
      <w:tr>
        <w:tc>
          <w:tcPr>
            <w:tcW w:type="dxa" w:w="2900"/>
            <w:tcMar>
              <w:top w:type="dxa" w:w="55"/>
              <w:left w:type="dxa" w:w="90"/>
              <w:bottom w:type="dxa" w:w="55"/>
              <w:right w:type="dxa" w:w="90"/>
            </w:tcMar>
          </w:tcPr>
          <w:p>
            <w:r>
              <w:rPr>
                <w:b w:val="false"/>
                <w:bCs w:val="false"/>
                <w:sz w:val="17"/>
                <w:szCs w:val="17"/>
              </w:rPr>
              <w:t xml:space="preserve">email format or a uniqueness/duplicate check rejecting it</w:t>
            </w:r>
          </w:p>
        </w:tc>
        <w:tc>
          <w:tcPr>
            <w:tcW w:type="dxa" w:w="6460"/>
            <w:tcMar>
              <w:top w:type="dxa" w:w="55"/>
              <w:left w:type="dxa" w:w="90"/>
              <w:bottom w:type="dxa" w:w="55"/>
              <w:right w:type="dxa" w:w="90"/>
            </w:tcMar>
          </w:tcPr>
          <w:p>
            <w:r>
              <w:rPr>
                <w:b w:val="false"/>
                <w:bCs w:val="false"/>
                <w:sz w:val="17"/>
                <w:szCs w:val="17"/>
              </w:rPr>
              <w:t xml:space="preserve">Confirm what should happen on a duplicate invite (clear error message to the user) vs genuinely new email — fix the validation message, not just the crash.</w:t>
            </w:r>
          </w:p>
        </w:tc>
      </w:tr>
      <w:tr>
        <w:tc>
          <w:tcPr>
            <w:tcW w:type="dxa" w:w="2900"/>
            <w:shd w:fill="EAF2F6" w:val="clear"/>
            <w:tcMar>
              <w:top w:type="dxa" w:w="55"/>
              <w:left w:type="dxa" w:w="90"/>
              <w:bottom w:type="dxa" w:w="55"/>
              <w:right w:type="dxa" w:w="90"/>
            </w:tcMar>
          </w:tcPr>
          <w:p>
            <w:r>
              <w:rPr>
                <w:b w:val="false"/>
                <w:bCs w:val="false"/>
                <w:sz w:val="17"/>
                <w:szCs w:val="17"/>
              </w:rPr>
              <w:t xml:space="preserve">Something else entirely once you see the real error</w:t>
            </w:r>
          </w:p>
        </w:tc>
        <w:tc>
          <w:tcPr>
            <w:tcW w:type="dxa" w:w="6460"/>
            <w:shd w:fill="EAF2F6" w:val="clear"/>
            <w:tcMar>
              <w:top w:type="dxa" w:w="55"/>
              <w:left w:type="dxa" w:w="90"/>
              <w:bottom w:type="dxa" w:w="55"/>
              <w:right w:type="dxa" w:w="90"/>
            </w:tcMar>
          </w:tcPr>
          <w:p>
            <w:r>
              <w:rPr>
                <w:b w:val="false"/>
                <w:bCs w:val="false"/>
                <w:sz w:val="17"/>
                <w:szCs w:val="17"/>
              </w:rPr>
              <w:t xml:space="preserve">Stop and report back the exact error before proceeding — don't guess a fix for an error you haven't actually read.</w:t>
            </w:r>
          </w:p>
        </w:tc>
      </w:tr>
    </w:tbl>
    <w:p>
      <w:pPr>
        <w:spacing w:after="150"/>
      </w:pPr>
    </w:p>
    <w:p>
      <w:pPr>
        <w:pStyle w:val="Heading1"/>
        <w:spacing w:after="120" w:before="280"/>
      </w:pPr>
      <w:r>
        <w:rPr>
          <w:color w:val="1F4E5F"/>
        </w:rPr>
        <w:t xml:space="preserve">4. Step Three — Determine What Actually Created the Rainbow Account</w:t>
      </w:r>
    </w:p>
    <w:p>
      <w:pPr>
        <w:spacing w:after="120" w:line="284"/>
        <w:jc w:val="both"/>
      </w:pPr>
      <w:r>
        <w:rPr>
          <w:sz w:val="22"/>
          <w:szCs w:val="22"/>
        </w:rPr>
        <w:t xml:space="preserve">This matters even after the bug is fixed, because it tells us whether any other 'invited' users on the platform right now are real or were manually 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shd w:fill="1F4E5F" w:val="clear"/>
            <w:tcMar>
              <w:top w:type="dxa" w:w="55"/>
              <w:left w:type="dxa" w:w="90"/>
              <w:bottom w:type="dxa" w:w="55"/>
              <w:right w:type="dxa" w:w="90"/>
            </w:tcMar>
          </w:tcPr>
          <w:p>
            <w:r>
              <w:rPr>
                <w:b/>
                <w:bCs/>
                <w:color w:val="FFFFFF"/>
                <w:sz w:val="17"/>
                <w:szCs w:val="17"/>
              </w:rPr>
              <w:t xml:space="preserve">#</w:t>
            </w:r>
          </w:p>
        </w:tc>
        <w:tc>
          <w:tcPr>
            <w:tcW w:type="dxa" w:w="8760"/>
            <w:shd w:fill="1F4E5F" w:val="clear"/>
            <w:tcMar>
              <w:top w:type="dxa" w:w="55"/>
              <w:left w:type="dxa" w:w="90"/>
              <w:bottom w:type="dxa" w:w="55"/>
              <w:right w:type="dxa" w:w="90"/>
            </w:tcMar>
          </w:tcPr>
          <w:p>
            <w:r>
              <w:rPr>
                <w:b/>
                <w:bCs/>
                <w:color w:val="FFFFFF"/>
                <w:sz w:val="17"/>
                <w:szCs w:val="17"/>
              </w:rPr>
              <w:t xml:space="preserve">Task</w:t>
            </w:r>
          </w:p>
        </w:tc>
      </w:tr>
      <w:tr>
        <w:tc>
          <w:tcPr>
            <w:tcW w:type="dxa" w:w="600"/>
            <w:tcMar>
              <w:top w:type="dxa" w:w="55"/>
              <w:left w:type="dxa" w:w="90"/>
              <w:bottom w:type="dxa" w:w="55"/>
              <w:right w:type="dxa" w:w="90"/>
            </w:tcMar>
          </w:tcPr>
          <w:p>
            <w:r>
              <w:rPr>
                <w:b w:val="false"/>
                <w:bCs w:val="false"/>
                <w:sz w:val="17"/>
                <w:szCs w:val="17"/>
              </w:rPr>
              <w:t xml:space="preserve">4-1</w:t>
            </w:r>
          </w:p>
        </w:tc>
        <w:tc>
          <w:tcPr>
            <w:tcW w:type="dxa" w:w="8760"/>
            <w:tcMar>
              <w:top w:type="dxa" w:w="55"/>
              <w:left w:type="dxa" w:w="90"/>
              <w:bottom w:type="dxa" w:w="55"/>
              <w:right w:type="dxa" w:w="90"/>
            </w:tcMar>
          </w:tcPr>
          <w:p>
            <w:r>
              <w:rPr>
                <w:b w:val="false"/>
                <w:bCs w:val="false"/>
                <w:sz w:val="17"/>
                <w:szCs w:val="17"/>
              </w:rPr>
              <w:t xml:space="preserve">Check Keycloak's own event log for admin_ranbow@yopmail.com's account creation event and timestamp — compare against 01:57:14 (the failed API call). If creation happened well after, or via an admin console session rather than the admin-cli service account, that confirms manual creation.</w:t>
            </w:r>
          </w:p>
        </w:tc>
      </w:tr>
      <w:tr>
        <w:tc>
          <w:tcPr>
            <w:tcW w:type="dxa" w:w="600"/>
            <w:shd w:fill="EAF2F6" w:val="clear"/>
            <w:tcMar>
              <w:top w:type="dxa" w:w="55"/>
              <w:left w:type="dxa" w:w="90"/>
              <w:bottom w:type="dxa" w:w="55"/>
              <w:right w:type="dxa" w:w="90"/>
            </w:tcMar>
          </w:tcPr>
          <w:p>
            <w:r>
              <w:rPr>
                <w:b w:val="false"/>
                <w:bCs w:val="false"/>
                <w:sz w:val="17"/>
                <w:szCs w:val="17"/>
              </w:rPr>
              <w:t xml:space="preserve">4-2</w:t>
            </w:r>
          </w:p>
        </w:tc>
        <w:tc>
          <w:tcPr>
            <w:tcW w:type="dxa" w:w="8760"/>
            <w:shd w:fill="EAF2F6" w:val="clear"/>
            <w:tcMar>
              <w:top w:type="dxa" w:w="55"/>
              <w:left w:type="dxa" w:w="90"/>
              <w:bottom w:type="dxa" w:w="55"/>
              <w:right w:type="dxa" w:w="90"/>
            </w:tcMar>
          </w:tcPr>
          <w:p>
            <w:r>
              <w:rPr>
                <w:b w:val="false"/>
                <w:bCs w:val="false"/>
                <w:sz w:val="17"/>
                <w:szCs w:val="17"/>
              </w:rPr>
              <w:t xml:space="preserve">If manually created: document that this account is a manual workaround, not a product-verified path. Consider whether to delete and re-create it through the fixed flow once available, so the demo/dev environment reflects real behavior only.</w:t>
            </w:r>
          </w:p>
        </w:tc>
      </w:tr>
      <w:tr>
        <w:tc>
          <w:tcPr>
            <w:tcW w:type="dxa" w:w="600"/>
            <w:tcMar>
              <w:top w:type="dxa" w:w="55"/>
              <w:left w:type="dxa" w:w="90"/>
              <w:bottom w:type="dxa" w:w="55"/>
              <w:right w:type="dxa" w:w="90"/>
            </w:tcMar>
          </w:tcPr>
          <w:p>
            <w:r>
              <w:rPr>
                <w:b w:val="false"/>
                <w:bCs w:val="false"/>
                <w:sz w:val="17"/>
                <w:szCs w:val="17"/>
              </w:rPr>
              <w:t xml:space="preserve">4-3</w:t>
            </w:r>
          </w:p>
        </w:tc>
        <w:tc>
          <w:tcPr>
            <w:tcW w:type="dxa" w:w="8760"/>
            <w:tcMar>
              <w:top w:type="dxa" w:w="55"/>
              <w:left w:type="dxa" w:w="90"/>
              <w:bottom w:type="dxa" w:w="55"/>
              <w:right w:type="dxa" w:w="90"/>
            </w:tcMar>
          </w:tcPr>
          <w:p>
            <w:r>
              <w:rPr>
                <w:b w:val="false"/>
                <w:bCs w:val="false"/>
                <w:sz w:val="17"/>
                <w:szCs w:val="17"/>
              </w:rPr>
              <w:t xml:space="preserve">Audit whether any other 'invited' users across other tenants were also manually created rather than through a successful invite call — grep the logs the same way for any other tenant's /invitations calls and their status codes.</w:t>
            </w:r>
          </w:p>
        </w:tc>
      </w:tr>
    </w:tbl>
    <w:p>
      <w:pPr>
        <w:spacing w:after="150"/>
      </w:pPr>
    </w:p>
    <w:p>
      <w:pPr>
        <w:pStyle w:val="Heading1"/>
        <w:spacing w:after="120" w:before="280"/>
      </w:pPr>
      <w:r>
        <w:rPr>
          <w:color w:val="1F4E5F"/>
        </w:rPr>
        <w:t xml:space="preserve">5. Step Four — Investigate the Go-Live Gap</w:t>
      </w:r>
    </w:p>
    <w:p>
      <w:pPr>
        <w:spacing w:after="120" w:line="284"/>
        <w:jc w:val="both"/>
      </w:pPr>
      <w:r>
        <w:rPr>
          <w:sz w:val="22"/>
          <w:szCs w:val="22"/>
        </w:rPr>
        <w:t xml:space="preserve">Rainbow reached Active (Live) status with zero successful staff invitations on record. This should not have been possible if STAFF_ENROLLED is meant to gate go-live on real, enrolled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shd w:fill="1F4E5F" w:val="clear"/>
            <w:tcMar>
              <w:top w:type="dxa" w:w="55"/>
              <w:left w:type="dxa" w:w="90"/>
              <w:bottom w:type="dxa" w:w="55"/>
              <w:right w:type="dxa" w:w="90"/>
            </w:tcMar>
          </w:tcPr>
          <w:p>
            <w:r>
              <w:rPr>
                <w:b/>
                <w:bCs/>
                <w:color w:val="FFFFFF"/>
                <w:sz w:val="17"/>
                <w:szCs w:val="17"/>
              </w:rPr>
              <w:t xml:space="preserve">#</w:t>
            </w:r>
          </w:p>
        </w:tc>
        <w:tc>
          <w:tcPr>
            <w:tcW w:type="dxa" w:w="8760"/>
            <w:shd w:fill="1F4E5F" w:val="clear"/>
            <w:tcMar>
              <w:top w:type="dxa" w:w="55"/>
              <w:left w:type="dxa" w:w="90"/>
              <w:bottom w:type="dxa" w:w="55"/>
              <w:right w:type="dxa" w:w="90"/>
            </w:tcMar>
          </w:tcPr>
          <w:p>
            <w:r>
              <w:rPr>
                <w:b/>
                <w:bCs/>
                <w:color w:val="FFFFFF"/>
                <w:sz w:val="17"/>
                <w:szCs w:val="17"/>
              </w:rPr>
              <w:t xml:space="preserve">Task</w:t>
            </w:r>
          </w:p>
        </w:tc>
      </w:tr>
      <w:tr>
        <w:tc>
          <w:tcPr>
            <w:tcW w:type="dxa" w:w="600"/>
            <w:tcMar>
              <w:top w:type="dxa" w:w="55"/>
              <w:left w:type="dxa" w:w="90"/>
              <w:bottom w:type="dxa" w:w="55"/>
              <w:right w:type="dxa" w:w="90"/>
            </w:tcMar>
          </w:tcPr>
          <w:p>
            <w:r>
              <w:rPr>
                <w:b w:val="false"/>
                <w:bCs w:val="false"/>
                <w:sz w:val="17"/>
                <w:szCs w:val="17"/>
              </w:rPr>
              <w:t xml:space="preserve">5-1</w:t>
            </w:r>
          </w:p>
        </w:tc>
        <w:tc>
          <w:tcPr>
            <w:tcW w:type="dxa" w:w="8760"/>
            <w:tcMar>
              <w:top w:type="dxa" w:w="55"/>
              <w:left w:type="dxa" w:w="90"/>
              <w:bottom w:type="dxa" w:w="55"/>
              <w:right w:type="dxa" w:w="90"/>
            </w:tcMar>
          </w:tcPr>
          <w:p>
            <w:r>
              <w:rPr>
                <w:b w:val="false"/>
                <w:bCs w:val="false"/>
                <w:sz w:val="17"/>
                <w:szCs w:val="17"/>
              </w:rPr>
              <w:t xml:space="preserve">Check what STAFF_ENROLLED actually queried for rainbow at the moment readiness was evaluated (01:58:42). Was there already a practitioner row for rainbow from something else (e.g. the earlier admin@rainbow.com created directly)?</w:t>
            </w:r>
          </w:p>
        </w:tc>
      </w:tr>
      <w:tr>
        <w:tc>
          <w:tcPr>
            <w:tcW w:type="dxa" w:w="600"/>
            <w:shd w:fill="EAF2F6" w:val="clear"/>
            <w:tcMar>
              <w:top w:type="dxa" w:w="55"/>
              <w:left w:type="dxa" w:w="90"/>
              <w:bottom w:type="dxa" w:w="55"/>
              <w:right w:type="dxa" w:w="90"/>
            </w:tcMar>
          </w:tcPr>
          <w:p>
            <w:r>
              <w:rPr>
                <w:b w:val="false"/>
                <w:bCs w:val="false"/>
                <w:sz w:val="17"/>
                <w:szCs w:val="17"/>
              </w:rPr>
              <w:t xml:space="preserve">5-2</w:t>
            </w:r>
          </w:p>
        </w:tc>
        <w:tc>
          <w:tcPr>
            <w:tcW w:type="dxa" w:w="8760"/>
            <w:shd w:fill="EAF2F6" w:val="clear"/>
            <w:tcMar>
              <w:top w:type="dxa" w:w="55"/>
              <w:left w:type="dxa" w:w="90"/>
              <w:bottom w:type="dxa" w:w="55"/>
              <w:right w:type="dxa" w:w="90"/>
            </w:tcMar>
          </w:tcPr>
          <w:p>
            <w:r>
              <w:rPr>
                <w:b w:val="false"/>
                <w:bCs w:val="false"/>
                <w:sz w:val="17"/>
                <w:szCs w:val="17"/>
              </w:rPr>
              <w:t xml:space="preserve">If a stray/manually-created practitioner record satisfied the check, decide: is that acceptable (any real staff satisfies the gate, regardless of how they were added), or should the check specifically verify staff added through a verified/traceable path? Document the decision either way — don't leave it ambiguous.</w:t>
            </w:r>
          </w:p>
        </w:tc>
      </w:tr>
      <w:tr>
        <w:tc>
          <w:tcPr>
            <w:tcW w:type="dxa" w:w="600"/>
            <w:tcMar>
              <w:top w:type="dxa" w:w="55"/>
              <w:left w:type="dxa" w:w="90"/>
              <w:bottom w:type="dxa" w:w="55"/>
              <w:right w:type="dxa" w:w="90"/>
            </w:tcMar>
          </w:tcPr>
          <w:p>
            <w:r>
              <w:rPr>
                <w:b w:val="false"/>
                <w:bCs w:val="false"/>
                <w:sz w:val="17"/>
                <w:szCs w:val="17"/>
              </w:rPr>
              <w:t xml:space="preserve">5-3</w:t>
            </w:r>
          </w:p>
        </w:tc>
        <w:tc>
          <w:tcPr>
            <w:tcW w:type="dxa" w:w="8760"/>
            <w:tcMar>
              <w:top w:type="dxa" w:w="55"/>
              <w:left w:type="dxa" w:w="90"/>
              <w:bottom w:type="dxa" w:w="55"/>
              <w:right w:type="dxa" w:w="90"/>
            </w:tcMar>
          </w:tcPr>
          <w:p>
            <w:r>
              <w:rPr>
                <w:b w:val="false"/>
                <w:bCs w:val="false"/>
                <w:sz w:val="17"/>
                <w:szCs w:val="17"/>
              </w:rPr>
              <w:t xml:space="preserve">If nothing satisfied the check and it passed anyway, that is a real bug in the readiness engine and takes priority over everything else in this document — a go-live gate that doesn't actually gate is the most serious possible finding here.</w:t>
            </w:r>
          </w:p>
        </w:tc>
      </w:tr>
    </w:tbl>
    <w:p>
      <w:pPr>
        <w:spacing w:after="150"/>
      </w:pPr>
    </w:p>
    <w:p>
      <w:pPr>
        <w:pStyle w:val="Heading1"/>
        <w:spacing w:after="120" w:before="280"/>
      </w:pPr>
      <w:r>
        <w:rPr>
          <w:color w:val="1F4E5F"/>
        </w:rPr>
        <w:t xml:space="preserve">6. Step Five — Prove the Whole Loop, For Real</w:t>
      </w:r>
    </w:p>
    <w:p>
      <w:pPr>
        <w:spacing w:after="120" w:line="284"/>
        <w:jc w:val="both"/>
      </w:pPr>
      <w:r>
        <w:rPr>
          <w:sz w:val="22"/>
          <w:szCs w:val="22"/>
        </w:rPr>
        <w:t xml:space="preserve">This is the only thing that closes this document. Complete this exact sequence through the real browser UI, not curl, not pytest, on a fresh test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3500"/>
            <w:shd w:fill="1F4E5F" w:val="clear"/>
            <w:tcMar>
              <w:top w:type="dxa" w:w="55"/>
              <w:left w:type="dxa" w:w="90"/>
              <w:bottom w:type="dxa" w:w="55"/>
              <w:right w:type="dxa" w:w="90"/>
            </w:tcMar>
          </w:tcPr>
          <w:p>
            <w:r>
              <w:rPr>
                <w:b/>
                <w:bCs/>
                <w:color w:val="FFFFFF"/>
                <w:sz w:val="17"/>
                <w:szCs w:val="17"/>
              </w:rPr>
              <w:t xml:space="preserve">Action</w:t>
            </w:r>
          </w:p>
        </w:tc>
        <w:tc>
          <w:tcPr>
            <w:tcW w:type="dxa" w:w="5360"/>
            <w:shd w:fill="1F4E5F" w:val="clear"/>
            <w:tcMar>
              <w:top w:type="dxa" w:w="55"/>
              <w:left w:type="dxa" w:w="90"/>
              <w:bottom w:type="dxa" w:w="55"/>
              <w:right w:type="dxa" w:w="90"/>
            </w:tcMar>
          </w:tcPr>
          <w:p>
            <w:r>
              <w:rPr>
                <w:b/>
                <w:bCs/>
                <w:color w:val="FFFFFF"/>
                <w:sz w:val="17"/>
                <w:szCs w:val="17"/>
              </w:rPr>
              <w:t xml:space="preserve">Evidence to capture</w:t>
            </w:r>
          </w:p>
        </w:tc>
      </w:tr>
      <w:tr>
        <w:tc>
          <w:tcPr>
            <w:tcW w:type="dxa" w:w="500"/>
            <w:tcMar>
              <w:top w:type="dxa" w:w="55"/>
              <w:left w:type="dxa" w:w="90"/>
              <w:bottom w:type="dxa" w:w="55"/>
              <w:right w:type="dxa" w:w="90"/>
            </w:tcMar>
          </w:tcPr>
          <w:p>
            <w:r>
              <w:rPr>
                <w:b w:val="false"/>
                <w:bCs w:val="false"/>
                <w:sz w:val="17"/>
                <w:szCs w:val="17"/>
              </w:rPr>
              <w:t xml:space="preserve">6-1</w:t>
            </w:r>
          </w:p>
        </w:tc>
        <w:tc>
          <w:tcPr>
            <w:tcW w:type="dxa" w:w="3500"/>
            <w:tcMar>
              <w:top w:type="dxa" w:w="55"/>
              <w:left w:type="dxa" w:w="90"/>
              <w:bottom w:type="dxa" w:w="55"/>
              <w:right w:type="dxa" w:w="90"/>
            </w:tcMar>
          </w:tcPr>
          <w:p>
            <w:r>
              <w:rPr>
                <w:b w:val="false"/>
                <w:bCs w:val="false"/>
                <w:sz w:val="17"/>
                <w:szCs w:val="17"/>
              </w:rPr>
              <w:t xml:space="preserve">As a tenant admin or operator, open the real Staff Invite wizard in the browser and submit a genuinely new email.</w:t>
            </w:r>
          </w:p>
        </w:tc>
        <w:tc>
          <w:tcPr>
            <w:tcW w:type="dxa" w:w="5360"/>
            <w:tcMar>
              <w:top w:type="dxa" w:w="55"/>
              <w:left w:type="dxa" w:w="90"/>
              <w:bottom w:type="dxa" w:w="55"/>
              <w:right w:type="dxa" w:w="90"/>
            </w:tcMar>
          </w:tcPr>
          <w:p>
            <w:r>
              <w:rPr>
                <w:b w:val="false"/>
                <w:bCs w:val="false"/>
                <w:sz w:val="17"/>
                <w:szCs w:val="17"/>
              </w:rPr>
              <w:t xml:space="preserve">Screenshot of the submitted form and the success confirmation shown in the UI.</w:t>
            </w:r>
          </w:p>
        </w:tc>
      </w:tr>
      <w:tr>
        <w:tc>
          <w:tcPr>
            <w:tcW w:type="dxa" w:w="500"/>
            <w:shd w:fill="EAF2F6" w:val="clear"/>
            <w:tcMar>
              <w:top w:type="dxa" w:w="55"/>
              <w:left w:type="dxa" w:w="90"/>
              <w:bottom w:type="dxa" w:w="55"/>
              <w:right w:type="dxa" w:w="90"/>
            </w:tcMar>
          </w:tcPr>
          <w:p>
            <w:r>
              <w:rPr>
                <w:b w:val="false"/>
                <w:bCs w:val="false"/>
                <w:sz w:val="17"/>
                <w:szCs w:val="17"/>
              </w:rPr>
              <w:t xml:space="preserve">6-2</w:t>
            </w:r>
          </w:p>
        </w:tc>
        <w:tc>
          <w:tcPr>
            <w:tcW w:type="dxa" w:w="3500"/>
            <w:shd w:fill="EAF2F6" w:val="clear"/>
            <w:tcMar>
              <w:top w:type="dxa" w:w="55"/>
              <w:left w:type="dxa" w:w="90"/>
              <w:bottom w:type="dxa" w:w="55"/>
              <w:right w:type="dxa" w:w="90"/>
            </w:tcMar>
          </w:tcPr>
          <w:p>
            <w:r>
              <w:rPr>
                <w:b w:val="false"/>
                <w:bCs w:val="false"/>
                <w:sz w:val="17"/>
                <w:szCs w:val="17"/>
              </w:rPr>
              <w:t xml:space="preserve">Check the backend logs for that exact request.</w:t>
            </w:r>
          </w:p>
        </w:tc>
        <w:tc>
          <w:tcPr>
            <w:tcW w:type="dxa" w:w="5360"/>
            <w:shd w:fill="EAF2F6" w:val="clear"/>
            <w:tcMar>
              <w:top w:type="dxa" w:w="55"/>
              <w:left w:type="dxa" w:w="90"/>
              <w:bottom w:type="dxa" w:w="55"/>
              <w:right w:type="dxa" w:w="90"/>
            </w:tcMar>
          </w:tcPr>
          <w:p>
            <w:r>
              <w:rPr>
                <w:b w:val="false"/>
                <w:bCs w:val="false"/>
                <w:sz w:val="17"/>
                <w:szCs w:val="17"/>
              </w:rPr>
              <w:t xml:space="preserve">Literal log line showing 200/201, not 422.</w:t>
            </w:r>
          </w:p>
        </w:tc>
      </w:tr>
      <w:tr>
        <w:tc>
          <w:tcPr>
            <w:tcW w:type="dxa" w:w="500"/>
            <w:tcMar>
              <w:top w:type="dxa" w:w="55"/>
              <w:left w:type="dxa" w:w="90"/>
              <w:bottom w:type="dxa" w:w="55"/>
              <w:right w:type="dxa" w:w="90"/>
            </w:tcMar>
          </w:tcPr>
          <w:p>
            <w:r>
              <w:rPr>
                <w:b w:val="false"/>
                <w:bCs w:val="false"/>
                <w:sz w:val="17"/>
                <w:szCs w:val="17"/>
              </w:rPr>
              <w:t xml:space="preserve">6-3</w:t>
            </w:r>
          </w:p>
        </w:tc>
        <w:tc>
          <w:tcPr>
            <w:tcW w:type="dxa" w:w="3500"/>
            <w:tcMar>
              <w:top w:type="dxa" w:w="55"/>
              <w:left w:type="dxa" w:w="90"/>
              <w:bottom w:type="dxa" w:w="55"/>
              <w:right w:type="dxa" w:w="90"/>
            </w:tcMar>
          </w:tcPr>
          <w:p>
            <w:r>
              <w:rPr>
                <w:b w:val="false"/>
                <w:bCs w:val="false"/>
                <w:sz w:val="17"/>
                <w:szCs w:val="17"/>
              </w:rPr>
              <w:t xml:space="preserve">Check Keycloak admin console for the new user.</w:t>
            </w:r>
          </w:p>
        </w:tc>
        <w:tc>
          <w:tcPr>
            <w:tcW w:type="dxa" w:w="5360"/>
            <w:tcMar>
              <w:top w:type="dxa" w:w="55"/>
              <w:left w:type="dxa" w:w="90"/>
              <w:bottom w:type="dxa" w:w="55"/>
              <w:right w:type="dxa" w:w="90"/>
            </w:tcMar>
          </w:tcPr>
          <w:p>
            <w:r>
              <w:rPr>
                <w:b w:val="false"/>
                <w:bCs w:val="false"/>
                <w:sz w:val="17"/>
                <w:szCs w:val="17"/>
              </w:rPr>
              <w:t xml:space="preserve">Screenshot showing the user present, with the correct tenant_id attribute and role.</w:t>
            </w:r>
          </w:p>
        </w:tc>
      </w:tr>
      <w:tr>
        <w:tc>
          <w:tcPr>
            <w:tcW w:type="dxa" w:w="500"/>
            <w:shd w:fill="EAF2F6" w:val="clear"/>
            <w:tcMar>
              <w:top w:type="dxa" w:w="55"/>
              <w:left w:type="dxa" w:w="90"/>
              <w:bottom w:type="dxa" w:w="55"/>
              <w:right w:type="dxa" w:w="90"/>
            </w:tcMar>
          </w:tcPr>
          <w:p>
            <w:r>
              <w:rPr>
                <w:b w:val="false"/>
                <w:bCs w:val="false"/>
                <w:sz w:val="17"/>
                <w:szCs w:val="17"/>
              </w:rPr>
              <w:t xml:space="preserve">6-4</w:t>
            </w:r>
          </w:p>
        </w:tc>
        <w:tc>
          <w:tcPr>
            <w:tcW w:type="dxa" w:w="3500"/>
            <w:shd w:fill="EAF2F6" w:val="clear"/>
            <w:tcMar>
              <w:top w:type="dxa" w:w="55"/>
              <w:left w:type="dxa" w:w="90"/>
              <w:bottom w:type="dxa" w:w="55"/>
              <w:right w:type="dxa" w:w="90"/>
            </w:tcMar>
          </w:tcPr>
          <w:p>
            <w:r>
              <w:rPr>
                <w:b w:val="false"/>
                <w:bCs w:val="false"/>
                <w:sz w:val="17"/>
                <w:szCs w:val="17"/>
              </w:rPr>
              <w:t xml:space="preserve">Complete the account activation as the invited user would (set password via the required action).</w:t>
            </w:r>
          </w:p>
        </w:tc>
        <w:tc>
          <w:tcPr>
            <w:tcW w:type="dxa" w:w="5360"/>
            <w:shd w:fill="EAF2F6" w:val="clear"/>
            <w:tcMar>
              <w:top w:type="dxa" w:w="55"/>
              <w:left w:type="dxa" w:w="90"/>
              <w:bottom w:type="dxa" w:w="55"/>
              <w:right w:type="dxa" w:w="90"/>
            </w:tcMar>
          </w:tcPr>
          <w:p>
            <w:r>
              <w:rPr>
                <w:b w:val="false"/>
                <w:bCs w:val="false"/>
                <w:sz w:val="17"/>
                <w:szCs w:val="17"/>
              </w:rPr>
              <w:t xml:space="preserve">Confirm this step works without needing any manual intervention.</w:t>
            </w:r>
          </w:p>
        </w:tc>
      </w:tr>
      <w:tr>
        <w:tc>
          <w:tcPr>
            <w:tcW w:type="dxa" w:w="500"/>
            <w:tcMar>
              <w:top w:type="dxa" w:w="55"/>
              <w:left w:type="dxa" w:w="90"/>
              <w:bottom w:type="dxa" w:w="55"/>
              <w:right w:type="dxa" w:w="90"/>
            </w:tcMar>
          </w:tcPr>
          <w:p>
            <w:r>
              <w:rPr>
                <w:b w:val="false"/>
                <w:bCs w:val="false"/>
                <w:sz w:val="17"/>
                <w:szCs w:val="17"/>
              </w:rPr>
              <w:t xml:space="preserve">6-5</w:t>
            </w:r>
          </w:p>
        </w:tc>
        <w:tc>
          <w:tcPr>
            <w:tcW w:type="dxa" w:w="3500"/>
            <w:tcMar>
              <w:top w:type="dxa" w:w="55"/>
              <w:left w:type="dxa" w:w="90"/>
              <w:bottom w:type="dxa" w:w="55"/>
              <w:right w:type="dxa" w:w="90"/>
            </w:tcMar>
          </w:tcPr>
          <w:p>
            <w:r>
              <w:rPr>
                <w:b w:val="false"/>
                <w:bCs w:val="false"/>
                <w:sz w:val="17"/>
                <w:szCs w:val="17"/>
              </w:rPr>
              <w:t xml:space="preserve">Log in as that invited user through the real Keycloak SSO flow (not dev tokens).</w:t>
            </w:r>
          </w:p>
        </w:tc>
        <w:tc>
          <w:tcPr>
            <w:tcW w:type="dxa" w:w="5360"/>
            <w:tcMar>
              <w:top w:type="dxa" w:w="55"/>
              <w:left w:type="dxa" w:w="90"/>
              <w:bottom w:type="dxa" w:w="55"/>
              <w:right w:type="dxa" w:w="90"/>
            </w:tcMar>
          </w:tcPr>
          <w:p>
            <w:r>
              <w:rPr>
                <w:b w:val="false"/>
                <w:bCs w:val="false"/>
                <w:sz w:val="17"/>
                <w:szCs w:val="17"/>
              </w:rPr>
              <w:t xml:space="preserve">Screenshot of landing on the correct role-gated screen.</w:t>
            </w:r>
          </w:p>
        </w:tc>
      </w:tr>
      <w:tr>
        <w:tc>
          <w:tcPr>
            <w:tcW w:type="dxa" w:w="500"/>
            <w:shd w:fill="EAF2F6" w:val="clear"/>
            <w:tcMar>
              <w:top w:type="dxa" w:w="55"/>
              <w:left w:type="dxa" w:w="90"/>
              <w:bottom w:type="dxa" w:w="55"/>
              <w:right w:type="dxa" w:w="90"/>
            </w:tcMar>
          </w:tcPr>
          <w:p>
            <w:r>
              <w:rPr>
                <w:b w:val="false"/>
                <w:bCs w:val="false"/>
                <w:sz w:val="17"/>
                <w:szCs w:val="17"/>
              </w:rPr>
              <w:t xml:space="preserve">6-6</w:t>
            </w:r>
          </w:p>
        </w:tc>
        <w:tc>
          <w:tcPr>
            <w:tcW w:type="dxa" w:w="3500"/>
            <w:shd w:fill="EAF2F6" w:val="clear"/>
            <w:tcMar>
              <w:top w:type="dxa" w:w="55"/>
              <w:left w:type="dxa" w:w="90"/>
              <w:bottom w:type="dxa" w:w="55"/>
              <w:right w:type="dxa" w:w="90"/>
            </w:tcMar>
          </w:tcPr>
          <w:p>
            <w:r>
              <w:rPr>
                <w:b w:val="false"/>
                <w:bCs w:val="false"/>
                <w:sz w:val="17"/>
                <w:szCs w:val="17"/>
              </w:rPr>
              <w:t xml:space="preserve">Re-run the full pytest suite once more, to confirm the fix didn't regress anything already passing.</w:t>
            </w:r>
          </w:p>
        </w:tc>
        <w:tc>
          <w:tcPr>
            <w:tcW w:type="dxa" w:w="5360"/>
            <w:shd w:fill="EAF2F6" w:val="clear"/>
            <w:tcMar>
              <w:top w:type="dxa" w:w="55"/>
              <w:left w:type="dxa" w:w="90"/>
              <w:bottom w:type="dxa" w:w="55"/>
              <w:right w:type="dxa" w:w="90"/>
            </w:tcMar>
          </w:tcPr>
          <w:p>
            <w:r>
              <w:rPr>
                <w:b w:val="false"/>
                <w:bCs w:val="false"/>
                <w:sz w:val="17"/>
                <w:szCs w:val="17"/>
              </w:rPr>
              <w:t xml:space="preserve">Literal pytest output.</w:t>
            </w:r>
          </w:p>
        </w:tc>
      </w:tr>
    </w:tbl>
    <w:p>
      <w:pPr>
        <w:spacing w:after="150"/>
      </w:pPr>
    </w:p>
    <w:p>
      <w:pPr>
        <w:pStyle w:val="Heading1"/>
        <w:spacing w:after="120" w:before="280"/>
      </w:pPr>
      <w:r>
        <w:rPr>
          <w:color w:val="1F4E5F"/>
        </w:rPr>
        <w:t xml:space="preserve">7. A Separate Finding — Report, Don't Fix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portal_invitation RLS violations, unrelated to staff invites.  </w:t>
            </w:r>
          </w:p>
          <w:p>
            <w:pPr>
              <w:spacing w:before="40"/>
            </w:pPr>
            <w:r>
              <w:rPr>
                <w:color w:val="5A4326"/>
                <w:sz w:val="20"/>
                <w:szCs w:val="20"/>
              </w:rPr>
              <w:t xml:space="preserve">The same log file shows repeated 'new row violates row-level security policy for table portal_invitation' errors (patient portal invitations, a different feature) at several points across the week. This is a real, separate bug — very likely the same class of issue as the earlier seed-script problem, where a write happens without the correct tenant context set. It does not block this document's work, but it should be filed as its own ticket so it isn't lost — do not silently fix it as a side effect of this investigation without tracking it explicitly.</w:t>
            </w:r>
          </w:p>
        </w:tc>
      </w:tr>
    </w:tbl>
    <w:p>
      <w:pPr>
        <w:spacing w:after="150"/>
      </w:pPr>
    </w:p>
    <w:p>
      <w:pPr>
        <w:pStyle w:val="Heading1"/>
        <w:spacing w:after="120" w:before="280"/>
      </w:pPr>
      <w:r>
        <w:rPr>
          <w:color w:val="1F4E5F"/>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8860"/>
            <w:shd w:fill="1F4E5F" w:val="clear"/>
            <w:tcMar>
              <w:top w:type="dxa" w:w="55"/>
              <w:left w:type="dxa" w:w="90"/>
              <w:bottom w:type="dxa" w:w="55"/>
              <w:right w:type="dxa" w:w="90"/>
            </w:tcMar>
          </w:tcPr>
          <w:p>
            <w:r>
              <w:rPr>
                <w:b/>
                <w:bCs/>
                <w:color w:val="FFFFFF"/>
                <w:sz w:val="17"/>
                <w:szCs w:val="17"/>
              </w:rPr>
              <w:t xml:space="preserve">Check</w:t>
            </w:r>
          </w:p>
        </w:tc>
      </w:tr>
      <w:tr>
        <w:tc>
          <w:tcPr>
            <w:tcW w:type="dxa" w:w="500"/>
            <w:tcMar>
              <w:top w:type="dxa" w:w="55"/>
              <w:left w:type="dxa" w:w="90"/>
              <w:bottom w:type="dxa" w:w="55"/>
              <w:right w:type="dxa" w:w="90"/>
            </w:tcMar>
          </w:tcPr>
          <w:p>
            <w:r>
              <w:rPr>
                <w:b w:val="false"/>
                <w:bCs w:val="false"/>
                <w:sz w:val="17"/>
                <w:szCs w:val="17"/>
              </w:rPr>
              <w:t xml:space="preserve">1</w:t>
            </w:r>
          </w:p>
        </w:tc>
        <w:tc>
          <w:tcPr>
            <w:tcW w:type="dxa" w:w="8860"/>
            <w:tcMar>
              <w:top w:type="dxa" w:w="55"/>
              <w:left w:type="dxa" w:w="90"/>
              <w:bottom w:type="dxa" w:w="55"/>
              <w:right w:type="dxa" w:w="90"/>
            </w:tcMar>
          </w:tcPr>
          <w:p>
            <w:r>
              <w:rPr>
                <w:b w:val="false"/>
                <w:bCs w:val="false"/>
                <w:sz w:val="17"/>
                <w:szCs w:val="17"/>
              </w:rPr>
              <w:t xml:space="preserve">The real 422 error body has been captured and understood — not guessed at.</w:t>
            </w:r>
          </w:p>
        </w:tc>
      </w:tr>
      <w:tr>
        <w:tc>
          <w:tcPr>
            <w:tcW w:type="dxa" w:w="500"/>
            <w:shd w:fill="EAF2F6" w:val="clear"/>
            <w:tcMar>
              <w:top w:type="dxa" w:w="55"/>
              <w:left w:type="dxa" w:w="90"/>
              <w:bottom w:type="dxa" w:w="55"/>
              <w:right w:type="dxa" w:w="90"/>
            </w:tcMar>
          </w:tcPr>
          <w:p>
            <w:r>
              <w:rPr>
                <w:b w:val="false"/>
                <w:bCs w:val="false"/>
                <w:sz w:val="17"/>
                <w:szCs w:val="17"/>
              </w:rPr>
              <w:t xml:space="preserve">2</w:t>
            </w:r>
          </w:p>
        </w:tc>
        <w:tc>
          <w:tcPr>
            <w:tcW w:type="dxa" w:w="8860"/>
            <w:shd w:fill="EAF2F6" w:val="clear"/>
            <w:tcMar>
              <w:top w:type="dxa" w:w="55"/>
              <w:left w:type="dxa" w:w="90"/>
              <w:bottom w:type="dxa" w:w="55"/>
              <w:right w:type="dxa" w:w="90"/>
            </w:tcMar>
          </w:tcPr>
          <w:p>
            <w:r>
              <w:rPr>
                <w:b w:val="false"/>
                <w:bCs w:val="false"/>
                <w:sz w:val="17"/>
                <w:szCs w:val="17"/>
              </w:rPr>
              <w:t xml:space="preserve">The specific mismatch (frontend vs backend contract) is fixed and stated plainly in the PR description.</w:t>
            </w:r>
          </w:p>
        </w:tc>
      </w:tr>
      <w:tr>
        <w:tc>
          <w:tcPr>
            <w:tcW w:type="dxa" w:w="500"/>
            <w:tcMar>
              <w:top w:type="dxa" w:w="55"/>
              <w:left w:type="dxa" w:w="90"/>
              <w:bottom w:type="dxa" w:w="55"/>
              <w:right w:type="dxa" w:w="90"/>
            </w:tcMar>
          </w:tcPr>
          <w:p>
            <w:r>
              <w:rPr>
                <w:b w:val="false"/>
                <w:bCs w:val="false"/>
                <w:sz w:val="17"/>
                <w:szCs w:val="17"/>
              </w:rPr>
              <w:t xml:space="preserve">3</w:t>
            </w:r>
          </w:p>
        </w:tc>
        <w:tc>
          <w:tcPr>
            <w:tcW w:type="dxa" w:w="8860"/>
            <w:tcMar>
              <w:top w:type="dxa" w:w="55"/>
              <w:left w:type="dxa" w:w="90"/>
              <w:bottom w:type="dxa" w:w="55"/>
              <w:right w:type="dxa" w:w="90"/>
            </w:tcMar>
          </w:tcPr>
          <w:p>
            <w:r>
              <w:rPr>
                <w:b w:val="false"/>
                <w:bCs w:val="false"/>
                <w:sz w:val="17"/>
                <w:szCs w:val="17"/>
              </w:rPr>
              <w:t xml:space="preserve">It's been determined and documented whether admin_ranbow@yopmail.com was manually created, and any other affected accounts identified.</w:t>
            </w:r>
          </w:p>
        </w:tc>
      </w:tr>
      <w:tr>
        <w:tc>
          <w:tcPr>
            <w:tcW w:type="dxa" w:w="500"/>
            <w:shd w:fill="EAF2F6" w:val="clear"/>
            <w:tcMar>
              <w:top w:type="dxa" w:w="55"/>
              <w:left w:type="dxa" w:w="90"/>
              <w:bottom w:type="dxa" w:w="55"/>
              <w:right w:type="dxa" w:w="90"/>
            </w:tcMar>
          </w:tcPr>
          <w:p>
            <w:r>
              <w:rPr>
                <w:b w:val="false"/>
                <w:bCs w:val="false"/>
                <w:sz w:val="17"/>
                <w:szCs w:val="17"/>
              </w:rPr>
              <w:t xml:space="preserve">4</w:t>
            </w:r>
          </w:p>
        </w:tc>
        <w:tc>
          <w:tcPr>
            <w:tcW w:type="dxa" w:w="8860"/>
            <w:shd w:fill="EAF2F6" w:val="clear"/>
            <w:tcMar>
              <w:top w:type="dxa" w:w="55"/>
              <w:left w:type="dxa" w:w="90"/>
              <w:bottom w:type="dxa" w:w="55"/>
              <w:right w:type="dxa" w:w="90"/>
            </w:tcMar>
          </w:tcPr>
          <w:p>
            <w:r>
              <w:rPr>
                <w:b w:val="false"/>
                <w:bCs w:val="false"/>
                <w:sz w:val="17"/>
                <w:szCs w:val="17"/>
              </w:rPr>
              <w:t xml:space="preserve">The STAFF_ENROLLED go-live question (Section 5) has a documented answer — either 'working as intended, here's why' or 'this is a bug, ticket filed.'</w:t>
            </w:r>
          </w:p>
        </w:tc>
      </w:tr>
      <w:tr>
        <w:tc>
          <w:tcPr>
            <w:tcW w:type="dxa" w:w="500"/>
            <w:tcMar>
              <w:top w:type="dxa" w:w="55"/>
              <w:left w:type="dxa" w:w="90"/>
              <w:bottom w:type="dxa" w:w="55"/>
              <w:right w:type="dxa" w:w="90"/>
            </w:tcMar>
          </w:tcPr>
          <w:p>
            <w:r>
              <w:rPr>
                <w:b w:val="false"/>
                <w:bCs w:val="false"/>
                <w:sz w:val="17"/>
                <w:szCs w:val="17"/>
              </w:rPr>
              <w:t xml:space="preserve">5</w:t>
            </w:r>
          </w:p>
        </w:tc>
        <w:tc>
          <w:tcPr>
            <w:tcW w:type="dxa" w:w="8860"/>
            <w:tcMar>
              <w:top w:type="dxa" w:w="55"/>
              <w:left w:type="dxa" w:w="90"/>
              <w:bottom w:type="dxa" w:w="55"/>
              <w:right w:type="dxa" w:w="90"/>
            </w:tcMar>
          </w:tcPr>
          <w:p>
            <w:r>
              <w:rPr>
                <w:b w:val="false"/>
                <w:bCs w:val="false"/>
                <w:sz w:val="17"/>
                <w:szCs w:val="17"/>
              </w:rPr>
              <w:t xml:space="preserve">The full six-step real-browser proof in Section 6 is complete with the literal evidence listed — screenshots and log lines, not descriptions.</w:t>
            </w:r>
          </w:p>
        </w:tc>
      </w:tr>
      <w:tr>
        <w:tc>
          <w:tcPr>
            <w:tcW w:type="dxa" w:w="500"/>
            <w:shd w:fill="EAF2F6" w:val="clear"/>
            <w:tcMar>
              <w:top w:type="dxa" w:w="55"/>
              <w:left w:type="dxa" w:w="90"/>
              <w:bottom w:type="dxa" w:w="55"/>
              <w:right w:type="dxa" w:w="90"/>
            </w:tcMar>
          </w:tcPr>
          <w:p>
            <w:r>
              <w:rPr>
                <w:b w:val="false"/>
                <w:bCs w:val="false"/>
                <w:sz w:val="17"/>
                <w:szCs w:val="17"/>
              </w:rPr>
              <w:t xml:space="preserve">6</w:t>
            </w:r>
          </w:p>
        </w:tc>
        <w:tc>
          <w:tcPr>
            <w:tcW w:type="dxa" w:w="8860"/>
            <w:shd w:fill="EAF2F6" w:val="clear"/>
            <w:tcMar>
              <w:top w:type="dxa" w:w="55"/>
              <w:left w:type="dxa" w:w="90"/>
              <w:bottom w:type="dxa" w:w="55"/>
              <w:right w:type="dxa" w:w="90"/>
            </w:tcMar>
          </w:tcPr>
          <w:p>
            <w:r>
              <w:rPr>
                <w:b w:val="false"/>
                <w:bCs w:val="false"/>
                <w:sz w:val="17"/>
                <w:szCs w:val="17"/>
              </w:rPr>
              <w:t xml:space="preserve">The portal_invitation RLS bug is filed as its own ticket, referenced but not silently absorbed into this fix.</w:t>
            </w:r>
          </w:p>
        </w:tc>
      </w:tr>
    </w:tbl>
    <w:p>
      <w:pPr>
        <w:spacing w:after="150"/>
      </w:pPr>
    </w:p>
    <w:p>
      <w:pPr>
        <w:spacing w:after="120" w:line="284"/>
        <w:jc w:val="both"/>
      </w:pPr>
      <w:r>
        <w:rPr>
          <w:sz w:val="22"/>
          <w:szCs w:val="22"/>
        </w:rPr>
        <w:t xml:space="preserve">Report back the same way as every other item in this project: literal command output, real screenshots, decoded tokens where relevant — never a description of what should now be working.</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Staff Invite 422 — Investigation &amp; Fix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 w:type="paragraph" w:styleId="Heading2">
    <w:name w:val="Heading 2"/>
    <w:basedOn w:val="Normal"/>
    <w:next w:val="Normal"/>
    <w:qFormat/>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2026-07-31T02:18:36.608Z</dcterms:created>
  <dcterms:modified xsi:type="dcterms:W3CDTF">2026-07-31T02:18:36.623Z</dcterms:modified>
</cp:coreProperties>
</file>

<file path=docProps/custom.xml><?xml version="1.0" encoding="utf-8"?>
<Properties xmlns="http://schemas.openxmlformats.org/officeDocument/2006/custom-properties" xmlns:vt="http://schemas.openxmlformats.org/officeDocument/2006/docPropsVTypes"/>
</file>