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pPr>
      <w:r>
        <w:rPr>
          <w:b/>
          <w:bCs/>
          <w:color w:val="1F4E5F"/>
          <w:sz w:val="36"/>
          <w:szCs w:val="36"/>
        </w:rPr>
        <w:t xml:space="preserve">Phase D Remediation — Requirements Doc</w:t>
      </w:r>
    </w:p>
    <w:p>
      <w:pPr>
        <w:spacing w:after="180"/>
      </w:pPr>
      <w:r>
        <w:rPr>
          <w:i/>
          <w:iCs/>
          <w:color w:val="555555"/>
          <w:sz w:val="22"/>
          <w:szCs w:val="22"/>
        </w:rPr>
        <w:t xml:space="preserve">Closing the 6 unverified OIDC/staging items before Phase E resumes.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BEEDC" w:val="clear"/>
            <w:tcMar>
              <w:top w:type="dxa" w:w="110"/>
              <w:left w:type="dxa" w:w="150"/>
              <w:bottom w:type="dxa" w:w="110"/>
              <w:right w:type="dxa" w:w="150"/>
            </w:tcMar>
          </w:tcPr>
          <w:p>
            <w:r>
              <w:rPr>
                <w:b/>
                <w:bCs/>
                <w:color w:val="8A4B08"/>
                <w:sz w:val="20"/>
                <w:szCs w:val="20"/>
              </w:rPr>
              <w:t xml:space="preserve">Standing rule (unchanged).  </w:t>
            </w:r>
          </w:p>
          <w:p>
            <w:pPr>
              <w:spacing w:before="40"/>
            </w:pPr>
            <w:r>
              <w:rPr>
                <w:color w:val="5A4326"/>
                <w:sz w:val="20"/>
                <w:szCs w:val="20"/>
              </w:rPr>
              <w:t xml:space="preserve">Phase E (Tenant Onboarding) work is PAUSED. No ticket outside this document is worked until all 6 requirements below are demonstrated with real, pasted evidence — not a status summary.</w:t>
            </w:r>
          </w:p>
        </w:tc>
      </w:tr>
    </w:tbl>
    <w:p>
      <w:pPr>
        <w:spacing w:after="150"/>
      </w:pPr>
    </w:p>
    <w:p>
      <w:pPr>
        <w:pStyle w:val="Heading1"/>
        <w:spacing w:after="120" w:before="300"/>
      </w:pPr>
      <w:r>
        <w:rPr>
          <w:color w:val="1F4E5F"/>
        </w:rPr>
        <w:t xml:space="preserve">Context</w:t>
      </w:r>
    </w:p>
    <w:p>
      <w:pPr>
        <w:spacing w:after="120" w:line="284"/>
        <w:jc w:val="both"/>
      </w:pPr>
      <w:r>
        <w:rPr>
          <w:sz w:val="22"/>
          <w:szCs w:val="22"/>
        </w:rPr>
        <w:t xml:space="preserve">Phase D's stated goal was: real Keycloak/OIDC authentication replacing the dev-token stub on both backend and frontend, plus a live, hardened staging deployment. Prior reports claimed this complete based on configuration review (realm exported, JWT validator code written, AuthProvider swapped) and a Playwright run that still used the dev-token login path — which proves the dev stub still works, not that OIDC works. This document specifies exactly what 'done' means for each of the 6 open items, as testable requirements, so the next report can be verified against them directly rather than interpreted.</w:t>
      </w:r>
    </w:p>
    <w:p>
      <w:pPr>
        <w:spacing w:after="150"/>
      </w:pPr>
    </w:p>
    <w:p>
      <w:pPr>
        <w:pStyle w:val="Heading1"/>
        <w:spacing w:after="120" w:before="300"/>
      </w:pPr>
      <w:r>
        <w:rPr>
          <w:color w:val="1F4E5F"/>
        </w:rPr>
        <w:t xml:space="preserve">REQ-D1 — Real Browser OIDC Login (the core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5F" w:val="clear"/>
            <w:tcMar>
              <w:top w:type="dxa" w:w="55"/>
              <w:left w:type="dxa" w:w="90"/>
              <w:bottom w:type="dxa" w:w="55"/>
              <w:right w:type="dxa" w:w="90"/>
            </w:tcMar>
          </w:tcPr>
          <w:p>
            <w:r>
              <w:rPr>
                <w:b/>
                <w:bCs/>
                <w:color w:val="FFFFFF"/>
                <w:sz w:val="17"/>
                <w:szCs w:val="17"/>
              </w:rPr>
              <w:t xml:space="preserve">Field</w:t>
            </w:r>
          </w:p>
        </w:tc>
        <w:tc>
          <w:tcPr>
            <w:tcW w:type="dxa" w:w="7360"/>
            <w:shd w:fill="1F4E5F" w:val="clear"/>
            <w:tcMar>
              <w:top w:type="dxa" w:w="55"/>
              <w:left w:type="dxa" w:w="90"/>
              <w:bottom w:type="dxa" w:w="55"/>
              <w:right w:type="dxa" w:w="90"/>
            </w:tcMar>
          </w:tcPr>
          <w:p>
            <w:r>
              <w:rPr>
                <w:b/>
                <w:bCs/>
                <w:color w:val="FFFFFF"/>
                <w:sz w:val="17"/>
                <w:szCs w:val="17"/>
              </w:rPr>
              <w:t xml:space="preserve">Detail</w:t>
            </w:r>
          </w:p>
        </w:tc>
      </w:tr>
      <w:tr>
        <w:tc>
          <w:tcPr>
            <w:tcW w:type="dxa" w:w="2000"/>
            <w:tcMar>
              <w:top w:type="dxa" w:w="55"/>
              <w:left w:type="dxa" w:w="90"/>
              <w:bottom w:type="dxa" w:w="55"/>
              <w:right w:type="dxa" w:w="90"/>
            </w:tcMar>
          </w:tcPr>
          <w:p>
            <w:r>
              <w:rPr>
                <w:b w:val="false"/>
                <w:bCs w:val="false"/>
                <w:sz w:val="17"/>
                <w:szCs w:val="17"/>
              </w:rPr>
              <w:t xml:space="preserve">Requirement</w:t>
            </w:r>
          </w:p>
        </w:tc>
        <w:tc>
          <w:tcPr>
            <w:tcW w:type="dxa" w:w="7360"/>
            <w:tcMar>
              <w:top w:type="dxa" w:w="55"/>
              <w:left w:type="dxa" w:w="90"/>
              <w:bottom w:type="dxa" w:w="55"/>
              <w:right w:type="dxa" w:w="90"/>
            </w:tcMar>
          </w:tcPr>
          <w:p>
            <w:r>
              <w:rPr>
                <w:b w:val="false"/>
                <w:bCs w:val="false"/>
                <w:sz w:val="17"/>
                <w:szCs w:val="17"/>
              </w:rPr>
              <w:t xml:space="preserve">A human opens the app in a real browser, is redirected to Keycloak, authenticates with a real (even throwaway) username/password created in the hms realm, is redirected back to the app with a valid session, and the app successfully calls a protected API using the resulting token.</w:t>
            </w:r>
          </w:p>
        </w:tc>
      </w:tr>
      <w:tr>
        <w:tc>
          <w:tcPr>
            <w:tcW w:type="dxa" w:w="2000"/>
            <w:shd w:fill="EAF2F6" w:val="clear"/>
            <w:tcMar>
              <w:top w:type="dxa" w:w="55"/>
              <w:left w:type="dxa" w:w="90"/>
              <w:bottom w:type="dxa" w:w="55"/>
              <w:right w:type="dxa" w:w="90"/>
            </w:tcMar>
          </w:tcPr>
          <w:p>
            <w:r>
              <w:rPr>
                <w:b w:val="false"/>
                <w:bCs w:val="false"/>
                <w:sz w:val="17"/>
                <w:szCs w:val="17"/>
              </w:rPr>
              <w:t xml:space="preserve">Why this is REQ-D1, not optional</w:t>
            </w:r>
          </w:p>
        </w:tc>
        <w:tc>
          <w:tcPr>
            <w:tcW w:type="dxa" w:w="7360"/>
            <w:shd w:fill="EAF2F6" w:val="clear"/>
            <w:tcMar>
              <w:top w:type="dxa" w:w="55"/>
              <w:left w:type="dxa" w:w="90"/>
              <w:bottom w:type="dxa" w:w="55"/>
              <w:right w:type="dxa" w:w="90"/>
            </w:tcMar>
          </w:tcPr>
          <w:p>
            <w:r>
              <w:rPr>
                <w:b w:val="false"/>
                <w:bCs w:val="false"/>
                <w:sz w:val="17"/>
                <w:szCs w:val="17"/>
              </w:rPr>
              <w:t xml:space="preserve">Every other check in this document is downstream of this one working. If this fails, D2–D6 cannot be truthfully evaluated.</w:t>
            </w:r>
          </w:p>
        </w:tc>
      </w:tr>
      <w:tr>
        <w:tc>
          <w:tcPr>
            <w:tcW w:type="dxa" w:w="2000"/>
            <w:tcMar>
              <w:top w:type="dxa" w:w="55"/>
              <w:left w:type="dxa" w:w="90"/>
              <w:bottom w:type="dxa" w:w="55"/>
              <w:right w:type="dxa" w:w="90"/>
            </w:tcMar>
          </w:tcPr>
          <w:p>
            <w:r>
              <w:rPr>
                <w:b w:val="false"/>
                <w:bCs w:val="false"/>
                <w:sz w:val="17"/>
                <w:szCs w:val="17"/>
              </w:rPr>
              <w:t xml:space="preserve">Acceptance evidence required</w:t>
            </w:r>
          </w:p>
        </w:tc>
        <w:tc>
          <w:tcPr>
            <w:tcW w:type="dxa" w:w="7360"/>
            <w:tcMar>
              <w:top w:type="dxa" w:w="55"/>
              <w:left w:type="dxa" w:w="90"/>
              <w:bottom w:type="dxa" w:w="55"/>
              <w:right w:type="dxa" w:w="90"/>
            </w:tcMar>
          </w:tcPr>
          <w:p>
            <w:r>
              <w:rPr>
                <w:b w:val="false"/>
                <w:bCs w:val="false"/>
                <w:sz w:val="17"/>
                <w:szCs w:val="17"/>
              </w:rPr>
              <w:t xml:space="preserve">(a) The exact URL the browser was redirected to for login (must be a keycloak host/realm URL, e.g. http://localhost:8080/realms/hms/protocol/openid-connect/auth?...). (b) Confirmation the redirect-back to the app happened. (c) The decoded JWT payload (paste from jwt.io or equivalent) showing at minimum: sub, an app.tenant_id claim with a real tenant value, and a role claim. (d) A screenshot or described observation of a protected screen (e.g. Patients list) successfully showing real data while authenticated this way.</w:t>
            </w:r>
          </w:p>
        </w:tc>
      </w:tr>
      <w:tr>
        <w:tc>
          <w:tcPr>
            <w:tcW w:type="dxa" w:w="2000"/>
            <w:shd w:fill="EAF2F6" w:val="clear"/>
            <w:tcMar>
              <w:top w:type="dxa" w:w="55"/>
              <w:left w:type="dxa" w:w="90"/>
              <w:bottom w:type="dxa" w:w="55"/>
              <w:right w:type="dxa" w:w="90"/>
            </w:tcMar>
          </w:tcPr>
          <w:p>
            <w:r>
              <w:rPr>
                <w:b w:val="false"/>
                <w:bCs w:val="false"/>
                <w:sz w:val="17"/>
                <w:szCs w:val="17"/>
              </w:rPr>
              <w:t xml:space="preserve">Explicitly NOT acceptable as evidence</w:t>
            </w:r>
          </w:p>
        </w:tc>
        <w:tc>
          <w:tcPr>
            <w:tcW w:type="dxa" w:w="7360"/>
            <w:shd w:fill="EAF2F6" w:val="clear"/>
            <w:tcMar>
              <w:top w:type="dxa" w:w="55"/>
              <w:left w:type="dxa" w:w="90"/>
              <w:bottom w:type="dxa" w:w="55"/>
              <w:right w:type="dxa" w:w="90"/>
            </w:tcMar>
          </w:tcPr>
          <w:p>
            <w:r>
              <w:rPr>
                <w:b w:val="false"/>
                <w:bCs w:val="false"/>
                <w:sz w:val="17"/>
                <w:szCs w:val="17"/>
              </w:rPr>
              <w:t xml:space="preserve">'.well-known/openid-configuration returns 200' (proves Keycloak is alive, not that login works). 'AuthProvider.tsx was updated' (proves code was written, not that it runs correctly end to end). Any Playwright run that used a dev.&lt;tenant&gt;.&lt;role&gt; token.</w:t>
            </w:r>
          </w:p>
        </w:tc>
      </w:tr>
    </w:tbl>
    <w:p>
      <w:pPr>
        <w:spacing w:after="150"/>
      </w:pPr>
    </w:p>
    <w:p>
      <w:pPr>
        <w:pStyle w:val="Heading1"/>
        <w:spacing w:after="120" w:before="300"/>
      </w:pPr>
      <w:r>
        <w:rPr>
          <w:color w:val="1F4E5F"/>
        </w:rPr>
        <w:t xml:space="preserve">REQ-D2 — Playwright Specs Authenticate via Real OIDC (or documented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5F" w:val="clear"/>
            <w:tcMar>
              <w:top w:type="dxa" w:w="55"/>
              <w:left w:type="dxa" w:w="90"/>
              <w:bottom w:type="dxa" w:w="55"/>
              <w:right w:type="dxa" w:w="90"/>
            </w:tcMar>
          </w:tcPr>
          <w:p>
            <w:r>
              <w:rPr>
                <w:b/>
                <w:bCs/>
                <w:color w:val="FFFFFF"/>
                <w:sz w:val="17"/>
                <w:szCs w:val="17"/>
              </w:rPr>
              <w:t xml:space="preserve">Field</w:t>
            </w:r>
          </w:p>
        </w:tc>
        <w:tc>
          <w:tcPr>
            <w:tcW w:type="dxa" w:w="7360"/>
            <w:shd w:fill="1F4E5F" w:val="clear"/>
            <w:tcMar>
              <w:top w:type="dxa" w:w="55"/>
              <w:left w:type="dxa" w:w="90"/>
              <w:bottom w:type="dxa" w:w="55"/>
              <w:right w:type="dxa" w:w="90"/>
            </w:tcMar>
          </w:tcPr>
          <w:p>
            <w:r>
              <w:rPr>
                <w:b/>
                <w:bCs/>
                <w:color w:val="FFFFFF"/>
                <w:sz w:val="17"/>
                <w:szCs w:val="17"/>
              </w:rPr>
              <w:t xml:space="preserve">Detail</w:t>
            </w:r>
          </w:p>
        </w:tc>
      </w:tr>
      <w:tr>
        <w:tc>
          <w:tcPr>
            <w:tcW w:type="dxa" w:w="2000"/>
            <w:tcMar>
              <w:top w:type="dxa" w:w="55"/>
              <w:left w:type="dxa" w:w="90"/>
              <w:bottom w:type="dxa" w:w="55"/>
              <w:right w:type="dxa" w:w="90"/>
            </w:tcMar>
          </w:tcPr>
          <w:p>
            <w:r>
              <w:rPr>
                <w:b w:val="false"/>
                <w:bCs w:val="false"/>
                <w:sz w:val="17"/>
                <w:szCs w:val="17"/>
              </w:rPr>
              <w:t xml:space="preserve">Requirement</w:t>
            </w:r>
          </w:p>
        </w:tc>
        <w:tc>
          <w:tcPr>
            <w:tcW w:type="dxa" w:w="7360"/>
            <w:tcMar>
              <w:top w:type="dxa" w:w="55"/>
              <w:left w:type="dxa" w:w="90"/>
              <w:bottom w:type="dxa" w:w="55"/>
              <w:right w:type="dxa" w:w="90"/>
            </w:tcMar>
          </w:tcPr>
          <w:p>
            <w:r>
              <w:rPr>
                <w:b w:val="false"/>
                <w:bCs w:val="false"/>
                <w:sz w:val="17"/>
                <w:szCs w:val="17"/>
              </w:rPr>
              <w:t xml:space="preserve">Either: (A) both flagship spec files' login steps are rewritten to drive the real Keycloak flow (programmatic OIDC login, e.g. via Keycloak's direct grant/password flow for test users, or a documented Playwright auth-setup pattern), and both specs pass using that; OR (B) the specs continue using dev tokens ONLY inside an explicitly scoped, documented CI/test exception, with production and staging environments verified to reject dev tokens entirely (see REQ-D4).</w:t>
            </w:r>
          </w:p>
        </w:tc>
      </w:tr>
      <w:tr>
        <w:tc>
          <w:tcPr>
            <w:tcW w:type="dxa" w:w="2000"/>
            <w:shd w:fill="EAF2F6" w:val="clear"/>
            <w:tcMar>
              <w:top w:type="dxa" w:w="55"/>
              <w:left w:type="dxa" w:w="90"/>
              <w:bottom w:type="dxa" w:w="55"/>
              <w:right w:type="dxa" w:w="90"/>
            </w:tcMar>
          </w:tcPr>
          <w:p>
            <w:r>
              <w:rPr>
                <w:b w:val="false"/>
                <w:bCs w:val="false"/>
                <w:sz w:val="17"/>
                <w:szCs w:val="17"/>
              </w:rPr>
              <w:t xml:space="preserve">Why this matters</w:t>
            </w:r>
          </w:p>
        </w:tc>
        <w:tc>
          <w:tcPr>
            <w:tcW w:type="dxa" w:w="7360"/>
            <w:shd w:fill="EAF2F6" w:val="clear"/>
            <w:tcMar>
              <w:top w:type="dxa" w:w="55"/>
              <w:left w:type="dxa" w:w="90"/>
              <w:bottom w:type="dxa" w:w="55"/>
              <w:right w:type="dxa" w:w="90"/>
            </w:tcMar>
          </w:tcPr>
          <w:p>
            <w:r>
              <w:rPr>
                <w:b w:val="false"/>
                <w:bCs w:val="false"/>
                <w:sz w:val="17"/>
                <w:szCs w:val="17"/>
              </w:rPr>
              <w:t xml:space="preserve">If the specs still call dev.&lt;tenant&gt;.&lt;role&gt; and ALSO the running environment still accepts dev.&lt;tenant&gt;.&lt;role&gt;, then '11/11 passed' has validated nothing about the OIDC swap — it is the same test as before Phase D started.</w:t>
            </w:r>
          </w:p>
        </w:tc>
      </w:tr>
      <w:tr>
        <w:tc>
          <w:tcPr>
            <w:tcW w:type="dxa" w:w="2000"/>
            <w:tcMar>
              <w:top w:type="dxa" w:w="55"/>
              <w:left w:type="dxa" w:w="90"/>
              <w:bottom w:type="dxa" w:w="55"/>
              <w:right w:type="dxa" w:w="90"/>
            </w:tcMar>
          </w:tcPr>
          <w:p>
            <w:r>
              <w:rPr>
                <w:b w:val="false"/>
                <w:bCs w:val="false"/>
                <w:sz w:val="17"/>
                <w:szCs w:val="17"/>
              </w:rPr>
              <w:t xml:space="preserve">Acceptance evidence required</w:t>
            </w:r>
          </w:p>
        </w:tc>
        <w:tc>
          <w:tcPr>
            <w:tcW w:type="dxa" w:w="7360"/>
            <w:tcMar>
              <w:top w:type="dxa" w:w="55"/>
              <w:left w:type="dxa" w:w="90"/>
              <w:bottom w:type="dxa" w:w="55"/>
              <w:right w:type="dxa" w:w="90"/>
            </w:tcMar>
          </w:tcPr>
          <w:p>
            <w:r>
              <w:rPr>
                <w:b w:val="false"/>
                <w:bCs w:val="false"/>
                <w:sz w:val="17"/>
                <w:szCs w:val="17"/>
              </w:rPr>
              <w:t xml:space="preserve">Paste the ACTUAL current content of the login step(s) in referral-flow.spec.ts and rx-followup.spec.ts, verbatim. State explicitly which option (A or B) is implemented. If (B), show the config flag/env setting that scopes the dev-token acceptance to test-only.</w:t>
            </w:r>
          </w:p>
        </w:tc>
      </w:tr>
    </w:tbl>
    <w:p>
      <w:pPr>
        <w:spacing w:after="150"/>
      </w:pPr>
    </w:p>
    <w:p>
      <w:pPr>
        <w:pStyle w:val="Heading1"/>
        <w:spacing w:after="120" w:before="300"/>
      </w:pPr>
      <w:r>
        <w:rPr>
          <w:color w:val="1F4E5F"/>
        </w:rPr>
        <w:t xml:space="preserve">REQ-D3 — Dev Token Path Is Actually Disabled Outside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5F" w:val="clear"/>
            <w:tcMar>
              <w:top w:type="dxa" w:w="55"/>
              <w:left w:type="dxa" w:w="90"/>
              <w:bottom w:type="dxa" w:w="55"/>
              <w:right w:type="dxa" w:w="90"/>
            </w:tcMar>
          </w:tcPr>
          <w:p>
            <w:r>
              <w:rPr>
                <w:b/>
                <w:bCs/>
                <w:color w:val="FFFFFF"/>
                <w:sz w:val="17"/>
                <w:szCs w:val="17"/>
              </w:rPr>
              <w:t xml:space="preserve">Field</w:t>
            </w:r>
          </w:p>
        </w:tc>
        <w:tc>
          <w:tcPr>
            <w:tcW w:type="dxa" w:w="7360"/>
            <w:shd w:fill="1F4E5F" w:val="clear"/>
            <w:tcMar>
              <w:top w:type="dxa" w:w="55"/>
              <w:left w:type="dxa" w:w="90"/>
              <w:bottom w:type="dxa" w:w="55"/>
              <w:right w:type="dxa" w:w="90"/>
            </w:tcMar>
          </w:tcPr>
          <w:p>
            <w:r>
              <w:rPr>
                <w:b/>
                <w:bCs/>
                <w:color w:val="FFFFFF"/>
                <w:sz w:val="17"/>
                <w:szCs w:val="17"/>
              </w:rPr>
              <w:t xml:space="preserve">Detail</w:t>
            </w:r>
          </w:p>
        </w:tc>
      </w:tr>
      <w:tr>
        <w:tc>
          <w:tcPr>
            <w:tcW w:type="dxa" w:w="2000"/>
            <w:tcMar>
              <w:top w:type="dxa" w:w="55"/>
              <w:left w:type="dxa" w:w="90"/>
              <w:bottom w:type="dxa" w:w="55"/>
              <w:right w:type="dxa" w:w="90"/>
            </w:tcMar>
          </w:tcPr>
          <w:p>
            <w:r>
              <w:rPr>
                <w:b w:val="false"/>
                <w:bCs w:val="false"/>
                <w:sz w:val="17"/>
                <w:szCs w:val="17"/>
              </w:rPr>
              <w:t xml:space="preserve">Requirement</w:t>
            </w:r>
          </w:p>
        </w:tc>
        <w:tc>
          <w:tcPr>
            <w:tcW w:type="dxa" w:w="7360"/>
            <w:tcMar>
              <w:top w:type="dxa" w:w="55"/>
              <w:left w:type="dxa" w:w="90"/>
              <w:bottom w:type="dxa" w:w="55"/>
              <w:right w:type="dxa" w:w="90"/>
            </w:tcMar>
          </w:tcPr>
          <w:p>
            <w:r>
              <w:rPr>
                <w:b w:val="false"/>
                <w:bCs w:val="false"/>
                <w:sz w:val="17"/>
                <w:szCs w:val="17"/>
              </w:rPr>
              <w:t xml:space="preserve">The dev-token guard described in earlier reports (dev.&lt;tenant&gt;.&lt;role&gt; rejected outside ALLOW_DEV_TOKENS=true / ENV=development) is verified against the ACTUAL running configuration of the environment the last E2E run used — not against the code that implements the guard.</w:t>
            </w:r>
          </w:p>
        </w:tc>
      </w:tr>
      <w:tr>
        <w:tc>
          <w:tcPr>
            <w:tcW w:type="dxa" w:w="2000"/>
            <w:shd w:fill="EAF2F6" w:val="clear"/>
            <w:tcMar>
              <w:top w:type="dxa" w:w="55"/>
              <w:left w:type="dxa" w:w="90"/>
              <w:bottom w:type="dxa" w:w="55"/>
              <w:right w:type="dxa" w:w="90"/>
            </w:tcMar>
          </w:tcPr>
          <w:p>
            <w:r>
              <w:rPr>
                <w:b w:val="false"/>
                <w:bCs w:val="false"/>
                <w:sz w:val="17"/>
                <w:szCs w:val="17"/>
              </w:rPr>
              <w:t xml:space="preserve">Acceptance evidence required</w:t>
            </w:r>
          </w:p>
        </w:tc>
        <w:tc>
          <w:tcPr>
            <w:tcW w:type="dxa" w:w="7360"/>
            <w:shd w:fill="EAF2F6" w:val="clear"/>
            <w:tcMar>
              <w:top w:type="dxa" w:w="55"/>
              <w:left w:type="dxa" w:w="90"/>
              <w:bottom w:type="dxa" w:w="55"/>
              <w:right w:type="dxa" w:w="90"/>
            </w:tcMar>
          </w:tcPr>
          <w:p>
            <w:r>
              <w:rPr>
                <w:b w:val="false"/>
                <w:bCs w:val="false"/>
                <w:sz w:val="17"/>
                <w:szCs w:val="17"/>
              </w:rPr>
              <w:t xml:space="preserve">Paste the literal ALLOW_DEV_TOKENS and ENV values as read from the running container (e.g. docker compose exec plt env | grep -E 'ALLOW_DEV_TOKENS|ENV') at the time of the last Playwright run. If they permit dev tokens, state that plainly — this is expected to be true ONLY if REQ-D2 option (B) is the chosen path.</w:t>
            </w:r>
          </w:p>
        </w:tc>
      </w:tr>
    </w:tbl>
    <w:p>
      <w:pPr>
        <w:spacing w:after="150"/>
      </w:pPr>
    </w:p>
    <w:p>
      <w:pPr>
        <w:pStyle w:val="Heading1"/>
        <w:spacing w:after="120" w:before="300"/>
      </w:pPr>
      <w:r>
        <w:rPr>
          <w:color w:val="1F4E5F"/>
        </w:rPr>
        <w:t xml:space="preserve">REQ-D4 — Protected Endpoints Reject Missing/Invalid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5F" w:val="clear"/>
            <w:tcMar>
              <w:top w:type="dxa" w:w="55"/>
              <w:left w:type="dxa" w:w="90"/>
              <w:bottom w:type="dxa" w:w="55"/>
              <w:right w:type="dxa" w:w="90"/>
            </w:tcMar>
          </w:tcPr>
          <w:p>
            <w:r>
              <w:rPr>
                <w:b/>
                <w:bCs/>
                <w:color w:val="FFFFFF"/>
                <w:sz w:val="17"/>
                <w:szCs w:val="17"/>
              </w:rPr>
              <w:t xml:space="preserve">Field</w:t>
            </w:r>
          </w:p>
        </w:tc>
        <w:tc>
          <w:tcPr>
            <w:tcW w:type="dxa" w:w="7360"/>
            <w:shd w:fill="1F4E5F" w:val="clear"/>
            <w:tcMar>
              <w:top w:type="dxa" w:w="55"/>
              <w:left w:type="dxa" w:w="90"/>
              <w:bottom w:type="dxa" w:w="55"/>
              <w:right w:type="dxa" w:w="90"/>
            </w:tcMar>
          </w:tcPr>
          <w:p>
            <w:r>
              <w:rPr>
                <w:b/>
                <w:bCs/>
                <w:color w:val="FFFFFF"/>
                <w:sz w:val="17"/>
                <w:szCs w:val="17"/>
              </w:rPr>
              <w:t xml:space="preserve">Detail</w:t>
            </w:r>
          </w:p>
        </w:tc>
      </w:tr>
      <w:tr>
        <w:tc>
          <w:tcPr>
            <w:tcW w:type="dxa" w:w="2000"/>
            <w:tcMar>
              <w:top w:type="dxa" w:w="55"/>
              <w:left w:type="dxa" w:w="90"/>
              <w:bottom w:type="dxa" w:w="55"/>
              <w:right w:type="dxa" w:w="90"/>
            </w:tcMar>
          </w:tcPr>
          <w:p>
            <w:r>
              <w:rPr>
                <w:b w:val="false"/>
                <w:bCs w:val="false"/>
                <w:sz w:val="17"/>
                <w:szCs w:val="17"/>
              </w:rPr>
              <w:t xml:space="preserve">Requirement</w:t>
            </w:r>
          </w:p>
        </w:tc>
        <w:tc>
          <w:tcPr>
            <w:tcW w:type="dxa" w:w="7360"/>
            <w:tcMar>
              <w:top w:type="dxa" w:w="55"/>
              <w:left w:type="dxa" w:w="90"/>
              <w:bottom w:type="dxa" w:w="55"/>
              <w:right w:type="dxa" w:w="90"/>
            </w:tcMar>
          </w:tcPr>
          <w:p>
            <w:r>
              <w:rPr>
                <w:b w:val="false"/>
                <w:bCs w:val="false"/>
                <w:sz w:val="17"/>
                <w:szCs w:val="17"/>
              </w:rPr>
              <w:t xml:space="preserve">A protected endpoint (e.g. GET /patients) returns 401 Unauthorized when called with no Authorization header, and also when called with a malformed/expired token. This is independent of whether OIDC or dev-stub is the active mode — it must be true either way.</w:t>
            </w:r>
          </w:p>
        </w:tc>
      </w:tr>
      <w:tr>
        <w:tc>
          <w:tcPr>
            <w:tcW w:type="dxa" w:w="2000"/>
            <w:shd w:fill="EAF2F6" w:val="clear"/>
            <w:tcMar>
              <w:top w:type="dxa" w:w="55"/>
              <w:left w:type="dxa" w:w="90"/>
              <w:bottom w:type="dxa" w:w="55"/>
              <w:right w:type="dxa" w:w="90"/>
            </w:tcMar>
          </w:tcPr>
          <w:p>
            <w:r>
              <w:rPr>
                <w:b w:val="false"/>
                <w:bCs w:val="false"/>
                <w:sz w:val="17"/>
                <w:szCs w:val="17"/>
              </w:rPr>
              <w:t xml:space="preserve">Why this surfaced</w:t>
            </w:r>
          </w:p>
        </w:tc>
        <w:tc>
          <w:tcPr>
            <w:tcW w:type="dxa" w:w="7360"/>
            <w:shd w:fill="EAF2F6" w:val="clear"/>
            <w:tcMar>
              <w:top w:type="dxa" w:w="55"/>
              <w:left w:type="dxa" w:w="90"/>
              <w:bottom w:type="dxa" w:w="55"/>
              <w:right w:type="dxa" w:w="90"/>
            </w:tcMar>
          </w:tcPr>
          <w:p>
            <w:r>
              <w:rPr>
                <w:b w:val="false"/>
                <w:bCs w:val="false"/>
                <w:sz w:val="17"/>
                <w:szCs w:val="17"/>
              </w:rPr>
              <w:t xml:space="preserve">The OpenAPI schema shows authorization as an optional header on every endpoint (required: false), which is expected FastAPI behavior when auth is enforced inside the handler body rather than declared as an OpenAPI security scheme — but this must be confirmed as behavior, not assumed from the schema shape.</w:t>
            </w:r>
          </w:p>
        </w:tc>
      </w:tr>
      <w:tr>
        <w:tc>
          <w:tcPr>
            <w:tcW w:type="dxa" w:w="2000"/>
            <w:tcMar>
              <w:top w:type="dxa" w:w="55"/>
              <w:left w:type="dxa" w:w="90"/>
              <w:bottom w:type="dxa" w:w="55"/>
              <w:right w:type="dxa" w:w="90"/>
            </w:tcMar>
          </w:tcPr>
          <w:p>
            <w:r>
              <w:rPr>
                <w:b w:val="false"/>
                <w:bCs w:val="false"/>
                <w:sz w:val="17"/>
                <w:szCs w:val="17"/>
              </w:rPr>
              <w:t xml:space="preserve">Acceptance evidence required</w:t>
            </w:r>
          </w:p>
        </w:tc>
        <w:tc>
          <w:tcPr>
            <w:tcW w:type="dxa" w:w="7360"/>
            <w:tcMar>
              <w:top w:type="dxa" w:w="55"/>
              <w:left w:type="dxa" w:w="90"/>
              <w:bottom w:type="dxa" w:w="55"/>
              <w:right w:type="dxa" w:w="90"/>
            </w:tcMar>
          </w:tcPr>
          <w:p>
            <w:r>
              <w:rPr>
                <w:b w:val="false"/>
                <w:bCs w:val="false"/>
                <w:sz w:val="17"/>
                <w:szCs w:val="17"/>
              </w:rPr>
              <w:t xml:space="preserve">Paste the literal output of: curl -i http://localhost:8000/patients  (no auth header) — expect HTTP/1.1 401. Paste the output of the same call with a garbage Authorization: Bearer not-a-real-token header — expect 401, not a 500 or a silent pass-through.</w:t>
            </w:r>
          </w:p>
        </w:tc>
      </w:tr>
    </w:tbl>
    <w:p>
      <w:pPr>
        <w:spacing w:after="150"/>
      </w:pPr>
    </w:p>
    <w:p>
      <w:pPr>
        <w:pStyle w:val="Heading1"/>
        <w:spacing w:after="120" w:before="300"/>
      </w:pPr>
      <w:r>
        <w:rPr>
          <w:color w:val="1F4E5F"/>
        </w:rPr>
        <w:t xml:space="preserve">REQ-D5 — Staging Is Actually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5F" w:val="clear"/>
            <w:tcMar>
              <w:top w:type="dxa" w:w="55"/>
              <w:left w:type="dxa" w:w="90"/>
              <w:bottom w:type="dxa" w:w="55"/>
              <w:right w:type="dxa" w:w="90"/>
            </w:tcMar>
          </w:tcPr>
          <w:p>
            <w:r>
              <w:rPr>
                <w:b/>
                <w:bCs/>
                <w:color w:val="FFFFFF"/>
                <w:sz w:val="17"/>
                <w:szCs w:val="17"/>
              </w:rPr>
              <w:t xml:space="preserve">Field</w:t>
            </w:r>
          </w:p>
        </w:tc>
        <w:tc>
          <w:tcPr>
            <w:tcW w:type="dxa" w:w="7360"/>
            <w:shd w:fill="1F4E5F" w:val="clear"/>
            <w:tcMar>
              <w:top w:type="dxa" w:w="55"/>
              <w:left w:type="dxa" w:w="90"/>
              <w:bottom w:type="dxa" w:w="55"/>
              <w:right w:type="dxa" w:w="90"/>
            </w:tcMar>
          </w:tcPr>
          <w:p>
            <w:r>
              <w:rPr>
                <w:b/>
                <w:bCs/>
                <w:color w:val="FFFFFF"/>
                <w:sz w:val="17"/>
                <w:szCs w:val="17"/>
              </w:rPr>
              <w:t xml:space="preserve">Detail</w:t>
            </w:r>
          </w:p>
        </w:tc>
      </w:tr>
      <w:tr>
        <w:tc>
          <w:tcPr>
            <w:tcW w:type="dxa" w:w="2000"/>
            <w:tcMar>
              <w:top w:type="dxa" w:w="55"/>
              <w:left w:type="dxa" w:w="90"/>
              <w:bottom w:type="dxa" w:w="55"/>
              <w:right w:type="dxa" w:w="90"/>
            </w:tcMar>
          </w:tcPr>
          <w:p>
            <w:r>
              <w:rPr>
                <w:b w:val="false"/>
                <w:bCs w:val="false"/>
                <w:sz w:val="17"/>
                <w:szCs w:val="17"/>
              </w:rPr>
              <w:t xml:space="preserve">Requirement</w:t>
            </w:r>
          </w:p>
        </w:tc>
        <w:tc>
          <w:tcPr>
            <w:tcW w:type="dxa" w:w="7360"/>
            <w:tcMar>
              <w:top w:type="dxa" w:w="55"/>
              <w:left w:type="dxa" w:w="90"/>
              <w:bottom w:type="dxa" w:w="55"/>
              <w:right w:type="dxa" w:w="90"/>
            </w:tcMar>
          </w:tcPr>
          <w:p>
            <w:r>
              <w:rPr>
                <w:b w:val="false"/>
                <w:bCs w:val="false"/>
                <w:sz w:val="17"/>
                <w:szCs w:val="17"/>
              </w:rPr>
              <w:t xml:space="preserve">staging.hms.zensynq.com resolves via DNS, is reachable over HTTPS from OUTSIDE the VPS (not just localhost on the box itself), presents a valid TLS certificate (not self-signed/placeholder), and returns 200 on /health.</w:t>
            </w:r>
          </w:p>
        </w:tc>
      </w:tr>
      <w:tr>
        <w:tc>
          <w:tcPr>
            <w:tcW w:type="dxa" w:w="2000"/>
            <w:shd w:fill="EAF2F6" w:val="clear"/>
            <w:tcMar>
              <w:top w:type="dxa" w:w="55"/>
              <w:left w:type="dxa" w:w="90"/>
              <w:bottom w:type="dxa" w:w="55"/>
              <w:right w:type="dxa" w:w="90"/>
            </w:tcMar>
          </w:tcPr>
          <w:p>
            <w:r>
              <w:rPr>
                <w:b w:val="false"/>
                <w:bCs w:val="false"/>
                <w:sz w:val="17"/>
                <w:szCs w:val="17"/>
              </w:rPr>
              <w:t xml:space="preserve">Acceptance evidence required</w:t>
            </w:r>
          </w:p>
        </w:tc>
        <w:tc>
          <w:tcPr>
            <w:tcW w:type="dxa" w:w="7360"/>
            <w:shd w:fill="EAF2F6" w:val="clear"/>
            <w:tcMar>
              <w:top w:type="dxa" w:w="55"/>
              <w:left w:type="dxa" w:w="90"/>
              <w:bottom w:type="dxa" w:w="55"/>
              <w:right w:type="dxa" w:w="90"/>
            </w:tcMar>
          </w:tcPr>
          <w:p>
            <w:r>
              <w:rPr>
                <w:b w:val="false"/>
                <w:bCs w:val="false"/>
                <w:sz w:val="17"/>
                <w:szCs w:val="17"/>
              </w:rPr>
              <w:t xml:space="preserve">Output of: curl -I https://staging.hms.zensynq.com/health  run from a machine that is NOT the VPS itself (e.g. your laptop, or an online curl tool). If this has not been attempted yet, state that plainly rather than describing the nginx config as if it were equivalent to a live deployment.</w:t>
            </w:r>
          </w:p>
        </w:tc>
      </w:tr>
    </w:tbl>
    <w:p>
      <w:pPr>
        <w:spacing w:after="150"/>
      </w:pPr>
    </w:p>
    <w:p>
      <w:pPr>
        <w:pStyle w:val="Heading1"/>
        <w:spacing w:after="120" w:before="300"/>
      </w:pPr>
      <w:r>
        <w:rPr>
          <w:color w:val="1F4E5F"/>
        </w:rPr>
        <w:t xml:space="preserve">REQ-D6 — Backup Encryption Key Management Is Deliberate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5F" w:val="clear"/>
            <w:tcMar>
              <w:top w:type="dxa" w:w="55"/>
              <w:left w:type="dxa" w:w="90"/>
              <w:bottom w:type="dxa" w:w="55"/>
              <w:right w:type="dxa" w:w="90"/>
            </w:tcMar>
          </w:tcPr>
          <w:p>
            <w:r>
              <w:rPr>
                <w:b/>
                <w:bCs/>
                <w:color w:val="FFFFFF"/>
                <w:sz w:val="17"/>
                <w:szCs w:val="17"/>
              </w:rPr>
              <w:t xml:space="preserve">Field</w:t>
            </w:r>
          </w:p>
        </w:tc>
        <w:tc>
          <w:tcPr>
            <w:tcW w:type="dxa" w:w="7360"/>
            <w:shd w:fill="1F4E5F" w:val="clear"/>
            <w:tcMar>
              <w:top w:type="dxa" w:w="55"/>
              <w:left w:type="dxa" w:w="90"/>
              <w:bottom w:type="dxa" w:w="55"/>
              <w:right w:type="dxa" w:w="90"/>
            </w:tcMar>
          </w:tcPr>
          <w:p>
            <w:r>
              <w:rPr>
                <w:b/>
                <w:bCs/>
                <w:color w:val="FFFFFF"/>
                <w:sz w:val="17"/>
                <w:szCs w:val="17"/>
              </w:rPr>
              <w:t xml:space="preserve">Detail</w:t>
            </w:r>
          </w:p>
        </w:tc>
      </w:tr>
      <w:tr>
        <w:tc>
          <w:tcPr>
            <w:tcW w:type="dxa" w:w="2000"/>
            <w:tcMar>
              <w:top w:type="dxa" w:w="55"/>
              <w:left w:type="dxa" w:w="90"/>
              <w:bottom w:type="dxa" w:w="55"/>
              <w:right w:type="dxa" w:w="90"/>
            </w:tcMar>
          </w:tcPr>
          <w:p>
            <w:r>
              <w:rPr>
                <w:b w:val="false"/>
                <w:bCs w:val="false"/>
                <w:sz w:val="17"/>
                <w:szCs w:val="17"/>
              </w:rPr>
              <w:t xml:space="preserve">Requirement</w:t>
            </w:r>
          </w:p>
        </w:tc>
        <w:tc>
          <w:tcPr>
            <w:tcW w:type="dxa" w:w="7360"/>
            <w:tcMar>
              <w:top w:type="dxa" w:w="55"/>
              <w:left w:type="dxa" w:w="90"/>
              <w:bottom w:type="dxa" w:w="55"/>
              <w:right w:type="dxa" w:w="90"/>
            </w:tcMar>
          </w:tcPr>
          <w:p>
            <w:r>
              <w:rPr>
                <w:b w:val="false"/>
                <w:bCs w:val="false"/>
                <w:sz w:val="17"/>
                <w:szCs w:val="17"/>
              </w:rPr>
              <w:t xml:space="preserve">The passphrase used by the AES-256-CBC backup encryption script is NOT hardcoded in the script or committed to git. It is either an environment variable sourced from a file outside version control, or a proper secret store. A grep of the repo confirms no literal passphrase is committed anywhere in history.</w:t>
            </w:r>
          </w:p>
        </w:tc>
      </w:tr>
      <w:tr>
        <w:tc>
          <w:tcPr>
            <w:tcW w:type="dxa" w:w="2000"/>
            <w:shd w:fill="EAF2F6" w:val="clear"/>
            <w:tcMar>
              <w:top w:type="dxa" w:w="55"/>
              <w:left w:type="dxa" w:w="90"/>
              <w:bottom w:type="dxa" w:w="55"/>
              <w:right w:type="dxa" w:w="90"/>
            </w:tcMar>
          </w:tcPr>
          <w:p>
            <w:r>
              <w:rPr>
                <w:b w:val="false"/>
                <w:bCs w:val="false"/>
                <w:sz w:val="17"/>
                <w:szCs w:val="17"/>
              </w:rPr>
              <w:t xml:space="preserve">Acceptance evidence required</w:t>
            </w:r>
          </w:p>
        </w:tc>
        <w:tc>
          <w:tcPr>
            <w:tcW w:type="dxa" w:w="7360"/>
            <w:shd w:fill="EAF2F6" w:val="clear"/>
            <w:tcMar>
              <w:top w:type="dxa" w:w="55"/>
              <w:left w:type="dxa" w:w="90"/>
              <w:bottom w:type="dxa" w:w="55"/>
              <w:right w:type="dxa" w:w="90"/>
            </w:tcMar>
          </w:tcPr>
          <w:p>
            <w:r>
              <w:rPr>
                <w:b w:val="false"/>
                <w:bCs w:val="false"/>
                <w:sz w:val="17"/>
                <w:szCs w:val="17"/>
              </w:rPr>
              <w:t xml:space="preserve">State where the passphrase currently lives (env var name + where that env var is set). Run and paste: git log -p --all -- scripts/backup_and_restore.py | grep -i 'pass' (or equivalent) to confirm no historical commit leaked a literal secret. If a literal secret WAS committed at any point, treat it as compromised — rotate it — even after removal, since git history retains it unless purged.</w:t>
            </w:r>
          </w:p>
        </w:tc>
      </w:tr>
    </w:tbl>
    <w:p>
      <w:pPr>
        <w:spacing w:after="150"/>
      </w:pPr>
    </w:p>
    <w:p>
      <w:pPr>
        <w:pStyle w:val="Heading1"/>
        <w:spacing w:after="120" w:before="300"/>
      </w:pPr>
      <w:r>
        <w:rPr>
          <w:color w:val="1F4E5F"/>
        </w:rPr>
        <w:t xml:space="preserve">How to Work This Document</w:t>
      </w:r>
    </w:p>
    <w:p>
      <w:pPr>
        <w:spacing w:after="120" w:line="284"/>
        <w:jc w:val="both"/>
      </w:pPr>
      <w:r>
        <w:rPr>
          <w:sz w:val="22"/>
          <w:szCs w:val="22"/>
        </w:rPr>
        <w:t xml:space="preserve">For each REQ-D1 through REQ-D6, produce exactly the acceptance evidence specified — literal command output, literal file contents, or a plainly-stated 'not working: &lt;specific error&gt;' — nothing paraphrased or summarized as a percentage or a checkmark. A requirement is only marked resolved when its evidence is pasted and matches the acceptance criteria exactly. Work REQ-D1 first, since D2–D4 depend on knowing whether real login actually succeeds. If REQ-D1 fails, paste the exact error (browser console, network tab, or backend log) rather than reporting 'not working as expected' — the specific failure is what determines the fix.</w:t>
      </w:r>
    </w:p>
    <w:p>
      <w:pPr>
        <w:spacing w:after="150"/>
      </w:pPr>
    </w:p>
    <w:p>
      <w:pPr>
        <w:pStyle w:val="Heading1"/>
        <w:spacing w:after="120" w:before="300"/>
      </w:pPr>
      <w:r>
        <w:rPr>
          <w:color w:val="1F4E5F"/>
        </w:rPr>
        <w:t xml:space="preserve">Exit Criteria for Phase D (restated,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360"/>
        <w:gridCol w:w="1500"/>
      </w:tblGrid>
      <w:tr>
        <w:trPr>
          <w:tblHeader/>
        </w:trPr>
        <w:tc>
          <w:tcPr>
            <w:tcW w:type="dxa" w:w="500"/>
            <w:shd w:fill="1F4E5F" w:val="clear"/>
            <w:tcMar>
              <w:top w:type="dxa" w:w="55"/>
              <w:left w:type="dxa" w:w="90"/>
              <w:bottom w:type="dxa" w:w="55"/>
              <w:right w:type="dxa" w:w="90"/>
            </w:tcMar>
          </w:tcPr>
          <w:p>
            <w:r>
              <w:rPr>
                <w:b/>
                <w:bCs/>
                <w:color w:val="FFFFFF"/>
                <w:sz w:val="17"/>
                <w:szCs w:val="17"/>
              </w:rPr>
              <w:t xml:space="preserve">#</w:t>
            </w:r>
          </w:p>
        </w:tc>
        <w:tc>
          <w:tcPr>
            <w:tcW w:type="dxa" w:w="7360"/>
            <w:shd w:fill="1F4E5F" w:val="clear"/>
            <w:tcMar>
              <w:top w:type="dxa" w:w="55"/>
              <w:left w:type="dxa" w:w="90"/>
              <w:bottom w:type="dxa" w:w="55"/>
              <w:right w:type="dxa" w:w="90"/>
            </w:tcMar>
          </w:tcPr>
          <w:p>
            <w:r>
              <w:rPr>
                <w:b/>
                <w:bCs/>
                <w:color w:val="FFFFFF"/>
                <w:sz w:val="17"/>
                <w:szCs w:val="17"/>
              </w:rPr>
              <w:t xml:space="preserve">Requirement</w:t>
            </w:r>
          </w:p>
        </w:tc>
        <w:tc>
          <w:tcPr>
            <w:tcW w:type="dxa" w:w="1500"/>
            <w:shd w:fill="1F4E5F" w:val="clear"/>
            <w:tcMar>
              <w:top w:type="dxa" w:w="55"/>
              <w:left w:type="dxa" w:w="90"/>
              <w:bottom w:type="dxa" w:w="55"/>
              <w:right w:type="dxa" w:w="90"/>
            </w:tcMar>
          </w:tcPr>
          <w:p>
            <w:r>
              <w:rPr>
                <w:b/>
                <w:bCs/>
                <w:color w:val="FFFFFF"/>
                <w:sz w:val="17"/>
                <w:szCs w:val="17"/>
              </w:rPr>
              <w:t xml:space="preserve">Status</w:t>
            </w:r>
          </w:p>
        </w:tc>
      </w:tr>
      <w:tr>
        <w:tc>
          <w:tcPr>
            <w:tcW w:type="dxa" w:w="500"/>
            <w:tcMar>
              <w:top w:type="dxa" w:w="55"/>
              <w:left w:type="dxa" w:w="90"/>
              <w:bottom w:type="dxa" w:w="55"/>
              <w:right w:type="dxa" w:w="90"/>
            </w:tcMar>
          </w:tcPr>
          <w:p>
            <w:r>
              <w:rPr>
                <w:b w:val="false"/>
                <w:bCs w:val="false"/>
                <w:sz w:val="17"/>
                <w:szCs w:val="17"/>
              </w:rPr>
              <w:t xml:space="preserve">D1</w:t>
            </w:r>
          </w:p>
        </w:tc>
        <w:tc>
          <w:tcPr>
            <w:tcW w:type="dxa" w:w="7360"/>
            <w:tcMar>
              <w:top w:type="dxa" w:w="55"/>
              <w:left w:type="dxa" w:w="90"/>
              <w:bottom w:type="dxa" w:w="55"/>
              <w:right w:type="dxa" w:w="90"/>
            </w:tcMar>
          </w:tcPr>
          <w:p>
            <w:r>
              <w:rPr>
                <w:b w:val="false"/>
                <w:bCs w:val="false"/>
                <w:sz w:val="17"/>
                <w:szCs w:val="17"/>
              </w:rPr>
              <w:t xml:space="preserve">Real browser OIDC login proven with decoded JWT claims</w:t>
            </w:r>
          </w:p>
        </w:tc>
        <w:tc>
          <w:tcPr>
            <w:tcW w:type="dxa" w:w="1500"/>
            <w:tcMar>
              <w:top w:type="dxa" w:w="55"/>
              <w:left w:type="dxa" w:w="90"/>
              <w:bottom w:type="dxa" w:w="55"/>
              <w:right w:type="dxa" w:w="90"/>
            </w:tcMar>
          </w:tcPr>
          <w:p>
            <w:r>
              <w:rPr>
                <w:b w:val="false"/>
                <w:bCs w:val="false"/>
                <w:sz w:val="17"/>
                <w:szCs w:val="17"/>
              </w:rPr>
              <w:t xml:space="preserve">🔴 Not evidenced</w:t>
            </w:r>
          </w:p>
        </w:tc>
      </w:tr>
      <w:tr>
        <w:tc>
          <w:tcPr>
            <w:tcW w:type="dxa" w:w="500"/>
            <w:shd w:fill="EAF2F6" w:val="clear"/>
            <w:tcMar>
              <w:top w:type="dxa" w:w="55"/>
              <w:left w:type="dxa" w:w="90"/>
              <w:bottom w:type="dxa" w:w="55"/>
              <w:right w:type="dxa" w:w="90"/>
            </w:tcMar>
          </w:tcPr>
          <w:p>
            <w:r>
              <w:rPr>
                <w:b w:val="false"/>
                <w:bCs w:val="false"/>
                <w:sz w:val="17"/>
                <w:szCs w:val="17"/>
              </w:rPr>
              <w:t xml:space="preserve">D2</w:t>
            </w:r>
          </w:p>
        </w:tc>
        <w:tc>
          <w:tcPr>
            <w:tcW w:type="dxa" w:w="7360"/>
            <w:shd w:fill="EAF2F6" w:val="clear"/>
            <w:tcMar>
              <w:top w:type="dxa" w:w="55"/>
              <w:left w:type="dxa" w:w="90"/>
              <w:bottom w:type="dxa" w:w="55"/>
              <w:right w:type="dxa" w:w="90"/>
            </w:tcMar>
          </w:tcPr>
          <w:p>
            <w:r>
              <w:rPr>
                <w:b w:val="false"/>
                <w:bCs w:val="false"/>
                <w:sz w:val="17"/>
                <w:szCs w:val="17"/>
              </w:rPr>
              <w:t xml:space="preserve">Playwright specs authenticate via real OIDC, or documented test-only exception</w:t>
            </w:r>
          </w:p>
        </w:tc>
        <w:tc>
          <w:tcPr>
            <w:tcW w:type="dxa" w:w="1500"/>
            <w:shd w:fill="EAF2F6" w:val="clear"/>
            <w:tcMar>
              <w:top w:type="dxa" w:w="55"/>
              <w:left w:type="dxa" w:w="90"/>
              <w:bottom w:type="dxa" w:w="55"/>
              <w:right w:type="dxa" w:w="90"/>
            </w:tcMar>
          </w:tcPr>
          <w:p>
            <w:r>
              <w:rPr>
                <w:b w:val="false"/>
                <w:bCs w:val="false"/>
                <w:sz w:val="17"/>
                <w:szCs w:val="17"/>
              </w:rPr>
              <w:t xml:space="preserve">🔴 Not evidenced</w:t>
            </w:r>
          </w:p>
        </w:tc>
      </w:tr>
      <w:tr>
        <w:tc>
          <w:tcPr>
            <w:tcW w:type="dxa" w:w="500"/>
            <w:tcMar>
              <w:top w:type="dxa" w:w="55"/>
              <w:left w:type="dxa" w:w="90"/>
              <w:bottom w:type="dxa" w:w="55"/>
              <w:right w:type="dxa" w:w="90"/>
            </w:tcMar>
          </w:tcPr>
          <w:p>
            <w:r>
              <w:rPr>
                <w:b w:val="false"/>
                <w:bCs w:val="false"/>
                <w:sz w:val="17"/>
                <w:szCs w:val="17"/>
              </w:rPr>
              <w:t xml:space="preserve">D3</w:t>
            </w:r>
          </w:p>
        </w:tc>
        <w:tc>
          <w:tcPr>
            <w:tcW w:type="dxa" w:w="7360"/>
            <w:tcMar>
              <w:top w:type="dxa" w:w="55"/>
              <w:left w:type="dxa" w:w="90"/>
              <w:bottom w:type="dxa" w:w="55"/>
              <w:right w:type="dxa" w:w="90"/>
            </w:tcMar>
          </w:tcPr>
          <w:p>
            <w:r>
              <w:rPr>
                <w:b w:val="false"/>
                <w:bCs w:val="false"/>
                <w:sz w:val="17"/>
                <w:szCs w:val="17"/>
              </w:rPr>
              <w:t xml:space="preserve">Dev-token path confirmed disabled outside test scope</w:t>
            </w:r>
          </w:p>
        </w:tc>
        <w:tc>
          <w:tcPr>
            <w:tcW w:type="dxa" w:w="1500"/>
            <w:tcMar>
              <w:top w:type="dxa" w:w="55"/>
              <w:left w:type="dxa" w:w="90"/>
              <w:bottom w:type="dxa" w:w="55"/>
              <w:right w:type="dxa" w:w="90"/>
            </w:tcMar>
          </w:tcPr>
          <w:p>
            <w:r>
              <w:rPr>
                <w:b w:val="false"/>
                <w:bCs w:val="false"/>
                <w:sz w:val="17"/>
                <w:szCs w:val="17"/>
              </w:rPr>
              <w:t xml:space="preserve">🔴 Not evidenced</w:t>
            </w:r>
          </w:p>
        </w:tc>
      </w:tr>
      <w:tr>
        <w:tc>
          <w:tcPr>
            <w:tcW w:type="dxa" w:w="500"/>
            <w:shd w:fill="EAF2F6" w:val="clear"/>
            <w:tcMar>
              <w:top w:type="dxa" w:w="55"/>
              <w:left w:type="dxa" w:w="90"/>
              <w:bottom w:type="dxa" w:w="55"/>
              <w:right w:type="dxa" w:w="90"/>
            </w:tcMar>
          </w:tcPr>
          <w:p>
            <w:r>
              <w:rPr>
                <w:b w:val="false"/>
                <w:bCs w:val="false"/>
                <w:sz w:val="17"/>
                <w:szCs w:val="17"/>
              </w:rPr>
              <w:t xml:space="preserve">D4</w:t>
            </w:r>
          </w:p>
        </w:tc>
        <w:tc>
          <w:tcPr>
            <w:tcW w:type="dxa" w:w="7360"/>
            <w:shd w:fill="EAF2F6" w:val="clear"/>
            <w:tcMar>
              <w:top w:type="dxa" w:w="55"/>
              <w:left w:type="dxa" w:w="90"/>
              <w:bottom w:type="dxa" w:w="55"/>
              <w:right w:type="dxa" w:w="90"/>
            </w:tcMar>
          </w:tcPr>
          <w:p>
            <w:r>
              <w:rPr>
                <w:b w:val="false"/>
                <w:bCs w:val="false"/>
                <w:sz w:val="17"/>
                <w:szCs w:val="17"/>
              </w:rPr>
              <w:t xml:space="preserve">Protected endpoints reject missing/invalid auth with 401</w:t>
            </w:r>
          </w:p>
        </w:tc>
        <w:tc>
          <w:tcPr>
            <w:tcW w:type="dxa" w:w="1500"/>
            <w:shd w:fill="EAF2F6" w:val="clear"/>
            <w:tcMar>
              <w:top w:type="dxa" w:w="55"/>
              <w:left w:type="dxa" w:w="90"/>
              <w:bottom w:type="dxa" w:w="55"/>
              <w:right w:type="dxa" w:w="90"/>
            </w:tcMar>
          </w:tcPr>
          <w:p>
            <w:r>
              <w:rPr>
                <w:b w:val="false"/>
                <w:bCs w:val="false"/>
                <w:sz w:val="17"/>
                <w:szCs w:val="17"/>
              </w:rPr>
              <w:t xml:space="preserve">🔴 Not evidenced</w:t>
            </w:r>
          </w:p>
        </w:tc>
      </w:tr>
      <w:tr>
        <w:tc>
          <w:tcPr>
            <w:tcW w:type="dxa" w:w="500"/>
            <w:tcMar>
              <w:top w:type="dxa" w:w="55"/>
              <w:left w:type="dxa" w:w="90"/>
              <w:bottom w:type="dxa" w:w="55"/>
              <w:right w:type="dxa" w:w="90"/>
            </w:tcMar>
          </w:tcPr>
          <w:p>
            <w:r>
              <w:rPr>
                <w:b w:val="false"/>
                <w:bCs w:val="false"/>
                <w:sz w:val="17"/>
                <w:szCs w:val="17"/>
              </w:rPr>
              <w:t xml:space="preserve">D5</w:t>
            </w:r>
          </w:p>
        </w:tc>
        <w:tc>
          <w:tcPr>
            <w:tcW w:type="dxa" w:w="7360"/>
            <w:tcMar>
              <w:top w:type="dxa" w:w="55"/>
              <w:left w:type="dxa" w:w="90"/>
              <w:bottom w:type="dxa" w:w="55"/>
              <w:right w:type="dxa" w:w="90"/>
            </w:tcMar>
          </w:tcPr>
          <w:p>
            <w:r>
              <w:rPr>
                <w:b w:val="false"/>
                <w:bCs w:val="false"/>
                <w:sz w:val="17"/>
                <w:szCs w:val="17"/>
              </w:rPr>
              <w:t xml:space="preserve">staging.hms.zensynq.com reachable over HTTPS from outside the VPS</w:t>
            </w:r>
          </w:p>
        </w:tc>
        <w:tc>
          <w:tcPr>
            <w:tcW w:type="dxa" w:w="1500"/>
            <w:tcMar>
              <w:top w:type="dxa" w:w="55"/>
              <w:left w:type="dxa" w:w="90"/>
              <w:bottom w:type="dxa" w:w="55"/>
              <w:right w:type="dxa" w:w="90"/>
            </w:tcMar>
          </w:tcPr>
          <w:p>
            <w:r>
              <w:rPr>
                <w:b w:val="false"/>
                <w:bCs w:val="false"/>
                <w:sz w:val="17"/>
                <w:szCs w:val="17"/>
              </w:rPr>
              <w:t xml:space="preserve">🔴 Not evidenced</w:t>
            </w:r>
          </w:p>
        </w:tc>
      </w:tr>
      <w:tr>
        <w:tc>
          <w:tcPr>
            <w:tcW w:type="dxa" w:w="500"/>
            <w:shd w:fill="EAF2F6" w:val="clear"/>
            <w:tcMar>
              <w:top w:type="dxa" w:w="55"/>
              <w:left w:type="dxa" w:w="90"/>
              <w:bottom w:type="dxa" w:w="55"/>
              <w:right w:type="dxa" w:w="90"/>
            </w:tcMar>
          </w:tcPr>
          <w:p>
            <w:r>
              <w:rPr>
                <w:b w:val="false"/>
                <w:bCs w:val="false"/>
                <w:sz w:val="17"/>
                <w:szCs w:val="17"/>
              </w:rPr>
              <w:t xml:space="preserve">D6</w:t>
            </w:r>
          </w:p>
        </w:tc>
        <w:tc>
          <w:tcPr>
            <w:tcW w:type="dxa" w:w="7360"/>
            <w:shd w:fill="EAF2F6" w:val="clear"/>
            <w:tcMar>
              <w:top w:type="dxa" w:w="55"/>
              <w:left w:type="dxa" w:w="90"/>
              <w:bottom w:type="dxa" w:w="55"/>
              <w:right w:type="dxa" w:w="90"/>
            </w:tcMar>
          </w:tcPr>
          <w:p>
            <w:r>
              <w:rPr>
                <w:b w:val="false"/>
                <w:bCs w:val="false"/>
                <w:sz w:val="17"/>
                <w:szCs w:val="17"/>
              </w:rPr>
              <w:t xml:space="preserve">Backup passphrase not hardcoded/committed; location confirmed</w:t>
            </w:r>
          </w:p>
        </w:tc>
        <w:tc>
          <w:tcPr>
            <w:tcW w:type="dxa" w:w="1500"/>
            <w:shd w:fill="EAF2F6" w:val="clear"/>
            <w:tcMar>
              <w:top w:type="dxa" w:w="55"/>
              <w:left w:type="dxa" w:w="90"/>
              <w:bottom w:type="dxa" w:w="55"/>
              <w:right w:type="dxa" w:w="90"/>
            </w:tcMar>
          </w:tcPr>
          <w:p>
            <w:r>
              <w:rPr>
                <w:b w:val="false"/>
                <w:bCs w:val="false"/>
                <w:sz w:val="17"/>
                <w:szCs w:val="17"/>
              </w:rPr>
              <w:t xml:space="preserve">🔴 Not evidenced</w:t>
            </w:r>
          </w:p>
        </w:tc>
      </w:tr>
    </w:tbl>
    <w:p>
      <w:pPr>
        <w:spacing w:after="150"/>
      </w:pPr>
    </w:p>
    <w:p>
      <w:pPr>
        <w:spacing w:after="120" w:line="284"/>
        <w:jc w:val="both"/>
      </w:pPr>
      <w:r>
        <w:rPr>
          <w:sz w:val="22"/>
          <w:szCs w:val="22"/>
        </w:rPr>
        <w:t xml:space="preserve">Only when all six show pasted, matching evidence does Phase D close and Phase E (Tenant Management &amp; Onboarding, TEN-101...208) resume. The onboarding test suite work already done (78 passed) is not lost — it stays on its branch, unmerged into the critical path, until this document clears.</w:t>
      </w:r>
    </w:p>
    <w:sectPr>
      <w:footerReference w:type="default" r:id="rId7"/>
      <w:pgSz w:w="12240" w:h="15840" w:orient="portrait"/>
      <w:pgMar w:top="1150" w:right="940" w:bottom="115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Phase D Remediation Requirements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29"/>
      <w:szCs w:val="29"/>
    </w:rPr>
  </w:style>
  <w:style w:type="paragraph" w:styleId="Heading2">
    <w:name w:val="Heading 2"/>
    <w:basedOn w:val="Normal"/>
    <w:next w:val="Normal"/>
    <w:qFormat/>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2026-07-25T16:52:28.685Z</dcterms:created>
  <dcterms:modified xsi:type="dcterms:W3CDTF">2026-07-25T16:52:28.699Z</dcterms:modified>
</cp:coreProperties>
</file>

<file path=docProps/custom.xml><?xml version="1.0" encoding="utf-8"?>
<Properties xmlns="http://schemas.openxmlformats.org/officeDocument/2006/custom-properties" xmlns:vt="http://schemas.openxmlformats.org/officeDocument/2006/docPropsVTypes"/>
</file>