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B413" w14:textId="77777777" w:rsidR="00AB0B15" w:rsidRPr="00CF5747" w:rsidRDefault="00000000" w:rsidP="00CF5747">
      <w:pPr>
        <w:pStyle w:val="Ttulo"/>
        <w:jc w:val="center"/>
        <w:rPr>
          <w:sz w:val="28"/>
          <w:szCs w:val="28"/>
        </w:rPr>
      </w:pPr>
      <w:r w:rsidRPr="00CF5747">
        <w:rPr>
          <w:sz w:val="28"/>
          <w:szCs w:val="28"/>
        </w:rPr>
        <w:t>Descrição técnica e operacional da plataforma de aprendizagem adaptativa</w:t>
      </w:r>
    </w:p>
    <w:p w14:paraId="54B2EDD4" w14:textId="77777777" w:rsidR="00AB0B15" w:rsidRDefault="00000000">
      <w:pPr>
        <w:spacing w:after="240" w:line="360" w:lineRule="auto"/>
        <w:ind w:firstLine="720"/>
        <w:jc w:val="both"/>
      </w:pPr>
      <w:r>
        <w:t xml:space="preserve">A plataforma digital de aprendizagem adaptativa apoiada por inteligência artificial foi desenvolvida e disponibilizada em ambiente de nuvem, com foco na educação infantil. O acesso é realizado por meio de um endereço único, estável e público, configurado no serviço </w:t>
      </w:r>
      <w:proofErr w:type="spellStart"/>
      <w:r>
        <w:t>Replit</w:t>
      </w:r>
      <w:proofErr w:type="spellEnd"/>
      <w:r>
        <w:t xml:space="preserve">, que hospeda tanto a interface gráfica quanto a lógica de </w:t>
      </w:r>
      <w:proofErr w:type="spellStart"/>
      <w:r>
        <w:t>backend</w:t>
      </w:r>
      <w:proofErr w:type="spellEnd"/>
      <w:r>
        <w:t xml:space="preserve"> do sistema. Ao acessar o link, o usuário se depara com uma tela de autenticação, que permite realizar cadastro e login, garantindo a identificação individual dos participantes e o registro personalizado das interações didático‑pedagógicas.</w:t>
      </w:r>
    </w:p>
    <w:p w14:paraId="6F5ACF4E" w14:textId="77777777" w:rsidR="00AB0B15" w:rsidRDefault="00000000">
      <w:pPr>
        <w:spacing w:after="240" w:line="360" w:lineRule="auto"/>
        <w:ind w:firstLine="720"/>
        <w:jc w:val="both"/>
      </w:pPr>
      <w:r>
        <w:t>No fluxo de uso, o participante informa nome completo, e‑mail, senha e perfil de acesso. Após a autenticação, o sistema apresenta um menu inicial com as áreas curriculares disponíveis: Matemática, Português, Ciências e Artes, todas organizadas em formato lúdico, com linguagem acessível às crianças, mas manejado por responsáveis ou professores. A interface apresenta ícones e descrições simples, como “Números, somas e formas” em Matemática, “Letras, sílabas e palavras” em Português, “Natureza, animais e ambiente” em Ciências e “Cores, formas e criatividade” em Artes. O histórico de aprendizagem surge como um quadro próprio na tela principal, inicialmente vazio, com a indicação de que “nenhuma atividade foi realizada ainda” e orientação para completar uma atividade para que o registro seja exibido.</w:t>
      </w:r>
    </w:p>
    <w:p w14:paraId="09CFD5C1" w14:textId="77777777" w:rsidR="00AB0B15" w:rsidRDefault="00000000">
      <w:pPr>
        <w:spacing w:after="240" w:line="360" w:lineRule="auto"/>
        <w:ind w:firstLine="720"/>
        <w:jc w:val="both"/>
      </w:pPr>
      <w:r>
        <w:t>Do ponto de vista técnico, a solução foi construída inicialmente com banco de dados local em arquivo (</w:t>
      </w:r>
      <w:proofErr w:type="spellStart"/>
      <w:r>
        <w:t>SQLite</w:t>
      </w:r>
      <w:proofErr w:type="spellEnd"/>
      <w:r>
        <w:t xml:space="preserve">), o que se mostrava adequado para testes preliminares, porém suscetível à perda de dados em ambientes de execução efêmeros, como containers que hibernam ou são reiniciados automaticamente. Identificou‑se, em uso real, que os cadastros eram perdidos quando o servidor entrava em estado de hibernação ou era reiniciado, problema crítico para a validade pedagógica e científica do protótipo. Para equacionar essa limitação, houve migração integral da camada de persistência de dados para o banco de dados PostgreSQL gerenciado pelo próprio ambiente do </w:t>
      </w:r>
      <w:proofErr w:type="spellStart"/>
      <w:r>
        <w:t>Replit</w:t>
      </w:r>
      <w:proofErr w:type="spellEnd"/>
      <w:r>
        <w:t>, que fornece um serviço externo de armazenamento, independente dos ciclos de hibernação da aplicação.</w:t>
      </w:r>
    </w:p>
    <w:p w14:paraId="05480EAE" w14:textId="77777777" w:rsidR="00AB0B15" w:rsidRDefault="00000000">
      <w:pPr>
        <w:spacing w:after="240" w:line="360" w:lineRule="auto"/>
        <w:ind w:firstLine="720"/>
        <w:jc w:val="both"/>
      </w:pPr>
      <w:r>
        <w:t xml:space="preserve">A migração contemplou a transferência de todos os usuários e registros de atividades já existentes para a nova base PostgreSQL, garantindo a preservação do </w:t>
      </w:r>
      <w:r>
        <w:lastRenderedPageBreak/>
        <w:t xml:space="preserve">histórico acumulado. O </w:t>
      </w:r>
      <w:proofErr w:type="spellStart"/>
      <w:r>
        <w:t>backend</w:t>
      </w:r>
      <w:proofErr w:type="spellEnd"/>
      <w:r>
        <w:t xml:space="preserve"> foi reconfigurado para abandonar o uso de arquivos locais e operar exclusivamente a partir da variável de ambiente que contém a URL do banco de dados gerenciado. As bibliotecas de acesso foram atualizadas, passando a utilizar driver específico para PostgreSQL, e as dependências foram declaradas no arquivo de requisitos do projeto, de modo a garantir replicabilidade tanto em ambiente de desenvolvimento quanto em ambiente de produção. Testes de persistência foram realizados com criação de usuários, realização de atividades, reinício do servidor e posterior login com os mesmos dados, confirmando que as informações permaneciam íntegras.</w:t>
      </w:r>
    </w:p>
    <w:p w14:paraId="3867DA37" w14:textId="77777777" w:rsidR="00AB0B15" w:rsidRDefault="00000000">
      <w:pPr>
        <w:spacing w:after="240" w:line="360" w:lineRule="auto"/>
        <w:ind w:firstLine="720"/>
        <w:jc w:val="both"/>
      </w:pPr>
      <w:r>
        <w:t>Além do fluxo principal destinado ao usuário comum (responsável ou professor), foi implementado um painel administrativo, acessado por rota específica adicionada ao final do endereço da plataforma. Esse painel exige autenticação própria, por meio de senha de administrador, o que restringe o uso a quem estiver formalmente autorizado a acompanhar os dados globais. Uma vez autenticado, o administrador visualiza cartões de resumo com o número total de usuários cadastrados, a quantidade de participantes que efetivamente realizaram atividades, o total de sessões registradas e a distribuição por perfil (responsáveis e professores). Abaixo desses cartões, uma tabela detalha, para cada usuário, o nome, o e‑mail, o perfil, a data de cadastro, o número de atividades por componente curricular (Matemática, Português, Ciências e Artes), o total de atividades realizadas e a data da última sessão.</w:t>
      </w:r>
    </w:p>
    <w:p w14:paraId="032B41E2" w14:textId="77777777" w:rsidR="00AB0B15" w:rsidRDefault="00000000">
      <w:pPr>
        <w:spacing w:after="240" w:line="360" w:lineRule="auto"/>
        <w:ind w:firstLine="720"/>
        <w:jc w:val="both"/>
      </w:pPr>
      <w:r>
        <w:t>Esse painel administrativo viabiliza o acompanhamento individual e coletivo do desenvolvimento dos participantes, configurando‑se como recurso relevante para o monitoramento pedagógico e para a análise de dados no contexto do trabalho acadêmico. A partir dele, é possível identificar quais usuários apresentam maior engajamento, quais componentes curriculares estão sendo mais acessados e em que medida existe equilíbrio ou concentração das atividades em determinadas áreas. O painel também permite verificar se novos cadastros estão sendo feitos após o início da experimentação, bem como se as sessões realizadas posteriormente à migração de banco de dados estão sendo corretamente armazenadas e agregadas às estatísticas globais da plataforma.</w:t>
      </w:r>
    </w:p>
    <w:p w14:paraId="2D8B1CAC" w14:textId="77777777" w:rsidR="00AB0B15" w:rsidRDefault="00000000">
      <w:pPr>
        <w:spacing w:after="240" w:line="360" w:lineRule="auto"/>
        <w:ind w:firstLine="720"/>
        <w:jc w:val="both"/>
      </w:pPr>
      <w:r>
        <w:t xml:space="preserve">Para aumentar a estabilidade percebida pelo usuário final e mitigar o efeito de hibernação típico de ambientes compartilhados, foi adotado um serviço externo de monitoramento, o </w:t>
      </w:r>
      <w:proofErr w:type="spellStart"/>
      <w:r>
        <w:t>UptimeRobot</w:t>
      </w:r>
      <w:proofErr w:type="spellEnd"/>
      <w:r>
        <w:t xml:space="preserve">. Esse serviço, configurado de forma independente do </w:t>
      </w:r>
      <w:r>
        <w:lastRenderedPageBreak/>
        <w:t>código da aplicação, realiza requisições periódicas ao endereço público da plataforma, mantendo o servidor em atividade e reduzindo o tempo de resposta quando um professor ou responsável acessa o sistema. O monitoramento, de caráter gratuito, também emite notificações por e‑mail em caso de indisponibilidade prolongada, o que favorece a detecção precoce de falhas e possibilita intervenções técnicas oportunas.</w:t>
      </w:r>
    </w:p>
    <w:p w14:paraId="4CD7B459" w14:textId="77777777" w:rsidR="00AB0B15" w:rsidRDefault="00000000">
      <w:pPr>
        <w:spacing w:after="240" w:line="360" w:lineRule="auto"/>
        <w:ind w:firstLine="720"/>
        <w:jc w:val="both"/>
      </w:pPr>
      <w:r>
        <w:t>Em termos de fluxo pedagógico, o andamento da atividade dentro da plataforma segue uma sequência clara: cadastro do responsável ou professor, login autenticado, escolha de componente curricular, interação com a atividade proposta e, ao final, registro automático da sessão no banco de dados. Cada sessão concluída gera uma entrada no histórico de aprendizagem, associada ao usuário específico, contendo informações sobre a área curricular trabalhada, o nível de dificuldade atingido e a data de realização. O histórico é exibido em formato de lista no próprio ambiente do usuário, permitindo que o responsável visualize a trajetória de uso, enquanto o painel administrativo resume esses dados em nível macro, contemplando todos os participantes.</w:t>
      </w:r>
    </w:p>
    <w:p w14:paraId="0A2E9E37" w14:textId="77777777" w:rsidR="00AB0B15" w:rsidRDefault="00000000">
      <w:pPr>
        <w:spacing w:after="240" w:line="360" w:lineRule="auto"/>
        <w:ind w:firstLine="720"/>
        <w:jc w:val="both"/>
      </w:pPr>
      <w:r>
        <w:t>Na prática, o acompanhamento do desenvolvimento dos usuários se dá por meio da combinação entre a visualização do histórico individual, acessível pelo login do próprio usuário, e a leitura do painel administrativo, acessível apenas ao administrador. Em situações de teste, foi possível observar a criação de múltiplos perfis (responsáveis e professores), a realização de sessões em diferentes componentes curriculares e o registro consistente das atividades, sempre preservado mesmo após reinicializações do servidor. Essa trajetória evidencia que a plataforma atingiu um patamar de maturidade técnica compatível com seu objetivo como protótipo funcional: garantir a persistência dos dados, a acessibilidade via link único e a capacidade de monitorar, em tempo real, o uso pedagógico da ferramenta.</w:t>
      </w:r>
    </w:p>
    <w:p w14:paraId="39785C54" w14:textId="77777777" w:rsidR="00AB0B15" w:rsidRDefault="00000000">
      <w:pPr>
        <w:spacing w:after="240" w:line="360" w:lineRule="auto"/>
        <w:ind w:firstLine="720"/>
        <w:jc w:val="both"/>
      </w:pPr>
      <w:r>
        <w:t xml:space="preserve">Do ponto de vista de vinculação ao projeto de software, a plataforma encontra‑se anexada logicamente ao ambiente de desenvolvimento utilizado por Leandro, que atua como responsável pela implementação técnica. O código fonte, o banco de dados PostgreSQL e as rotas de acesso (página de login, ambiente de atividades e painel administrativo) convivem no mesmo projeto, hospedado no </w:t>
      </w:r>
      <w:proofErr w:type="spellStart"/>
      <w:r>
        <w:t>Replit</w:t>
      </w:r>
      <w:proofErr w:type="spellEnd"/>
      <w:r>
        <w:t xml:space="preserve">, o que facilita a manutenção e a eventual evolução funcional do sistema. O endereço público de acesso permanece constante e pode ser compartilhado com professores, responsáveis e </w:t>
      </w:r>
      <w:r>
        <w:lastRenderedPageBreak/>
        <w:t>avaliadores, evitando a necessidade de múltiplos cadastros ou links diferentes a cada novo ciclo de uso.</w:t>
      </w:r>
    </w:p>
    <w:p w14:paraId="597ACCC5" w14:textId="77777777" w:rsidR="00AB0B15" w:rsidRDefault="00000000">
      <w:pPr>
        <w:spacing w:after="240" w:line="360" w:lineRule="auto"/>
        <w:ind w:firstLine="720"/>
        <w:jc w:val="both"/>
      </w:pPr>
      <w:r>
        <w:t xml:space="preserve">Por fim, a combinação entre hospedagem em nuvem, banco de dados persistente, painel administrativo seguro e monitoramento externo por meio do </w:t>
      </w:r>
      <w:proofErr w:type="spellStart"/>
      <w:r>
        <w:t>UptimeRobot</w:t>
      </w:r>
      <w:proofErr w:type="spellEnd"/>
      <w:r>
        <w:t xml:space="preserve"> confere à plataforma um nível de estabilidade adequado ao contexto acadêmico em que foi concebida. Embora não se trate de uma infraestrutura corporativa de grande porte, comparável a redes sociais ou portais educacionais massivos, as soluções adotadas respondem às principais exigências de confiabilidade para um protótipo de pesquisa, assegurando que o professor possa acessar, utilizar, acompanhar o desenvolvimento dos participantes e retornar ao sistema em momentos posteriores sem perda dos dados de aprendizagem registrados.</w:t>
      </w:r>
    </w:p>
    <w:sectPr w:rsidR="00AB0B15">
      <w:pgSz w:w="11906" w:h="16838"/>
      <w:pgMar w:top="1440" w:right="1700" w:bottom="144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45B72"/>
    <w:multiLevelType w:val="hybridMultilevel"/>
    <w:tmpl w:val="DEC01D1A"/>
    <w:lvl w:ilvl="0" w:tplc="C1E6494A">
      <w:start w:val="1"/>
      <w:numFmt w:val="bullet"/>
      <w:lvlText w:val="●"/>
      <w:lvlJc w:val="left"/>
      <w:pPr>
        <w:ind w:left="720" w:hanging="360"/>
      </w:pPr>
    </w:lvl>
    <w:lvl w:ilvl="1" w:tplc="07AA7DC4">
      <w:start w:val="1"/>
      <w:numFmt w:val="bullet"/>
      <w:lvlText w:val="○"/>
      <w:lvlJc w:val="left"/>
      <w:pPr>
        <w:ind w:left="1440" w:hanging="360"/>
      </w:pPr>
    </w:lvl>
    <w:lvl w:ilvl="2" w:tplc="4E629C8E">
      <w:start w:val="1"/>
      <w:numFmt w:val="bullet"/>
      <w:lvlText w:val="■"/>
      <w:lvlJc w:val="left"/>
      <w:pPr>
        <w:ind w:left="2160" w:hanging="360"/>
      </w:pPr>
    </w:lvl>
    <w:lvl w:ilvl="3" w:tplc="75060716">
      <w:start w:val="1"/>
      <w:numFmt w:val="bullet"/>
      <w:lvlText w:val="●"/>
      <w:lvlJc w:val="left"/>
      <w:pPr>
        <w:ind w:left="2880" w:hanging="360"/>
      </w:pPr>
    </w:lvl>
    <w:lvl w:ilvl="4" w:tplc="1D326166">
      <w:start w:val="1"/>
      <w:numFmt w:val="bullet"/>
      <w:lvlText w:val="○"/>
      <w:lvlJc w:val="left"/>
      <w:pPr>
        <w:ind w:left="3600" w:hanging="360"/>
      </w:pPr>
    </w:lvl>
    <w:lvl w:ilvl="5" w:tplc="0AB04AAC">
      <w:start w:val="1"/>
      <w:numFmt w:val="bullet"/>
      <w:lvlText w:val="■"/>
      <w:lvlJc w:val="left"/>
      <w:pPr>
        <w:ind w:left="4320" w:hanging="360"/>
      </w:pPr>
    </w:lvl>
    <w:lvl w:ilvl="6" w:tplc="1742ABDC">
      <w:start w:val="1"/>
      <w:numFmt w:val="bullet"/>
      <w:lvlText w:val="●"/>
      <w:lvlJc w:val="left"/>
      <w:pPr>
        <w:ind w:left="5040" w:hanging="360"/>
      </w:pPr>
    </w:lvl>
    <w:lvl w:ilvl="7" w:tplc="9A8A14C0">
      <w:start w:val="1"/>
      <w:numFmt w:val="bullet"/>
      <w:lvlText w:val="●"/>
      <w:lvlJc w:val="left"/>
      <w:pPr>
        <w:ind w:left="5760" w:hanging="360"/>
      </w:pPr>
    </w:lvl>
    <w:lvl w:ilvl="8" w:tplc="7042EF3C">
      <w:start w:val="1"/>
      <w:numFmt w:val="bullet"/>
      <w:lvlText w:val="●"/>
      <w:lvlJc w:val="left"/>
      <w:pPr>
        <w:ind w:left="6480" w:hanging="360"/>
      </w:pPr>
    </w:lvl>
  </w:abstractNum>
  <w:num w:numId="1" w16cid:durableId="11279643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B15"/>
    <w:rsid w:val="00844798"/>
    <w:rsid w:val="00AB0B15"/>
    <w:rsid w:val="00B67866"/>
    <w:rsid w:val="00CF57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A7734"/>
  <w15:docId w15:val="{61B5BB05-DB26-478D-B306-7D33437F2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38"/>
      <w:szCs w:val="38"/>
    </w:rPr>
  </w:style>
  <w:style w:type="paragraph" w:styleId="Ttulo2">
    <w:name w:val="heading 2"/>
    <w:uiPriority w:val="9"/>
    <w:semiHidden/>
    <w:unhideWhenUsed/>
    <w:qFormat/>
    <w:pPr>
      <w:spacing w:before="360" w:after="200"/>
      <w:outlineLvl w:val="1"/>
    </w:pPr>
    <w:rPr>
      <w:b/>
      <w:bCs/>
      <w:sz w:val="34"/>
      <w:szCs w:val="34"/>
    </w:rPr>
  </w:style>
  <w:style w:type="paragraph" w:styleId="Ttulo3">
    <w:name w:val="heading 3"/>
    <w:uiPriority w:val="9"/>
    <w:semiHidden/>
    <w:unhideWhenUsed/>
    <w:qFormat/>
    <w:pPr>
      <w:spacing w:before="280" w:after="160"/>
      <w:outlineLvl w:val="2"/>
    </w:pPr>
    <w:rPr>
      <w:b/>
      <w:bCs/>
      <w:sz w:val="30"/>
      <w:szCs w:val="30"/>
    </w:rPr>
  </w:style>
  <w:style w:type="paragraph" w:styleId="Ttulo4">
    <w:name w:val="heading 4"/>
    <w:uiPriority w:val="9"/>
    <w:semiHidden/>
    <w:unhideWhenUsed/>
    <w:qFormat/>
    <w:pPr>
      <w:spacing w:before="240" w:after="120"/>
      <w:outlineLvl w:val="3"/>
    </w:pPr>
    <w:rPr>
      <w:b/>
      <w:bCs/>
      <w:sz w:val="28"/>
      <w:szCs w:val="28"/>
    </w:rPr>
  </w:style>
  <w:style w:type="paragraph" w:styleId="Ttulo5">
    <w:name w:val="heading 5"/>
    <w:uiPriority w:val="9"/>
    <w:semiHidden/>
    <w:unhideWhenUsed/>
    <w:qFormat/>
    <w:pPr>
      <w:spacing w:before="200" w:after="120"/>
      <w:outlineLvl w:val="4"/>
    </w:pPr>
    <w:rPr>
      <w:b/>
      <w:bCs/>
      <w:sz w:val="26"/>
      <w:szCs w:val="26"/>
    </w:rPr>
  </w:style>
  <w:style w:type="paragraph" w:styleId="Ttulo6">
    <w:name w:val="heading 6"/>
    <w:uiPriority w:val="9"/>
    <w:semiHidden/>
    <w:unhideWhenUsed/>
    <w:qFormat/>
    <w:pPr>
      <w:spacing w:before="200" w:after="120"/>
      <w:outlineLvl w:val="5"/>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pPr>
      <w:spacing w:after="360"/>
    </w:pPr>
    <w:rPr>
      <w:b/>
      <w:bCs/>
      <w:sz w:val="44"/>
      <w:szCs w:val="44"/>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1289</Words>
  <Characters>6961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VAIO</cp:lastModifiedBy>
  <cp:revision>2</cp:revision>
  <dcterms:created xsi:type="dcterms:W3CDTF">2026-05-08T13:12:00Z</dcterms:created>
  <dcterms:modified xsi:type="dcterms:W3CDTF">2026-05-08T13:12:00Z</dcterms:modified>
</cp:coreProperties>
</file>