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AZCENTRIX DESK</w:t>
      </w:r>
    </w:p>
    <w:p>
      <w:pPr>
        <w:spacing w:after="60"/>
        <w:jc w:val="center"/>
      </w:pPr>
      <w:r>
        <w:rPr>
          <w:b/>
          <w:bCs/>
          <w:sz w:val="28"/>
          <w:szCs w:val="28"/>
        </w:rPr>
        <w:t xml:space="preserve">QA Test Report – Response to Consolidated Development Handover</w:t>
      </w:r>
    </w:p>
    <w:p>
      <w:pPr>
        <w:spacing w:after="60"/>
        <w:jc w:val="center"/>
      </w:pPr>
      <w:r>
        <w:rPr>
          <w:sz w:val="19"/>
          <w:szCs w:val="19"/>
        </w:rPr>
        <w:t xml:space="preserve">Prepared by: QA / Testing Team   |   Responding to: Development Handover updated 20 October 2026   |   Report date: [DD Month 2026]</w:t>
      </w:r>
    </w:p>
    <w:p>
      <w:pPr>
        <w:spacing w:after="200"/>
        <w:jc w:val="center"/>
      </w:pPr>
      <w:r>
        <w:rPr>
          <w:b/>
          <w:bCs/>
          <w:sz w:val="19"/>
          <w:szCs w:val="19"/>
        </w:rPr>
        <w:t xml:space="preserve">Scope tested: Section 2 – Latest Updates (Priority for Testing). Sections 3 and 4 are not yet tested.</w:t>
      </w:r>
    </w:p>
    <w:p>
      <w:pPr>
        <w:pStyle w:val="Heading1"/>
        <w:pBdr>
          <w:bottom w:val="single" w:color="1F4E79" w:sz="8" w:space="2"/>
        </w:pBdr>
        <w:spacing w:after="140" w:before="300"/>
      </w:pPr>
      <w:r>
        <w:rPr>
          <w:b/>
          <w:bCs/>
          <w:color w:val="1F4E79"/>
          <w:sz w:val="28"/>
          <w:szCs w:val="28"/>
        </w:rPr>
        <w:t xml:space="preserve">1. Test Summary</w:t>
      </w:r>
    </w:p>
    <w:p>
      <w:pPr>
        <w:spacing w:after="120"/>
      </w:pPr>
      <w:r>
        <w:rPr>
          <w:sz w:val="21"/>
          <w:szCs w:val="21"/>
        </w:rPr>
        <w:t xml:space="preserve">This report records the QA verification of the five priority items listed in Section 2 of the development handover. Each item was tested against the QA focus points supplied by the development team. Fields in square brackets are to be completed by the tester before the report is shared.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50"/>
        <w:gridCol w:w="11548"/>
      </w:tblGrid>
      <w:tr>
        <w:trPr>
          <w:tblHeader/>
        </w:trPr>
        <w:tc>
          <w:tcPr>
            <w:tcW w:type="dxa" w:w="3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115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Details</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Application</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Azcentrix Desk – Desk ProdCare mobile application</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Build / Version tested</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[Build no. / version]</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Environment</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[QA / Staging] – API base: [URL]</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Tenant used</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[Tenant slug]</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Devices &amp; OS</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[e.g. Android 14 – Model], [iOS 17 – Model]</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Roles used</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[admin / manager / engineer / call_coordinator]</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Test period</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 date] to [End date]</w:t>
            </w:r>
          </w:p>
        </w:tc>
      </w:tr>
      <w:tr>
        <w:trPr>
          <w:cantSplit/>
        </w:trPr>
        <w:tc>
          <w:tcPr>
            <w:tcW w:type="dxa" w:w="3850"/>
            <w:tcBorders>
              <w:top w:val="single" w:color="A6A6A6" w:sz="4"/>
              <w:left w:val="single" w:color="A6A6A6" w:sz="4"/>
              <w:bottom w:val="single" w:color="A6A6A6" w:sz="4"/>
              <w:right w:val="single" w:color="A6A6A6" w:sz="4"/>
            </w:tcBorders>
            <w:shd w:fill="DEEAF6" w:color="auto" w:val="clear"/>
            <w:tcMar>
              <w:top w:type="dxa" w:w="60"/>
              <w:left w:type="dxa" w:w="90"/>
              <w:bottom w:type="dxa" w:w="60"/>
              <w:right w:type="dxa" w:w="90"/>
            </w:tcMar>
          </w:tcPr>
          <w:p>
            <w:r>
              <w:rPr>
                <w:b/>
                <w:bCs/>
                <w:sz w:val="18"/>
                <w:szCs w:val="18"/>
              </w:rPr>
              <w:t xml:space="preserve">Tested by</w:t>
            </w:r>
          </w:p>
        </w:tc>
        <w:tc>
          <w:tcPr>
            <w:tcW w:type="dxa" w:w="115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[Tester name(s)]</w:t>
            </w:r>
          </w:p>
        </w:tc>
      </w:tr>
    </w:tbl>
    <w:p>
      <w:pPr>
        <w:pStyle w:val="Heading1"/>
        <w:pBdr>
          <w:bottom w:val="single" w:color="1F4E79" w:sz="8" w:space="2"/>
        </w:pBdr>
        <w:spacing w:after="140" w:before="300"/>
      </w:pPr>
      <w:r>
        <w:rPr>
          <w:b/>
          <w:bCs/>
          <w:color w:val="1F4E79"/>
          <w:sz w:val="28"/>
          <w:szCs w:val="28"/>
        </w:rPr>
        <w:t xml:space="preserve">2. Execution Summary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24"/>
        <w:gridCol w:w="6159"/>
        <w:gridCol w:w="1386"/>
        <w:gridCol w:w="1386"/>
        <w:gridCol w:w="1386"/>
        <w:gridCol w:w="1386"/>
        <w:gridCol w:w="2771"/>
      </w:tblGrid>
      <w:tr>
        <w:trPr>
          <w:tblHeader/>
        </w:trPr>
        <w:tc>
          <w:tcPr>
            <w:tcW w:type="dxa" w:w="92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Ref</w:t>
            </w:r>
          </w:p>
        </w:tc>
        <w:tc>
          <w:tcPr>
            <w:tcW w:type="dxa" w:w="615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Item</w:t>
            </w:r>
          </w:p>
        </w:tc>
        <w:tc>
          <w:tcPr>
            <w:tcW w:type="dxa" w:w="138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Total TCs</w:t>
            </w:r>
          </w:p>
        </w:tc>
        <w:tc>
          <w:tcPr>
            <w:tcW w:type="dxa" w:w="138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Passed</w:t>
            </w:r>
          </w:p>
        </w:tc>
        <w:tc>
          <w:tcPr>
            <w:tcW w:type="dxa" w:w="138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Failed</w:t>
            </w:r>
          </w:p>
        </w:tc>
        <w:tc>
          <w:tcPr>
            <w:tcW w:type="dxa" w:w="138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Blocked</w:t>
            </w:r>
          </w:p>
        </w:tc>
        <w:tc>
          <w:tcPr>
            <w:tcW w:type="dxa" w:w="277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Overall Status</w:t>
            </w:r>
          </w:p>
        </w:tc>
      </w:tr>
      <w:tr>
        <w:trPr>
          <w:cantSplit/>
        </w:trPr>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2.1</w:t>
            </w:r>
          </w:p>
        </w:tc>
        <w:tc>
          <w:tcPr>
            <w:tcW w:type="dxa" w:w="61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OEM call form – status update reason</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27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 / Fail / Partial]</w:t>
            </w:r>
          </w:p>
        </w:tc>
      </w:tr>
      <w:tr>
        <w:trPr>
          <w:cantSplit/>
        </w:trPr>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2.2</w:t>
            </w:r>
          </w:p>
        </w:tc>
        <w:tc>
          <w:tcPr>
            <w:tcW w:type="dxa" w:w="61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 call – coordinator call logs</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27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 / Fail / Partial]</w:t>
            </w:r>
          </w:p>
        </w:tc>
      </w:tr>
      <w:tr>
        <w:trPr>
          <w:cantSplit/>
        </w:trPr>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2.3</w:t>
            </w:r>
          </w:p>
        </w:tc>
        <w:tc>
          <w:tcPr>
            <w:tcW w:type="dxa" w:w="61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Installation call – coordinator call logs</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27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 / Fail / Partial]</w:t>
            </w:r>
          </w:p>
        </w:tc>
      </w:tr>
      <w:tr>
        <w:trPr>
          <w:cantSplit/>
        </w:trPr>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2.4</w:t>
            </w:r>
          </w:p>
        </w:tc>
        <w:tc>
          <w:tcPr>
            <w:tcW w:type="dxa" w:w="61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Expense claims – call-log mapping</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27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 / Fail / Partial]</w:t>
            </w:r>
          </w:p>
        </w:tc>
      </w:tr>
      <w:tr>
        <w:trPr>
          <w:cantSplit/>
        </w:trPr>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2.5</w:t>
            </w:r>
          </w:p>
        </w:tc>
        <w:tc>
          <w:tcPr>
            <w:tcW w:type="dxa" w:w="61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Dynamic notifications and deep-link navigation</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27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 / Fail / Partial]</w:t>
            </w:r>
          </w:p>
        </w:tc>
      </w:tr>
      <w:tr>
        <w:trPr>
          <w:cantSplit/>
        </w:trPr>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61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Total</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27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bl>
    <w:p>
      <w:pPr>
        <w:spacing w:after="80"/>
      </w:pPr>
    </w:p>
    <w:p>
      <w:pPr>
        <w:spacing w:after="120"/>
      </w:pPr>
      <w:r>
        <w:rPr>
          <w:i/>
          <w:iCs/>
          <w:sz w:val="18"/>
          <w:szCs w:val="18"/>
        </w:rPr>
        <w:t xml:space="preserve">Status key: Pass = behaves as expected; Fail = defect raised; Blocked = could not be executed; N/A = not applicable.</w:t>
      </w:r>
    </w:p>
    <w:p>
      <w:pPr>
        <w:pStyle w:val="Heading1"/>
        <w:pBdr>
          <w:bottom w:val="single" w:color="1F4E79" w:sz="8" w:space="2"/>
        </w:pBdr>
        <w:spacing w:after="140" w:before="300"/>
      </w:pPr>
      <w:r>
        <w:rPr>
          <w:b/>
          <w:bCs/>
          <w:color w:val="1F4E79"/>
          <w:sz w:val="28"/>
          <w:szCs w:val="28"/>
        </w:rPr>
        <w:t xml:space="preserve">3. Detailed Test Results – Section 2 Items</w:t>
      </w:r>
    </w:p>
    <w:p>
      <w:pPr>
        <w:pStyle w:val="Heading2"/>
        <w:spacing w:after="100" w:before="240"/>
      </w:pPr>
      <w:r>
        <w:rPr>
          <w:b/>
          <w:bCs/>
          <w:color w:val="1F4E79"/>
          <w:sz w:val="24"/>
          <w:szCs w:val="24"/>
        </w:rPr>
        <w:t xml:space="preserve">3.1 OEM call form – status update reason (Ref 2.1)</w:t>
      </w:r>
    </w:p>
    <w:p>
      <w:pPr>
        <w:spacing w:after="120"/>
      </w:pPr>
      <w:r>
        <w:rPr>
          <w:i/>
          <w:iCs/>
          <w:sz w:val="21"/>
          <w:szCs w:val="21"/>
        </w:rPr>
        <w:t xml:space="preserve">Development update: A Reason field has been added when updating the OEM call status.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32"/>
        <w:gridCol w:w="4311"/>
        <w:gridCol w:w="4619"/>
        <w:gridCol w:w="2464"/>
        <w:gridCol w:w="1232"/>
        <w:gridCol w:w="1540"/>
      </w:tblGrid>
      <w:tr>
        <w:trPr>
          <w:tblHeader/>
        </w:trPr>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TC ID</w:t>
            </w:r>
          </w:p>
        </w:tc>
        <w:tc>
          <w:tcPr>
            <w:tcW w:type="dxa" w:w="43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w:t>
            </w:r>
          </w:p>
        </w:tc>
        <w:tc>
          <w:tcPr>
            <w:tcW w:type="dxa" w:w="46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Expected Result</w:t>
            </w:r>
          </w:p>
        </w:tc>
        <w:tc>
          <w:tcPr>
            <w:tcW w:type="dxa" w:w="24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Actual Result</w:t>
            </w:r>
          </w:p>
        </w:tc>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154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Remarks / Defect ID</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OEM-01</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Open the OEM call status-update flow</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Reason field is displayed</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OEM-02</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 status with a reason entered</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Status changes; reason is saved</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OEM-03</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View the call after update</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Entered reason is displayed correctly</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OEM-04</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 status with the reason left empty</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Behaviour matches requirement (mandatory or optional) – confirm with dev</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OEM-05</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Enter long text, special characters and Tamil text in the reason</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Saved and displayed without truncation or corruption</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OEM-06</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Change status across all existing status options</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Existing status changes continue to work (regression)</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p>
      <w:pPr>
        <w:pStyle w:val="Heading2"/>
        <w:spacing w:after="100" w:before="240"/>
      </w:pPr>
      <w:r>
        <w:rPr>
          <w:b/>
          <w:bCs/>
          <w:color w:val="1F4E79"/>
          <w:sz w:val="24"/>
          <w:szCs w:val="24"/>
        </w:rPr>
        <w:t xml:space="preserve">3.2 Service call – coordinator call logs (Ref 2.2)</w:t>
      </w:r>
    </w:p>
    <w:p>
      <w:pPr>
        <w:spacing w:after="120"/>
      </w:pPr>
      <w:r>
        <w:rPr>
          <w:i/>
          <w:iCs/>
          <w:sz w:val="21"/>
          <w:szCs w:val="21"/>
        </w:rPr>
        <w:t xml:space="preserve">Development update: A Call Log option has been added to service calls so call coordinators can update engineer call logs and close a call log.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32"/>
        <w:gridCol w:w="4311"/>
        <w:gridCol w:w="4619"/>
        <w:gridCol w:w="2464"/>
        <w:gridCol w:w="1232"/>
        <w:gridCol w:w="1540"/>
      </w:tblGrid>
      <w:tr>
        <w:trPr>
          <w:tblHeader/>
        </w:trPr>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TC ID</w:t>
            </w:r>
          </w:p>
        </w:tc>
        <w:tc>
          <w:tcPr>
            <w:tcW w:type="dxa" w:w="43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w:t>
            </w:r>
          </w:p>
        </w:tc>
        <w:tc>
          <w:tcPr>
            <w:tcW w:type="dxa" w:w="46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Expected Result</w:t>
            </w:r>
          </w:p>
        </w:tc>
        <w:tc>
          <w:tcPr>
            <w:tcW w:type="dxa" w:w="24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Actual Result</w:t>
            </w:r>
          </w:p>
        </w:tc>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154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Remarks / Defect ID</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SCL-01</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 in as call_coordinator and open a service call</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 Log option is visible and accessible</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SCL-02</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 in as engineer / other roles</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 Log option follows role permissions (no unintended access)</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SCL-03</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Add a new engineer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 is saved against the correct service call</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SCL-04</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 an existing engineer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Changes are saved and reflected on reopening</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SCL-05</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 a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Closure action completes; closed state is visible</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SCL-06</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Try to edit a closed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Behaviour matches requirement (locked or editable) – confirm with dev</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SCL-07</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logs across different service calls</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Logs are not mixed between calls</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p>
      <w:pPr>
        <w:pStyle w:val="Heading2"/>
        <w:spacing w:after="100" w:before="240"/>
      </w:pPr>
      <w:r>
        <w:rPr>
          <w:b/>
          <w:bCs/>
          <w:color w:val="1F4E79"/>
          <w:sz w:val="24"/>
          <w:szCs w:val="24"/>
        </w:rPr>
        <w:t xml:space="preserve">3.3 Installation call – coordinator call logs (Ref 2.3)</w:t>
      </w:r>
    </w:p>
    <w:p>
      <w:pPr>
        <w:spacing w:after="120"/>
      </w:pPr>
      <w:r>
        <w:rPr>
          <w:i/>
          <w:iCs/>
          <w:sz w:val="21"/>
          <w:szCs w:val="21"/>
        </w:rPr>
        <w:t xml:space="preserve">Development update: A Call Log option has been added to installation calls so call coordinators can update engineer call logs and close a call log.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32"/>
        <w:gridCol w:w="4311"/>
        <w:gridCol w:w="4619"/>
        <w:gridCol w:w="2464"/>
        <w:gridCol w:w="1232"/>
        <w:gridCol w:w="1540"/>
      </w:tblGrid>
      <w:tr>
        <w:trPr>
          <w:tblHeader/>
        </w:trPr>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TC ID</w:t>
            </w:r>
          </w:p>
        </w:tc>
        <w:tc>
          <w:tcPr>
            <w:tcW w:type="dxa" w:w="43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w:t>
            </w:r>
          </w:p>
        </w:tc>
        <w:tc>
          <w:tcPr>
            <w:tcW w:type="dxa" w:w="46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Expected Result</w:t>
            </w:r>
          </w:p>
        </w:tc>
        <w:tc>
          <w:tcPr>
            <w:tcW w:type="dxa" w:w="24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Actual Result</w:t>
            </w:r>
          </w:p>
        </w:tc>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154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Remarks / Defect ID</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ICL-01</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 in as call_coordinator and open an installation call</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 Log option is visible and accessible</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ICL-02</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Add a new engineer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 is saved against the correct installation call</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ICL-03</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Update an existing engineer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Changes are saved and reflected on reopening</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ICL-04</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Close a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Closure action completes; closed state is visible</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ICL-05</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Compare service and installation records</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 and installation call logs remain separate</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ICL-06</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Verify role-based access</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Only permitted roles can use the Call Log option</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p>
      <w:pPr>
        <w:pStyle w:val="Heading2"/>
        <w:spacing w:after="100" w:before="240"/>
      </w:pPr>
      <w:r>
        <w:rPr>
          <w:b/>
          <w:bCs/>
          <w:color w:val="1F4E79"/>
          <w:sz w:val="24"/>
          <w:szCs w:val="24"/>
        </w:rPr>
        <w:t xml:space="preserve">3.4 Expense claims – call-log mapping (Ref 2.4)</w:t>
      </w:r>
    </w:p>
    <w:p>
      <w:pPr>
        <w:spacing w:after="120"/>
      </w:pPr>
      <w:r>
        <w:rPr>
          <w:i/>
          <w:iCs/>
          <w:sz w:val="21"/>
          <w:szCs w:val="21"/>
        </w:rPr>
        <w:t xml:space="preserve">Development update: Expense claims can now be mapped to a call log.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32"/>
        <w:gridCol w:w="4311"/>
        <w:gridCol w:w="4619"/>
        <w:gridCol w:w="2464"/>
        <w:gridCol w:w="1232"/>
        <w:gridCol w:w="1540"/>
      </w:tblGrid>
      <w:tr>
        <w:trPr>
          <w:tblHeader/>
        </w:trPr>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TC ID</w:t>
            </w:r>
          </w:p>
        </w:tc>
        <w:tc>
          <w:tcPr>
            <w:tcW w:type="dxa" w:w="43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w:t>
            </w:r>
          </w:p>
        </w:tc>
        <w:tc>
          <w:tcPr>
            <w:tcW w:type="dxa" w:w="46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Expected Result</w:t>
            </w:r>
          </w:p>
        </w:tc>
        <w:tc>
          <w:tcPr>
            <w:tcW w:type="dxa" w:w="24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Actual Result</w:t>
            </w:r>
          </w:p>
        </w:tc>
        <w:tc>
          <w:tcPr>
            <w:tcW w:type="dxa" w:w="123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154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Remarks / Defect ID</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EXP-01</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 a new claim and select a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Intended call log can be selected / linked</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EXP-02</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Save the claim</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Call-log association is retained after save</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EXP-03</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Open the claim in view mode</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Correct call-log details are displayed</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EXP-04</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Edit the claim and change the linked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New association is saved; old one is replaced</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EXP-05</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Submit a claim without a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Behaviour matches requirement (mandatory or optional) – confirm with dev</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EXP-06</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Link a claim to an approved travel request</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Existing travel-request linking still works (regression)</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EXP-07</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Link both a travel request and a call log</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Both associations are retained without conflict</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EXP-08</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 the claim in the approval queue</w:t>
            </w:r>
          </w:p>
        </w:tc>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Claim appears with correct details for the approver</w:t>
            </w:r>
          </w:p>
        </w:tc>
        <w:tc>
          <w:tcPr>
            <w:tcW w:type="dxa" w:w="24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p>
      <w:pPr>
        <w:pStyle w:val="Heading2"/>
        <w:spacing w:after="100" w:before="240"/>
      </w:pPr>
      <w:r>
        <w:rPr>
          <w:b/>
          <w:bCs/>
          <w:color w:val="1F4E79"/>
          <w:sz w:val="24"/>
          <w:szCs w:val="24"/>
        </w:rPr>
        <w:t xml:space="preserve">3.5 Dynamic notifications and deep-link navigation (Ref 2.5)</w:t>
      </w:r>
    </w:p>
    <w:p>
      <w:pPr>
        <w:spacing w:after="120"/>
      </w:pPr>
      <w:r>
        <w:rPr>
          <w:i/>
          <w:iCs/>
          <w:sz w:val="21"/>
          <w:szCs w:val="21"/>
        </w:rPr>
        <w:t xml:space="preserve">Development update: Dynamic notifications support deep-link navigation for call details and approval details, across foreground, background and terminated (cold start) states.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83"/>
        <w:gridCol w:w="1925"/>
        <w:gridCol w:w="2566"/>
        <w:gridCol w:w="4491"/>
        <w:gridCol w:w="2246"/>
        <w:gridCol w:w="1283"/>
        <w:gridCol w:w="1604"/>
      </w:tblGrid>
      <w:tr>
        <w:trPr>
          <w:tblHeader/>
        </w:trPr>
        <w:tc>
          <w:tcPr>
            <w:tcW w:type="dxa" w:w="128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TC ID</w:t>
            </w:r>
          </w:p>
        </w:tc>
        <w:tc>
          <w:tcPr>
            <w:tcW w:type="dxa" w:w="192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Notification Type</w:t>
            </w:r>
          </w:p>
        </w:tc>
        <w:tc>
          <w:tcPr>
            <w:tcW w:type="dxa" w:w="25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App State</w:t>
            </w:r>
          </w:p>
        </w:tc>
        <w:tc>
          <w:tcPr>
            <w:tcW w:type="dxa" w:w="449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Expected Result</w:t>
            </w:r>
          </w:p>
        </w:tc>
        <w:tc>
          <w:tcPr>
            <w:tcW w:type="dxa" w:w="224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Actual Result</w:t>
            </w:r>
          </w:p>
        </w:tc>
        <w:tc>
          <w:tcPr>
            <w:tcW w:type="dxa" w:w="128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16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Remarks / Defect ID</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NOT-01</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Foreground (live)</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delivered; tap opens the correct call details</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NOT-02</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Background</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delivered; tap resumes app and opens the correct call</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NOT-03</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Terminated (cold start)</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delivered; tap launches app and opens the correct call</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NOT-04</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Approval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Foreground (live)</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delivered; tap opens the correct approval details</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NOT-05</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Approval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Background</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delivered; tap resumes app and opens the correct approval</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NOT-06</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Approval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Terminated (cold start)</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Notification delivered; tap launches app and opens the correct approval</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NOT-07</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 / Approval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Terminated, logged out or session expired</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Navigation completes to the correct record after authentication</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NOT-08</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 / Approval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Any</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Correct record opens when multiple notifications are received</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NOT-09</w:t>
            </w:r>
          </w:p>
        </w:tc>
        <w:tc>
          <w:tcPr>
            <w:tcW w:type="dxa" w:w="1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 / Approval</w:t>
            </w:r>
          </w:p>
        </w:tc>
        <w:tc>
          <w:tcPr>
            <w:tcW w:type="dxa" w:w="25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Any</w:t>
            </w:r>
          </w:p>
        </w:tc>
        <w:tc>
          <w:tcPr>
            <w:tcW w:type="dxa" w:w="44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Deleted or inaccessible record is handled gracefully</w:t>
            </w:r>
          </w:p>
        </w:tc>
        <w:tc>
          <w:tcPr>
            <w:tcW w:type="dxa" w:w="22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6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p>
      <w:pPr>
        <w:pStyle w:val="Heading1"/>
        <w:pBdr>
          <w:bottom w:val="single" w:color="1F4E79" w:sz="8" w:space="2"/>
        </w:pBdr>
        <w:spacing w:after="140" w:before="300"/>
      </w:pPr>
      <w:r>
        <w:rPr>
          <w:b/>
          <w:bCs/>
          <w:color w:val="1F4E79"/>
          <w:sz w:val="28"/>
          <w:szCs w:val="28"/>
        </w:rPr>
        <w:t xml:space="preserve">4. Defect Log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386"/>
        <w:gridCol w:w="924"/>
        <w:gridCol w:w="1386"/>
        <w:gridCol w:w="3388"/>
        <w:gridCol w:w="3388"/>
        <w:gridCol w:w="1848"/>
        <w:gridCol w:w="1848"/>
        <w:gridCol w:w="1230"/>
      </w:tblGrid>
      <w:tr>
        <w:trPr>
          <w:tblHeader/>
        </w:trPr>
        <w:tc>
          <w:tcPr>
            <w:tcW w:type="dxa" w:w="138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Defect ID</w:t>
            </w:r>
          </w:p>
        </w:tc>
        <w:tc>
          <w:tcPr>
            <w:tcW w:type="dxa" w:w="92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Ref</w:t>
            </w:r>
          </w:p>
        </w:tc>
        <w:tc>
          <w:tcPr>
            <w:tcW w:type="dxa" w:w="138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Linked TC</w:t>
            </w:r>
          </w:p>
        </w:tc>
        <w:tc>
          <w:tcPr>
            <w:tcW w:type="dxa" w:w="338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Description</w:t>
            </w:r>
          </w:p>
        </w:tc>
        <w:tc>
          <w:tcPr>
            <w:tcW w:type="dxa" w:w="338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Steps to Reproduce</w:t>
            </w:r>
          </w:p>
        </w:tc>
        <w:tc>
          <w:tcPr>
            <w:tcW w:type="dxa" w:w="18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Severity</w:t>
            </w:r>
          </w:p>
        </w:tc>
        <w:tc>
          <w:tcPr>
            <w:tcW w:type="dxa" w:w="18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123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Assigned To</w:t>
            </w:r>
          </w:p>
        </w:tc>
      </w:tr>
      <w:tr>
        <w:trPr>
          <w:cantSplit/>
        </w:trPr>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[DEF-001]</w:t>
            </w:r>
          </w:p>
        </w:tc>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[Critical / High / Medium / Low]</w:t>
            </w:r>
          </w:p>
        </w:tc>
        <w:tc>
          <w:tcPr>
            <w:tcW w:type="dxa" w:w="1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[Open / Fixed / Retest / Closed]</w:t>
            </w:r>
          </w:p>
        </w:tc>
        <w:tc>
          <w:tcPr>
            <w:tcW w:type="dxa" w:w="12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[DEF-002]</w:t>
            </w:r>
          </w:p>
        </w:tc>
        <w:tc>
          <w:tcPr>
            <w:tcW w:type="dxa" w:w="92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3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123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p>
      <w:pPr>
        <w:pStyle w:val="Heading1"/>
        <w:pBdr>
          <w:bottom w:val="single" w:color="1F4E79" w:sz="8" w:space="2"/>
        </w:pBdr>
        <w:spacing w:after="140" w:before="300"/>
      </w:pPr>
      <w:r>
        <w:rPr>
          <w:b/>
          <w:bCs/>
          <w:color w:val="1F4E79"/>
          <w:sz w:val="28"/>
          <w:szCs w:val="28"/>
        </w:rPr>
        <w:t xml:space="preserve">5. Observations and Clarifications for Development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70"/>
        <w:gridCol w:w="1386"/>
        <w:gridCol w:w="7391"/>
        <w:gridCol w:w="1540"/>
        <w:gridCol w:w="4311"/>
      </w:tblGrid>
      <w:tr>
        <w:trPr>
          <w:tblHeader/>
        </w:trPr>
        <w:tc>
          <w:tcPr>
            <w:tcW w:type="dxa" w:w="77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w:t>
            </w:r>
          </w:p>
        </w:tc>
        <w:tc>
          <w:tcPr>
            <w:tcW w:type="dxa" w:w="138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Ref</w:t>
            </w:r>
          </w:p>
        </w:tc>
        <w:tc>
          <w:tcPr>
            <w:tcW w:type="dxa" w:w="739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Observation / Query</w:t>
            </w:r>
          </w:p>
        </w:tc>
        <w:tc>
          <w:tcPr>
            <w:tcW w:type="dxa" w:w="154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Raised To</w:t>
            </w:r>
          </w:p>
        </w:tc>
        <w:tc>
          <w:tcPr>
            <w:tcW w:type="dxa" w:w="431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Response</w:t>
            </w:r>
          </w:p>
        </w:tc>
      </w:tr>
      <w:tr>
        <w:trPr>
          <w:cantSplit/>
        </w:trPr>
        <w:tc>
          <w:tcPr>
            <w:tcW w:type="dxa" w:w="7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2.1</w:t>
            </w:r>
          </w:p>
        </w:tc>
        <w:tc>
          <w:tcPr>
            <w:tcW w:type="dxa" w:w="73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 the Reason field mandatory when updating OEM call status?</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Dev Team</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7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2.2 / 2.3</w:t>
            </w:r>
          </w:p>
        </w:tc>
        <w:tc>
          <w:tcPr>
            <w:tcW w:type="dxa" w:w="73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 a closed call log be reopened or edited by the coordinator?</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Dev Team</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7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3</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2.4</w:t>
            </w:r>
          </w:p>
        </w:tc>
        <w:tc>
          <w:tcPr>
            <w:tcW w:type="dxa" w:w="73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 call-log mapping mandatory for every expense claim, or optional?</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Dev Team</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7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2.5</w:t>
            </w:r>
          </w:p>
        </w:tc>
        <w:tc>
          <w:tcPr>
            <w:tcW w:type="dxa" w:w="73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What should happen when a notification refers to a record the user can no longer access?</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Dev Team</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77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5</w:t>
            </w:r>
          </w:p>
        </w:tc>
        <w:tc>
          <w:tcPr>
            <w:tcW w:type="dxa" w:w="138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739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[Add further observations]</w:t>
            </w:r>
          </w:p>
        </w:tc>
        <w:tc>
          <w:tcPr>
            <w:tcW w:type="dxa" w:w="154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431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p>
      <w:pPr>
        <w:pStyle w:val="Heading1"/>
        <w:pBdr>
          <w:bottom w:val="single" w:color="1F4E79" w:sz="8" w:space="2"/>
        </w:pBdr>
        <w:spacing w:after="140" w:before="300"/>
      </w:pPr>
      <w:r>
        <w:rPr>
          <w:b/>
          <w:bCs/>
          <w:color w:val="1F4E79"/>
          <w:sz w:val="28"/>
          <w:szCs w:val="28"/>
        </w:rPr>
        <w:t xml:space="preserve">6. Test Coverage Status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50"/>
        <w:gridCol w:w="8469"/>
        <w:gridCol w:w="3079"/>
      </w:tblGrid>
      <w:tr>
        <w:trPr>
          <w:tblHeader/>
        </w:trPr>
        <w:tc>
          <w:tcPr>
            <w:tcW w:type="dxa" w:w="3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Handover Section</w:t>
            </w:r>
          </w:p>
        </w:tc>
        <w:tc>
          <w:tcPr>
            <w:tcW w:type="dxa" w:w="84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Coverage</w:t>
            </w:r>
          </w:p>
        </w:tc>
        <w:tc>
          <w:tcPr>
            <w:tcW w:type="dxa" w:w="30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QA Status</w:t>
            </w:r>
          </w:p>
        </w:tc>
      </w:tr>
      <w:tr>
        <w:trPr>
          <w:cantSplit/>
        </w:trPr>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 Latest Updates – Priority for Testing</w:t>
            </w:r>
          </w:p>
        </w:tc>
        <w:tc>
          <w:tcPr>
            <w:tcW w:type="dxa" w:w="84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Items 2.1 to 2.5</w:t>
            </w:r>
          </w:p>
        </w:tc>
        <w:tc>
          <w:tcPr>
            <w:tcW w:type="dxa" w:w="30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Tested – results as per Section 3</w:t>
            </w:r>
          </w:p>
        </w:tc>
      </w:tr>
      <w:tr>
        <w:trPr>
          <w:cantSplit/>
        </w:trPr>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3. Desk ProdCare – Mobile Application Updates</w:t>
            </w:r>
          </w:p>
        </w:tc>
        <w:tc>
          <w:tcPr>
            <w:tcW w:type="dxa" w:w="84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Authentication and tenant routing; push notifications; voice dictation and translation; call lifecycle; attendance; analytics V2; expense claims; travel requests; advance requests; unified approvals; route mapping; network resilience</w:t>
            </w:r>
          </w:p>
        </w:tc>
        <w:tc>
          <w:tcPr>
            <w:tcW w:type="dxa" w:w="30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 yet tested</w:t>
            </w:r>
          </w:p>
        </w:tc>
      </w:tr>
      <w:tr>
        <w:trPr>
          <w:cantSplit/>
        </w:trPr>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 Platform Admin – Updates</w:t>
            </w:r>
          </w:p>
        </w:tc>
        <w:tc>
          <w:tcPr>
            <w:tcW w:type="dxa" w:w="84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Analytics; tenant management and onboarding; plans; subscriptions; modules; usage and limits; audit logs; login security; settings; roles and permissions; maintenance mode; backup; UI</w:t>
            </w:r>
          </w:p>
        </w:tc>
        <w:tc>
          <w:tcPr>
            <w:tcW w:type="dxa" w:w="30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 yet tested</w:t>
            </w:r>
          </w:p>
        </w:tc>
      </w:tr>
    </w:tbl>
    <w:p>
      <w:pPr>
        <w:spacing w:after="80"/>
      </w:pPr>
    </w:p>
    <w:p>
      <w:pPr>
        <w:spacing w:after="120"/>
      </w:pPr>
      <w:r>
        <w:rPr>
          <w:sz w:val="21"/>
          <w:szCs w:val="21"/>
        </w:rPr>
        <w:t xml:space="preserve">Planned next phase: [Target dates and sequence for Sections 3 and 4].</w:t>
      </w:r>
    </w:p>
    <w:p>
      <w:pPr>
        <w:pStyle w:val="Heading1"/>
        <w:pBdr>
          <w:bottom w:val="single" w:color="1F4E79" w:sz="8" w:space="2"/>
        </w:pBdr>
        <w:spacing w:after="140" w:before="300"/>
      </w:pPr>
      <w:r>
        <w:rPr>
          <w:b/>
          <w:bCs/>
          <w:color w:val="1F4E79"/>
          <w:sz w:val="28"/>
          <w:szCs w:val="28"/>
        </w:rPr>
        <w:t xml:space="preserve">7. Conclusion and Recommendation</w:t>
      </w:r>
    </w:p>
    <w:p>
      <w:pPr>
        <w:spacing w:after="120"/>
      </w:pPr>
      <w:r>
        <w:rPr>
          <w:b/>
          <w:bCs/>
          <w:sz w:val="21"/>
          <w:szCs w:val="21"/>
        </w:rPr>
        <w:t xml:space="preserve">Overall result for Section 2: [Pass / Pass with issues / Fail]</w:t>
      </w:r>
    </w:p>
    <w:p>
      <w:pPr>
        <w:spacing w:after="120"/>
      </w:pPr>
      <w:r>
        <w:rPr>
          <w:sz w:val="21"/>
          <w:szCs w:val="21"/>
        </w:rPr>
        <w:t xml:space="preserve">Summary: [Brief statement of what passed, what failed, and any open risks.]</w:t>
      </w:r>
    </w:p>
    <w:p>
      <w:pPr>
        <w:spacing w:after="120"/>
      </w:pPr>
      <w:r>
        <w:rPr>
          <w:sz w:val="21"/>
          <w:szCs w:val="21"/>
        </w:rPr>
        <w:t xml:space="preserve">Release recommendation for the Section 2 items: [Ready for release / Ready after defect fixes and retest / Not ready]</w:t>
      </w:r>
    </w:p>
    <w:p>
      <w:pPr>
        <w:spacing w:after="120"/>
      </w:pPr>
      <w:r>
        <w:rPr>
          <w:i/>
          <w:iCs/>
          <w:sz w:val="21"/>
          <w:szCs w:val="21"/>
        </w:rPr>
        <w:t xml:space="preserve">This report covers only the items marked as tested. It does not constitute release approval for Sections 3 and 4.</w:t>
      </w:r>
    </w:p>
    <w:p>
      <w:pPr>
        <w:pStyle w:val="Heading1"/>
        <w:pBdr>
          <w:bottom w:val="single" w:color="1F4E79" w:sz="8" w:space="2"/>
        </w:pBdr>
        <w:spacing w:after="140" w:before="300"/>
      </w:pPr>
      <w:r>
        <w:rPr>
          <w:b/>
          <w:bCs/>
          <w:color w:val="1F4E79"/>
          <w:sz w:val="28"/>
          <w:szCs w:val="28"/>
        </w:rPr>
        <w:t xml:space="preserve">8. Sign-off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19"/>
        <w:gridCol w:w="3850"/>
        <w:gridCol w:w="3850"/>
        <w:gridCol w:w="3079"/>
      </w:tblGrid>
      <w:tr>
        <w:trPr>
          <w:tblHeader/>
        </w:trPr>
        <w:tc>
          <w:tcPr>
            <w:tcW w:type="dxa" w:w="46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Role</w:t>
            </w:r>
          </w:p>
        </w:tc>
        <w:tc>
          <w:tcPr>
            <w:tcW w:type="dxa" w:w="3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Name</w:t>
            </w:r>
          </w:p>
        </w:tc>
        <w:tc>
          <w:tcPr>
            <w:tcW w:type="dxa" w:w="38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Signature</w:t>
            </w:r>
          </w:p>
        </w:tc>
        <w:tc>
          <w:tcPr>
            <w:tcW w:type="dxa" w:w="30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Date</w:t>
            </w:r>
          </w:p>
        </w:tc>
      </w:tr>
      <w:tr>
        <w:trPr>
          <w:cantSplit/>
        </w:trPr>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QA Tester</w:t>
            </w:r>
          </w:p>
        </w:tc>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0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QA Lead</w:t>
            </w:r>
          </w:p>
        </w:tc>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0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r>
        <w:trPr>
          <w:cantSplit/>
        </w:trPr>
        <w:tc>
          <w:tcPr>
            <w:tcW w:type="dxa" w:w="46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Development Lead (acknowledgement)</w:t>
            </w:r>
          </w:p>
        </w:tc>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8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c>
          <w:tcPr>
            <w:tcW w:type="dxa" w:w="30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t>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Azcentrix Desk  |  QA Test Report  |  Response to Development Handover of 20 October 2026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2026-10-20T10:47:40.787Z</dcterms:created>
  <dcterms:modified xsi:type="dcterms:W3CDTF">2026-10-20T10:47:40.798Z</dcterms:modified>
</cp:coreProperties>
</file>

<file path=docProps/custom.xml><?xml version="1.0" encoding="utf-8"?>
<Properties xmlns="http://schemas.openxmlformats.org/officeDocument/2006/custom-properties" xmlns:vt="http://schemas.openxmlformats.org/officeDocument/2006/docPropsVTypes"/>
</file>