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F3AE3" w14:textId="77777777" w:rsidR="00AC1220" w:rsidRPr="005E5B1D" w:rsidRDefault="00B16F68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易购</w:t>
      </w:r>
      <w:r>
        <w:rPr>
          <w:sz w:val="36"/>
        </w:rPr>
        <w:t>商城项目</w:t>
      </w:r>
      <w:r w:rsidR="005E5B1D" w:rsidRPr="005E5B1D">
        <w:rPr>
          <w:rFonts w:hint="eastAsia"/>
          <w:sz w:val="36"/>
        </w:rPr>
        <w:t>周报</w:t>
      </w:r>
    </w:p>
    <w:p w14:paraId="36F2DA93" w14:textId="0C2E8D42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2016-</w:t>
      </w:r>
      <w:r w:rsidR="006F315F">
        <w:rPr>
          <w:color w:val="0070C0"/>
        </w:rPr>
        <w:t>11-14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6F315F">
        <w:rPr>
          <w:rFonts w:hint="eastAsia"/>
          <w:color w:val="0070C0"/>
        </w:rPr>
        <w:t>2016-11-20</w:t>
      </w:r>
      <w:r w:rsidR="001B6818" w:rsidRPr="00AA2AFB">
        <w:rPr>
          <w:rFonts w:hint="eastAsia"/>
          <w:color w:val="0070C0"/>
        </w:rPr>
        <w:t>]</w:t>
      </w:r>
    </w:p>
    <w:p w14:paraId="1DB81784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吴金铎</w:t>
      </w:r>
      <w:r w:rsidRPr="00AA2AFB">
        <w:rPr>
          <w:rFonts w:hint="eastAsia"/>
          <w:color w:val="0070C0"/>
        </w:rPr>
        <w:t>]</w:t>
      </w:r>
    </w:p>
    <w:p w14:paraId="3A6ADBD3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30800253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39E5E75F" w14:textId="77777777"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18756985" wp14:editId="6B5DCD9C">
            <wp:extent cx="4200525" cy="2466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E9EA59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7FD03311" w14:textId="77777777"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8A5BFA7" wp14:editId="59B62562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44121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B776442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0E4E18B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516C4B3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584E4E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64EAF56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3A95746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14:paraId="2285FAE3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BC517E3" wp14:editId="13323FE7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F6A3DF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78F9477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9CA2BA1" wp14:editId="2BF8877F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37E645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11899B8B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7872DBF7" wp14:editId="696D81D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20D8FE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72317CA2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6F87566C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14:paraId="360B6BF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91B4A0F" wp14:editId="16F4EE54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38B605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6DABC3DE" w14:textId="77777777" w:rsidR="00136271" w:rsidRPr="00E34B02" w:rsidRDefault="00E34B02" w:rsidP="00E34B02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2"/>
        <w:gridCol w:w="2377"/>
        <w:gridCol w:w="1507"/>
        <w:gridCol w:w="1476"/>
      </w:tblGrid>
      <w:tr w:rsidR="0063707F" w14:paraId="72DBD725" w14:textId="208D6049" w:rsidTr="0063707F">
        <w:tc>
          <w:tcPr>
            <w:tcW w:w="3162" w:type="dxa"/>
            <w:shd w:val="clear" w:color="auto" w:fill="D9D9D9" w:themeFill="background1" w:themeFillShade="D9"/>
          </w:tcPr>
          <w:p w14:paraId="2F6A2659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64DEDEA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46ACEBB8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6AB39DFE" w14:textId="152516A5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</w:tr>
      <w:tr w:rsidR="0063707F" w14:paraId="6E8302C9" w14:textId="07C11270" w:rsidTr="0063707F">
        <w:tc>
          <w:tcPr>
            <w:tcW w:w="3162" w:type="dxa"/>
          </w:tcPr>
          <w:p w14:paraId="76D99675" w14:textId="77777777" w:rsidR="0063707F" w:rsidRPr="00196657" w:rsidRDefault="0063707F" w:rsidP="00DE1CC5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后台页面</w:t>
            </w:r>
            <w:r>
              <w:rPr>
                <w:color w:val="0070C0"/>
              </w:rPr>
              <w:t>的改进</w:t>
            </w:r>
          </w:p>
        </w:tc>
        <w:tc>
          <w:tcPr>
            <w:tcW w:w="2377" w:type="dxa"/>
          </w:tcPr>
          <w:p w14:paraId="146DF5A0" w14:textId="35FA4FC5" w:rsidR="0063707F" w:rsidRPr="005C59E4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2016.11.14</w:t>
            </w:r>
            <w:r>
              <w:rPr>
                <w:color w:val="0070C0"/>
              </w:rPr>
              <w:t>-2016.11.20</w:t>
            </w:r>
          </w:p>
        </w:tc>
        <w:tc>
          <w:tcPr>
            <w:tcW w:w="1507" w:type="dxa"/>
          </w:tcPr>
          <w:p w14:paraId="5974BCFC" w14:textId="77777777" w:rsidR="0063707F" w:rsidRPr="005C59E4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14ECFB27" w14:textId="5ED3140D" w:rsidR="0063707F" w:rsidRDefault="0063707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</w:tr>
      <w:tr w:rsidR="0063707F" w14:paraId="603F4980" w14:textId="626BBDF0" w:rsidTr="0063707F">
        <w:tc>
          <w:tcPr>
            <w:tcW w:w="3162" w:type="dxa"/>
          </w:tcPr>
          <w:p w14:paraId="330EC0CC" w14:textId="4E8647BC" w:rsidR="0063707F" w:rsidRPr="00196657" w:rsidRDefault="006F315F" w:rsidP="00DE1CC5">
            <w:pPr>
              <w:tabs>
                <w:tab w:val="left" w:pos="1108"/>
              </w:tabs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需求</w:t>
            </w:r>
            <w:r>
              <w:rPr>
                <w:color w:val="0070C0"/>
              </w:rPr>
              <w:t>确认书</w:t>
            </w:r>
          </w:p>
        </w:tc>
        <w:tc>
          <w:tcPr>
            <w:tcW w:w="2377" w:type="dxa"/>
          </w:tcPr>
          <w:p w14:paraId="58071B9D" w14:textId="3D534272" w:rsidR="0063707F" w:rsidRPr="002067AF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2016.11.14-2016.11.20</w:t>
            </w:r>
          </w:p>
        </w:tc>
        <w:tc>
          <w:tcPr>
            <w:tcW w:w="1507" w:type="dxa"/>
          </w:tcPr>
          <w:p w14:paraId="23BB3725" w14:textId="77777777" w:rsidR="0063707F" w:rsidRPr="005C59E4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5A6297EC" w14:textId="0E3C0741" w:rsidR="0063707F" w:rsidRDefault="0063707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刘景荣</w:t>
            </w:r>
            <w:r>
              <w:rPr>
                <w:rFonts w:hint="eastAsia"/>
                <w:color w:val="0070C0"/>
              </w:rPr>
              <w:t xml:space="preserve"> </w:t>
            </w:r>
          </w:p>
        </w:tc>
      </w:tr>
      <w:tr w:rsidR="0063707F" w14:paraId="41D20140" w14:textId="136B1C9E" w:rsidTr="0063707F">
        <w:tc>
          <w:tcPr>
            <w:tcW w:w="3162" w:type="dxa"/>
          </w:tcPr>
          <w:p w14:paraId="76F3A324" w14:textId="374F5F46" w:rsidR="0063707F" w:rsidRPr="00196657" w:rsidRDefault="006F315F" w:rsidP="00DE1CC5">
            <w:pPr>
              <w:rPr>
                <w:rFonts w:hint="eastAsia"/>
                <w:color w:val="0070C0"/>
              </w:rPr>
            </w:pPr>
            <w:proofErr w:type="spellStart"/>
            <w:r>
              <w:rPr>
                <w:rFonts w:hint="eastAsia"/>
                <w:color w:val="0070C0"/>
              </w:rPr>
              <w:t>url</w:t>
            </w:r>
            <w:proofErr w:type="spellEnd"/>
            <w:r>
              <w:rPr>
                <w:color w:val="0070C0"/>
              </w:rPr>
              <w:t>重写技术预言</w:t>
            </w:r>
          </w:p>
        </w:tc>
        <w:tc>
          <w:tcPr>
            <w:tcW w:w="2377" w:type="dxa"/>
          </w:tcPr>
          <w:p w14:paraId="7BC68EA4" w14:textId="1E48E4D0" w:rsidR="0063707F" w:rsidRPr="005C59E4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2016.11.14</w:t>
            </w:r>
            <w:r>
              <w:rPr>
                <w:color w:val="0070C0"/>
              </w:rPr>
              <w:t>-2016.11.20</w:t>
            </w:r>
          </w:p>
        </w:tc>
        <w:tc>
          <w:tcPr>
            <w:tcW w:w="1507" w:type="dxa"/>
          </w:tcPr>
          <w:p w14:paraId="0B5B1F72" w14:textId="31C10BA2" w:rsidR="0063707F" w:rsidRPr="005C59E4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  <w:tc>
          <w:tcPr>
            <w:tcW w:w="1476" w:type="dxa"/>
          </w:tcPr>
          <w:p w14:paraId="0F3591BF" w14:textId="41FB3EAB" w:rsidR="0063707F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</w:t>
            </w:r>
          </w:p>
        </w:tc>
      </w:tr>
      <w:tr w:rsidR="006F315F" w14:paraId="03A957E5" w14:textId="77777777" w:rsidTr="0063707F">
        <w:tc>
          <w:tcPr>
            <w:tcW w:w="3162" w:type="dxa"/>
          </w:tcPr>
          <w:p w14:paraId="79D3C5E6" w14:textId="1743BF4D" w:rsidR="006F315F" w:rsidRDefault="006F315F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数据库</w:t>
            </w:r>
            <w:r>
              <w:rPr>
                <w:color w:val="0070C0"/>
              </w:rPr>
              <w:t>设计书</w:t>
            </w:r>
          </w:p>
        </w:tc>
        <w:tc>
          <w:tcPr>
            <w:tcW w:w="2377" w:type="dxa"/>
          </w:tcPr>
          <w:p w14:paraId="4C5BF726" w14:textId="05DFADD0" w:rsidR="006F315F" w:rsidRDefault="006F315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2016.11.14</w:t>
            </w:r>
            <w:r>
              <w:rPr>
                <w:color w:val="0070C0"/>
              </w:rPr>
              <w:t>-2016.11.20</w:t>
            </w:r>
          </w:p>
        </w:tc>
        <w:tc>
          <w:tcPr>
            <w:tcW w:w="1507" w:type="dxa"/>
          </w:tcPr>
          <w:p w14:paraId="7F254A89" w14:textId="711BC36D" w:rsidR="006F315F" w:rsidRDefault="006F315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54A972E3" w14:textId="512515A5" w:rsidR="006F315F" w:rsidRDefault="006F315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吴金铎</w:t>
            </w:r>
          </w:p>
        </w:tc>
      </w:tr>
      <w:tr w:rsidR="006F315F" w14:paraId="50699D1E" w14:textId="77777777" w:rsidTr="0063707F">
        <w:tc>
          <w:tcPr>
            <w:tcW w:w="3162" w:type="dxa"/>
          </w:tcPr>
          <w:p w14:paraId="73D5E76F" w14:textId="4E0F294F" w:rsidR="006F315F" w:rsidRDefault="006F315F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数据库</w:t>
            </w:r>
            <w:r>
              <w:rPr>
                <w:color w:val="0070C0"/>
              </w:rPr>
              <w:t>关联预言</w:t>
            </w:r>
          </w:p>
        </w:tc>
        <w:tc>
          <w:tcPr>
            <w:tcW w:w="2377" w:type="dxa"/>
          </w:tcPr>
          <w:p w14:paraId="701C8E59" w14:textId="36B0A3DA" w:rsidR="006F315F" w:rsidRDefault="006F315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2016.11.14</w:t>
            </w:r>
            <w:r>
              <w:rPr>
                <w:color w:val="0070C0"/>
              </w:rPr>
              <w:t>-2016.11.20</w:t>
            </w:r>
          </w:p>
        </w:tc>
        <w:tc>
          <w:tcPr>
            <w:tcW w:w="1507" w:type="dxa"/>
          </w:tcPr>
          <w:p w14:paraId="128DE472" w14:textId="318AA81B" w:rsidR="006F315F" w:rsidRDefault="006F315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6881A37B" w14:textId="2F5FD958" w:rsidR="006F315F" w:rsidRDefault="006F315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张宇晗</w:t>
            </w:r>
          </w:p>
        </w:tc>
      </w:tr>
      <w:tr w:rsidR="006F315F" w14:paraId="3B50CA19" w14:textId="77777777" w:rsidTr="0063707F">
        <w:tc>
          <w:tcPr>
            <w:tcW w:w="3162" w:type="dxa"/>
          </w:tcPr>
          <w:p w14:paraId="34440C0A" w14:textId="53668C45" w:rsidR="006F315F" w:rsidRDefault="006F315F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系统设计</w:t>
            </w:r>
            <w:r>
              <w:rPr>
                <w:color w:val="0070C0"/>
              </w:rPr>
              <w:t>书</w:t>
            </w:r>
          </w:p>
        </w:tc>
        <w:tc>
          <w:tcPr>
            <w:tcW w:w="2377" w:type="dxa"/>
          </w:tcPr>
          <w:p w14:paraId="318EB3AD" w14:textId="20200D5B" w:rsidR="006F315F" w:rsidRDefault="006F315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2016.11.14</w:t>
            </w:r>
            <w:r>
              <w:rPr>
                <w:color w:val="0070C0"/>
              </w:rPr>
              <w:t>-2016.11.20</w:t>
            </w:r>
          </w:p>
        </w:tc>
        <w:tc>
          <w:tcPr>
            <w:tcW w:w="1507" w:type="dxa"/>
          </w:tcPr>
          <w:p w14:paraId="4A8FB7BB" w14:textId="08AD312E" w:rsidR="006F315F" w:rsidRDefault="006F315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06887081" w14:textId="7744725F" w:rsidR="006F315F" w:rsidRDefault="006F315F" w:rsidP="00DE1CC5">
            <w:pPr>
              <w:pStyle w:val="a7"/>
              <w:ind w:firstLineChars="0" w:firstLine="0"/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黄婷灵</w:t>
            </w:r>
          </w:p>
        </w:tc>
      </w:tr>
    </w:tbl>
    <w:p w14:paraId="7D658F5B" w14:textId="77777777"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3C3984CE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问题和关注点</w:t>
      </w:r>
      <w:commentRangeEnd w:id="2"/>
      <w:r w:rsidR="00EC74FA">
        <w:rPr>
          <w:rStyle w:val="a8"/>
        </w:rPr>
        <w:commentReference w:id="2"/>
      </w:r>
    </w:p>
    <w:p w14:paraId="05A8984C" w14:textId="6F383753" w:rsidR="00136271" w:rsidRPr="00767314" w:rsidRDefault="006F315F" w:rsidP="00767314">
      <w:pPr>
        <w:pStyle w:val="a7"/>
        <w:spacing w:afterLines="50" w:after="156" w:line="240" w:lineRule="auto"/>
        <w:ind w:left="357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技术预言</w:t>
      </w:r>
      <w:r>
        <w:rPr>
          <w:color w:val="0070C0"/>
        </w:rPr>
        <w:t>方面需要加强</w:t>
      </w: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数据</w:t>
      </w:r>
      <w:r>
        <w:rPr>
          <w:color w:val="0070C0"/>
        </w:rPr>
        <w:t>库可能需要</w:t>
      </w:r>
      <w:r>
        <w:rPr>
          <w:rFonts w:hint="eastAsia"/>
          <w:color w:val="0070C0"/>
        </w:rPr>
        <w:t>继续</w:t>
      </w:r>
      <w:r>
        <w:rPr>
          <w:color w:val="0070C0"/>
        </w:rPr>
        <w:t>改进</w:t>
      </w:r>
    </w:p>
    <w:p w14:paraId="2FE75DB3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下周安排</w:t>
      </w:r>
      <w:commentRangeEnd w:id="3"/>
      <w:r w:rsidR="00EC74FA">
        <w:rPr>
          <w:rStyle w:val="a8"/>
        </w:rPr>
        <w:commentReference w:id="3"/>
      </w:r>
    </w:p>
    <w:p w14:paraId="1FEB1445" w14:textId="1236D4B2" w:rsidR="00136271" w:rsidRPr="00136271" w:rsidRDefault="006F315F" w:rsidP="00136271">
      <w:pPr>
        <w:pStyle w:val="a7"/>
        <w:ind w:left="420" w:firstLineChars="0" w:firstLine="0"/>
      </w:pPr>
      <w:bookmarkStart w:id="4" w:name="_GoBack"/>
      <w:r>
        <w:rPr>
          <w:noProof/>
        </w:rPr>
        <w:drawing>
          <wp:inline distT="0" distB="0" distL="0" distR="0" wp14:anchorId="0D2E5C1B" wp14:editId="08C8F423">
            <wp:extent cx="5870496" cy="847725"/>
            <wp:effectExtent l="0" t="0" r="0" b="0"/>
            <wp:docPr id="7" name="图片 7" descr="C:\Users\Administrato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27" cy="84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sectPr w:rsidR="00136271" w:rsidRPr="00136271" w:rsidSect="005E5B1D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792446B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7FB9B358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7-14T16:56:00Z" w:initials="M">
    <w:p w14:paraId="1222214C" w14:textId="77777777" w:rsidR="00E34B02" w:rsidRDefault="00E34B02" w:rsidP="00E34B0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2640A7F" w14:textId="77777777" w:rsidR="00E34B02" w:rsidRDefault="00E34B02" w:rsidP="00E34B02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12F37239" w14:textId="77777777" w:rsidR="00E34B02" w:rsidRDefault="00E34B02" w:rsidP="00E34B02">
      <w:pPr>
        <w:pStyle w:val="a9"/>
      </w:pPr>
      <w:r>
        <w:rPr>
          <w:rFonts w:hint="eastAsia"/>
        </w:rPr>
        <w:t>任务：项目上周计划的任务。</w:t>
      </w:r>
    </w:p>
    <w:p w14:paraId="20719E25" w14:textId="77777777" w:rsidR="00E34B02" w:rsidRDefault="00E34B02" w:rsidP="00E34B02">
      <w:pPr>
        <w:pStyle w:val="a9"/>
      </w:pPr>
      <w:r>
        <w:rPr>
          <w:rFonts w:hint="eastAsia"/>
        </w:rPr>
        <w:t>时间区域：任务的计划开始时间和完成时间。</w:t>
      </w:r>
    </w:p>
    <w:p w14:paraId="41CCB613" w14:textId="77777777" w:rsidR="00E34B02" w:rsidRDefault="00E34B02" w:rsidP="00E34B02">
      <w:pPr>
        <w:pStyle w:val="a9"/>
      </w:pPr>
      <w:r>
        <w:rPr>
          <w:rFonts w:hint="eastAsia"/>
        </w:rPr>
        <w:t>责任人：任务的负责人。</w:t>
      </w:r>
    </w:p>
    <w:p w14:paraId="6571DF6D" w14:textId="77777777" w:rsidR="00E34B02" w:rsidRDefault="00E34B02" w:rsidP="00E34B02">
      <w:pPr>
        <w:pStyle w:val="a9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14:paraId="5C95415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64F8CA9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3" w:author="MengYi" w:date="2016-06-14T11:19:00Z" w:initials="M">
    <w:p w14:paraId="3782270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17211024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6A74F69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423E913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0B153EC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B9B358" w15:done="0"/>
  <w15:commentEx w15:paraId="6571DF6D" w15:done="0"/>
  <w15:commentEx w15:paraId="64F8CA9F" w15:done="0"/>
  <w15:commentEx w15:paraId="10B153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DCECC" w14:textId="77777777" w:rsidR="00907D08" w:rsidRDefault="00907D08" w:rsidP="005E5B1D">
      <w:pPr>
        <w:spacing w:line="240" w:lineRule="auto"/>
      </w:pPr>
      <w:r>
        <w:separator/>
      </w:r>
    </w:p>
  </w:endnote>
  <w:endnote w:type="continuationSeparator" w:id="0">
    <w:p w14:paraId="6E885765" w14:textId="77777777" w:rsidR="00907D08" w:rsidRDefault="00907D08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90F4B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2620E2A4" wp14:editId="56A3768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83486" w14:textId="77777777" w:rsidR="00907D08" w:rsidRDefault="00907D08" w:rsidP="005E5B1D">
      <w:pPr>
        <w:spacing w:line="240" w:lineRule="auto"/>
      </w:pPr>
      <w:r>
        <w:separator/>
      </w:r>
    </w:p>
  </w:footnote>
  <w:footnote w:type="continuationSeparator" w:id="0">
    <w:p w14:paraId="5F5F00AD" w14:textId="77777777" w:rsidR="00907D08" w:rsidRDefault="00907D08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F17AB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39D48B4F" wp14:editId="29F138E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713E6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3707F"/>
    <w:rsid w:val="006C0429"/>
    <w:rsid w:val="006F315F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07D08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B16F68"/>
    <w:rsid w:val="00B46891"/>
    <w:rsid w:val="00C35E18"/>
    <w:rsid w:val="00C56F57"/>
    <w:rsid w:val="00CD5D88"/>
    <w:rsid w:val="00D03516"/>
    <w:rsid w:val="00D85F3B"/>
    <w:rsid w:val="00DB028C"/>
    <w:rsid w:val="00DD3711"/>
    <w:rsid w:val="00E30B23"/>
    <w:rsid w:val="00E34B02"/>
    <w:rsid w:val="00EC2338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A825"/>
  <w15:docId w15:val="{BB62E488-35A2-4F95-8AFC-6B87F1D3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587600"/>
        <c:axId val="56588160"/>
      </c:lineChart>
      <c:catAx>
        <c:axId val="565876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6588160"/>
        <c:crosses val="autoZero"/>
        <c:auto val="1"/>
        <c:lblAlgn val="ctr"/>
        <c:lblOffset val="100"/>
        <c:noMultiLvlLbl val="0"/>
      </c:catAx>
      <c:valAx>
        <c:axId val="56588160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565876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093968"/>
        <c:axId val="424784000"/>
      </c:lineChart>
      <c:dateAx>
        <c:axId val="1350939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424784000"/>
        <c:crosses val="autoZero"/>
        <c:auto val="1"/>
        <c:lblOffset val="100"/>
        <c:baseTimeUnit val="days"/>
      </c:dateAx>
      <c:valAx>
        <c:axId val="42478400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135093968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4786800"/>
        <c:axId val="424787360"/>
      </c:lineChart>
      <c:catAx>
        <c:axId val="4247868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4787360"/>
        <c:crosses val="autoZero"/>
        <c:auto val="1"/>
        <c:lblAlgn val="ctr"/>
        <c:lblOffset val="100"/>
        <c:noMultiLvlLbl val="0"/>
      </c:catAx>
      <c:valAx>
        <c:axId val="424787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478680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4790720"/>
        <c:axId val="424791280"/>
      </c:lineChart>
      <c:catAx>
        <c:axId val="424790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424791280"/>
        <c:crosses val="autoZero"/>
        <c:auto val="1"/>
        <c:lblAlgn val="ctr"/>
        <c:lblOffset val="100"/>
        <c:noMultiLvlLbl val="0"/>
      </c:catAx>
      <c:valAx>
        <c:axId val="4247912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4790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4794640"/>
        <c:axId val="424795200"/>
      </c:lineChart>
      <c:catAx>
        <c:axId val="424794640"/>
        <c:scaling>
          <c:orientation val="minMax"/>
        </c:scaling>
        <c:delete val="0"/>
        <c:axPos val="b"/>
        <c:majorTickMark val="out"/>
        <c:minorTickMark val="none"/>
        <c:tickLblPos val="nextTo"/>
        <c:crossAx val="424795200"/>
        <c:crosses val="autoZero"/>
        <c:auto val="1"/>
        <c:lblAlgn val="ctr"/>
        <c:lblOffset val="100"/>
        <c:noMultiLvlLbl val="0"/>
      </c:catAx>
      <c:valAx>
        <c:axId val="424795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247946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4798000"/>
        <c:axId val="424798560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4799680"/>
        <c:axId val="424799120"/>
      </c:lineChart>
      <c:catAx>
        <c:axId val="424798000"/>
        <c:scaling>
          <c:orientation val="minMax"/>
        </c:scaling>
        <c:delete val="0"/>
        <c:axPos val="b"/>
        <c:majorTickMark val="out"/>
        <c:minorTickMark val="none"/>
        <c:tickLblPos val="nextTo"/>
        <c:crossAx val="424798560"/>
        <c:crosses val="autoZero"/>
        <c:auto val="1"/>
        <c:lblAlgn val="ctr"/>
        <c:lblOffset val="100"/>
        <c:noMultiLvlLbl val="0"/>
      </c:catAx>
      <c:valAx>
        <c:axId val="42479856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424798000"/>
        <c:crosses val="autoZero"/>
        <c:crossBetween val="between"/>
      </c:valAx>
      <c:valAx>
        <c:axId val="424799120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424799680"/>
        <c:crosses val="max"/>
        <c:crossBetween val="between"/>
      </c:valAx>
      <c:catAx>
        <c:axId val="424799680"/>
        <c:scaling>
          <c:orientation val="minMax"/>
        </c:scaling>
        <c:delete val="1"/>
        <c:axPos val="b"/>
        <c:majorTickMark val="out"/>
        <c:minorTickMark val="none"/>
        <c:tickLblPos val="nextTo"/>
        <c:crossAx val="42479912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240</TotalTime>
  <Pages>3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User</cp:lastModifiedBy>
  <cp:revision>32</cp:revision>
  <dcterms:created xsi:type="dcterms:W3CDTF">2016-06-14T02:40:00Z</dcterms:created>
  <dcterms:modified xsi:type="dcterms:W3CDTF">2016-11-21T08:43:00Z</dcterms:modified>
</cp:coreProperties>
</file>