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EB" w:rsidRDefault="00625A93">
      <w:pPr>
        <w:jc w:val="center"/>
        <w:rPr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  <w:t>Atividades do Negócio</w:t>
      </w:r>
    </w:p>
    <w:p w:rsidR="003B33EB" w:rsidRDefault="003B33EB"/>
    <w:p w:rsidR="003B33EB" w:rsidRDefault="003B33EB"/>
    <w:p w:rsidR="003B33EB" w:rsidRDefault="003B33EB"/>
    <w:p w:rsidR="003B33EB" w:rsidRDefault="003B33EB"/>
    <w:p w:rsidR="003B33EB" w:rsidRDefault="003B33EB"/>
    <w:p w:rsidR="003B33EB" w:rsidRDefault="00625A93">
      <w:pPr>
        <w:jc w:val="center"/>
      </w:pPr>
      <w:r>
        <w:rPr>
          <w:noProof/>
        </w:rPr>
        <w:drawing>
          <wp:inline distT="0" distB="0" distL="114300" distR="114300">
            <wp:extent cx="6418580" cy="26911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269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3EB" w:rsidRDefault="003B33EB"/>
    <w:p w:rsidR="003B33EB" w:rsidRDefault="003B33EB">
      <w:pPr>
        <w:jc w:val="center"/>
        <w:rPr>
          <w:sz w:val="56"/>
          <w:szCs w:val="56"/>
        </w:rPr>
      </w:pPr>
    </w:p>
    <w:p w:rsidR="003B33EB" w:rsidRDefault="003B33EB">
      <w:pPr>
        <w:jc w:val="center"/>
        <w:rPr>
          <w:sz w:val="56"/>
          <w:szCs w:val="56"/>
        </w:rPr>
      </w:pPr>
    </w:p>
    <w:p w:rsidR="003B33EB" w:rsidRDefault="00625A93"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>H</w:t>
      </w:r>
      <w:r>
        <w:rPr>
          <w:b/>
          <w:sz w:val="56"/>
          <w:szCs w:val="56"/>
        </w:rPr>
        <w:t>atchards Livraria</w:t>
      </w:r>
    </w:p>
    <w:p w:rsidR="003B33EB" w:rsidRDefault="003B33EB">
      <w:pPr>
        <w:rPr>
          <w:sz w:val="32"/>
          <w:szCs w:val="32"/>
        </w:rPr>
      </w:pPr>
    </w:p>
    <w:p w:rsidR="003B33EB" w:rsidRDefault="003B33EB"/>
    <w:p w:rsidR="003B33EB" w:rsidRDefault="003B33EB"/>
    <w:p w:rsidR="003B33EB" w:rsidRDefault="003B33EB"/>
    <w:p w:rsidR="003B33EB" w:rsidRDefault="003B33EB"/>
    <w:p w:rsidR="003B33EB" w:rsidRDefault="003B33EB">
      <w:pPr>
        <w:sectPr w:rsidR="003B3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567" w:header="680" w:footer="1701" w:gutter="0"/>
          <w:pgNumType w:start="1"/>
          <w:cols w:space="720"/>
          <w:titlePg/>
        </w:sectPr>
      </w:pPr>
    </w:p>
    <w:p w:rsidR="003B33EB" w:rsidRDefault="003B33EB"/>
    <w:p w:rsidR="003B33EB" w:rsidRDefault="00625A9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Histórico de Versões</w:t>
      </w:r>
    </w:p>
    <w:p w:rsidR="003B33EB" w:rsidRDefault="003B33EB">
      <w:pPr>
        <w:jc w:val="center"/>
        <w:rPr>
          <w:sz w:val="28"/>
          <w:szCs w:val="28"/>
        </w:rPr>
      </w:pPr>
    </w:p>
    <w:tbl>
      <w:tblPr>
        <w:tblStyle w:val="a"/>
        <w:tblW w:w="107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992"/>
        <w:gridCol w:w="3686"/>
        <w:gridCol w:w="2174"/>
        <w:gridCol w:w="2626"/>
      </w:tblGrid>
      <w:tr w:rsidR="003B33EB">
        <w:trPr>
          <w:jc w:val="center"/>
        </w:trPr>
        <w:tc>
          <w:tcPr>
            <w:tcW w:w="1258" w:type="dxa"/>
            <w:shd w:val="clear" w:color="auto" w:fill="E6E6E6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626" w:type="dxa"/>
            <w:shd w:val="clear" w:color="auto" w:fill="E6E6E6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Revisor</w:t>
            </w:r>
          </w:p>
        </w:tc>
      </w:tr>
      <w:tr w:rsidR="003B33EB">
        <w:trPr>
          <w:jc w:val="center"/>
        </w:trPr>
        <w:tc>
          <w:tcPr>
            <w:tcW w:w="1258" w:type="dxa"/>
            <w:vAlign w:val="center"/>
          </w:tcPr>
          <w:p w:rsidR="003B33EB" w:rsidRDefault="00625A93">
            <w:pPr>
              <w:spacing w:before="120"/>
              <w:ind w:left="-108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  <w:r>
              <w:rPr>
                <w:highlight w:val="yellow"/>
              </w:rPr>
              <w:t>/</w:t>
            </w:r>
            <w:r>
              <w:rPr>
                <w:highlight w:val="yellow"/>
              </w:rPr>
              <w:t>03</w:t>
            </w:r>
            <w:r>
              <w:rPr>
                <w:highlight w:val="yellow"/>
              </w:rPr>
              <w:t>/</w:t>
            </w:r>
            <w:r>
              <w:rPr>
                <w:highlight w:val="yellow"/>
              </w:rPr>
              <w:t>24</w:t>
            </w:r>
          </w:p>
        </w:tc>
        <w:tc>
          <w:tcPr>
            <w:tcW w:w="992" w:type="dxa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</w:t>
            </w:r>
            <w:r>
              <w:rPr>
                <w:color w:val="000000"/>
                <w:sz w:val="20"/>
                <w:szCs w:val="20"/>
                <w:highlight w:val="yellow"/>
              </w:rPr>
              <w:t>.</w:t>
            </w:r>
            <w:r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3686" w:type="dxa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Criação do diagrama de atividade das seguintes ações : Compra, Troca, Devolução e Geração de Cupons</w:t>
            </w:r>
          </w:p>
        </w:tc>
        <w:tc>
          <w:tcPr>
            <w:tcW w:w="2174" w:type="dxa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kleberson dos santos silva</w:t>
            </w:r>
          </w:p>
        </w:tc>
        <w:tc>
          <w:tcPr>
            <w:tcW w:w="2626" w:type="dxa"/>
            <w:vAlign w:val="center"/>
          </w:tcPr>
          <w:p w:rsidR="003B33EB" w:rsidRDefault="0062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Professor Rodrigo</w:t>
            </w:r>
          </w:p>
        </w:tc>
      </w:tr>
      <w:tr w:rsidR="003B33EB">
        <w:trPr>
          <w:jc w:val="center"/>
        </w:trPr>
        <w:tc>
          <w:tcPr>
            <w:tcW w:w="1258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2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B33EB">
        <w:trPr>
          <w:jc w:val="center"/>
        </w:trPr>
        <w:tc>
          <w:tcPr>
            <w:tcW w:w="1258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2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B33EB">
        <w:trPr>
          <w:jc w:val="center"/>
        </w:trPr>
        <w:tc>
          <w:tcPr>
            <w:tcW w:w="1258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62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B33EB">
        <w:trPr>
          <w:jc w:val="center"/>
        </w:trPr>
        <w:tc>
          <w:tcPr>
            <w:tcW w:w="1258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2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B33EB">
        <w:trPr>
          <w:jc w:val="center"/>
        </w:trPr>
        <w:tc>
          <w:tcPr>
            <w:tcW w:w="1258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2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B33EB">
        <w:trPr>
          <w:jc w:val="center"/>
        </w:trPr>
        <w:tc>
          <w:tcPr>
            <w:tcW w:w="1258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62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33EB">
        <w:trPr>
          <w:jc w:val="center"/>
        </w:trPr>
        <w:tc>
          <w:tcPr>
            <w:tcW w:w="1258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626" w:type="dxa"/>
            <w:vAlign w:val="center"/>
          </w:tcPr>
          <w:p w:rsidR="003B33EB" w:rsidRDefault="003B3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3B33EB" w:rsidRDefault="003B33EB"/>
    <w:p w:rsidR="003B33EB" w:rsidRDefault="003B33EB"/>
    <w:p w:rsidR="003B33EB" w:rsidRDefault="00625A93">
      <w:pPr>
        <w:jc w:val="center"/>
      </w:pPr>
      <w:r>
        <w:br w:type="page"/>
      </w:r>
    </w:p>
    <w:p w:rsidR="003B33EB" w:rsidRDefault="00625A93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:rsidR="003B33EB" w:rsidRDefault="003B33EB">
      <w:pPr>
        <w:jc w:val="both"/>
      </w:pPr>
    </w:p>
    <w:p w:rsidR="003B33EB" w:rsidRDefault="003B33EB">
      <w:pPr>
        <w:jc w:val="both"/>
      </w:pPr>
    </w:p>
    <w:sdt>
      <w:sdtPr>
        <w:id w:val="-2080130324"/>
        <w:docPartObj>
          <w:docPartGallery w:val="Table of Contents"/>
          <w:docPartUnique/>
        </w:docPartObj>
      </w:sdtPr>
      <w:sdtEndPr/>
      <w:sdtContent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762"/>
            </w:tabs>
            <w:spacing w:before="120" w:after="1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  <w:sz w:val="20"/>
                <w:szCs w:val="20"/>
              </w:rPr>
              <w:t>1.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ATIVIDADES DO NEGÓCIO</w:t>
          </w:r>
          <w:r>
            <w:rPr>
              <w:b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762"/>
            </w:tabs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>
              <w:rPr>
                <w:smallCaps/>
                <w:color w:val="000000"/>
                <w:sz w:val="20"/>
                <w:szCs w:val="20"/>
              </w:rPr>
              <w:t>1.1.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sz w:val="20"/>
              <w:szCs w:val="20"/>
            </w:rPr>
            <w:t>COMPRA</w:t>
          </w:r>
          <w:r>
            <w:rPr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762"/>
            </w:tabs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762"/>
            </w:tabs>
            <w:ind w:left="220"/>
          </w:pPr>
          <w:hyperlink w:anchor="_3znysh7">
            <w:r>
              <w:rPr>
                <w:smallCaps/>
                <w:color w:val="000000"/>
                <w:sz w:val="20"/>
                <w:szCs w:val="20"/>
              </w:rPr>
              <w:t>1.2.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sz w:val="20"/>
              <w:szCs w:val="20"/>
            </w:rPr>
            <w:t>TROCA</w:t>
          </w:r>
          <w:r>
            <w:fldChar w:fldCharType="end"/>
          </w:r>
        </w:p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762"/>
            </w:tabs>
            <w:ind w:left="220"/>
            <w:rPr>
              <w:smallCaps/>
              <w:sz w:val="20"/>
              <w:szCs w:val="20"/>
            </w:rPr>
          </w:pPr>
        </w:p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762"/>
            </w:tabs>
            <w:ind w:left="220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1.3       DEVOLUÇÃO</w:t>
          </w:r>
          <w:r>
            <w:rPr>
              <w:smallCaps/>
              <w:sz w:val="20"/>
              <w:szCs w:val="20"/>
            </w:rPr>
            <w:tab/>
            <w:t>3</w:t>
          </w:r>
        </w:p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762"/>
            </w:tabs>
            <w:ind w:left="220"/>
            <w:rPr>
              <w:smallCaps/>
              <w:sz w:val="20"/>
              <w:szCs w:val="20"/>
            </w:rPr>
          </w:pPr>
        </w:p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762"/>
            </w:tabs>
            <w:ind w:left="220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1.4       CUPOM PROMOCIONAL</w:t>
          </w:r>
          <w:r>
            <w:rPr>
              <w:smallCaps/>
              <w:sz w:val="20"/>
              <w:szCs w:val="20"/>
            </w:rPr>
            <w:tab/>
            <w:t>5</w:t>
          </w:r>
          <w:r>
            <w:fldChar w:fldCharType="end"/>
          </w:r>
        </w:p>
      </w:sdtContent>
    </w:sdt>
    <w:p w:rsidR="003B33EB" w:rsidRDefault="003B33EB">
      <w:pPr>
        <w:jc w:val="both"/>
      </w:pPr>
    </w:p>
    <w:p w:rsidR="003B33EB" w:rsidRDefault="00625A93">
      <w:pPr>
        <w:jc w:val="both"/>
      </w:pPr>
      <w:bookmarkStart w:id="0" w:name="_gjdgxs" w:colFirst="0" w:colLast="0"/>
      <w:bookmarkEnd w:id="0"/>
      <w:r>
        <w:br w:type="page"/>
      </w:r>
    </w:p>
    <w:p w:rsidR="003B33EB" w:rsidRDefault="00625A9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>
        <w:rPr>
          <w:b/>
          <w:smallCaps/>
          <w:color w:val="000000"/>
          <w:sz w:val="28"/>
          <w:szCs w:val="28"/>
        </w:rPr>
        <w:lastRenderedPageBreak/>
        <w:t>Atividades do Negócio</w:t>
      </w:r>
    </w:p>
    <w:p w:rsidR="003B33EB" w:rsidRDefault="00625A93">
      <w:pPr>
        <w:ind w:left="1080"/>
        <w:jc w:val="both"/>
      </w:pPr>
      <w:r>
        <w:t xml:space="preserve">Descrever as atividades, agrupadas ou não, desempenhadas para o cumprimento dos </w:t>
      </w:r>
      <w:r>
        <w:rPr>
          <w:u w:val="single"/>
        </w:rPr>
        <w:t>objetivos do negócio</w:t>
      </w:r>
      <w:r>
        <w:t xml:space="preserve">. Explicar como funciona o negócio (quem, como, quando, onde, por que, prazos, responsabilidades, etc.). A linguagem dessa descrição deve ser a de </w:t>
      </w:r>
      <w:r>
        <w:rPr>
          <w:u w:val="single"/>
        </w:rPr>
        <w:t>negócio</w:t>
      </w:r>
      <w:r>
        <w:t xml:space="preserve">, </w:t>
      </w:r>
      <w:r>
        <w:t xml:space="preserve">ou seja, a descrição deve ter </w:t>
      </w:r>
      <w:r>
        <w:rPr>
          <w:u w:val="single"/>
        </w:rPr>
        <w:t>foco no negócio</w:t>
      </w:r>
      <w:r>
        <w:t xml:space="preserve"> e não no sistema de software. Podem ser descritas as atividades do sistema atual (como funciona atualmente), que podem ou não ter suporte de um sistema de sw. Outra alternativa é descrever como funcionará o neg</w:t>
      </w:r>
      <w:r>
        <w:t>ócio com o sistema proposto (que será desenvolvido pela equipe). Nesse caso, observar que sistema de sw proposto será uma ferramenta para o negócio, ou seja, não explicar o funcionamento do sistema e sim como as atividades de negócio serão desenvolvidas, i</w:t>
      </w:r>
      <w:r>
        <w:t>ncluindo a utilização do sistema como uma ferramenta de suporte a essas atividades.</w:t>
      </w:r>
    </w:p>
    <w:p w:rsidR="003B33EB" w:rsidRDefault="00625A9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</w:pPr>
      <w:r>
        <w:rPr>
          <w:b/>
          <w:color w:val="000000"/>
          <w:sz w:val="26"/>
          <w:szCs w:val="26"/>
        </w:rPr>
        <w:t xml:space="preserve">Atividade </w:t>
      </w:r>
      <w:r>
        <w:rPr>
          <w:b/>
          <w:sz w:val="26"/>
          <w:szCs w:val="26"/>
        </w:rPr>
        <w:t>Comp</w:t>
      </w:r>
      <w:r w:rsidR="00C30065">
        <w:rPr>
          <w:b/>
          <w:sz w:val="26"/>
          <w:szCs w:val="26"/>
        </w:rPr>
        <w:t>r</w:t>
      </w:r>
      <w:r>
        <w:rPr>
          <w:b/>
          <w:sz w:val="26"/>
          <w:szCs w:val="26"/>
        </w:rPr>
        <w:t>a</w:t>
      </w:r>
    </w:p>
    <w:p w:rsidR="003B33EB" w:rsidRDefault="00625A93" w:rsidP="00C30065">
      <w:pPr>
        <w:ind w:left="567"/>
      </w:pPr>
      <w:r>
        <w:t xml:space="preserve">Na página inicial do site, o cliente tem acesso fácil a todas as categorias disponíveis, incluindo Romance, Ficção Científica, Fantasia, Mistério e outras. </w:t>
      </w:r>
      <w:r>
        <w:t>Cada uma dessas categorias é acessível através de links dedicados. Ao clicar em qualquer um desses links, o cliente é direcionado para uma página dedicada à categoria e suas subcategorias correspondentes.</w:t>
      </w:r>
    </w:p>
    <w:p w:rsidR="003B33EB" w:rsidRDefault="00625A93" w:rsidP="00C30065">
      <w:pPr>
        <w:ind w:left="567"/>
      </w:pPr>
      <w:r>
        <w:t xml:space="preserve">Nessa página, o cliente encontra uma variedade de </w:t>
      </w:r>
      <w:r>
        <w:t>informações sobre os produtos, como fotos, título, preço, descrição, autor, tipo de capa e ano de publicação. Além disso, é possível adicionar o livro desejado ao carrinho de compras e especificar a quantidade desejada.</w:t>
      </w:r>
    </w:p>
    <w:p w:rsidR="003B33EB" w:rsidRPr="00C30065" w:rsidRDefault="00625A93" w:rsidP="00C30065">
      <w:pPr>
        <w:ind w:left="567"/>
        <w:rPr>
          <w:u w:val="single"/>
        </w:rPr>
      </w:pPr>
      <w:r>
        <w:t xml:space="preserve">Abaixo das informações do produto, </w:t>
      </w:r>
      <w:r>
        <w:t>o cliente também encontra uma sinopse detalhada e os comentários deixados por outros leitores, proporcionando uma visão mais completa sobre o livro.</w:t>
      </w:r>
      <w:bookmarkStart w:id="1" w:name="_GoBack"/>
      <w:bookmarkEnd w:id="1"/>
    </w:p>
    <w:p w:rsidR="003B33EB" w:rsidRDefault="00625A93">
      <w:pPr>
        <w:ind w:left="567"/>
      </w:pPr>
      <w:r>
        <w:t>Ao acessar o carrinho de compras, o cliente é solicitado a entrar em sua conta existente ou criar uma nova</w:t>
      </w:r>
      <w:r>
        <w:t>, garantindo uma experiência de compra personalizada e segura.</w:t>
      </w:r>
    </w:p>
    <w:p w:rsidR="003B33EB" w:rsidRDefault="003B33EB">
      <w:pPr>
        <w:ind w:left="567"/>
      </w:pPr>
    </w:p>
    <w:p w:rsidR="003B33EB" w:rsidRDefault="00625A93">
      <w:pPr>
        <w:ind w:left="56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Atividade </w:t>
      </w:r>
      <w:r>
        <w:rPr>
          <w:b/>
          <w:sz w:val="26"/>
          <w:szCs w:val="26"/>
        </w:rPr>
        <w:t>Devolução</w:t>
      </w:r>
    </w:p>
    <w:p w:rsidR="003B33EB" w:rsidRDefault="003B33EB"/>
    <w:p w:rsidR="003B33EB" w:rsidRDefault="00625A93">
      <w:pPr>
        <w:ind w:left="567"/>
      </w:pPr>
      <w:r>
        <w:t>Quando o cliente deseja efetuar uma devolução ou verificar seus pedidos, basta clicar na opção "Devolução e Pedidos". Isso o direciona imediatamente para a página correspondente, onde encontrará detalhes abrangentes sobre o pedido em questão. Na página, se</w:t>
      </w:r>
      <w:r>
        <w:t>rão apresentados o número do pedido, os itens adquiridos com seus respectivos preços e nomes, juntamente com o prazo máximo para devolução dos produtos. Além disso, um botão estará disponível para iniciar o processo de devolução. Ao clicar nesse botão, o c</w:t>
      </w:r>
      <w:r>
        <w:t>liente será redirecionado para a página específica de devolução, onde poderá selecionar o(s) item(ns) que deseja devolver, escolher o motivo da devolução e fornecer um comentário explicativo sobre o motivo. Se o prazo para devolução for atendido, o botão d</w:t>
      </w:r>
      <w:r>
        <w:t>e confirmação da devolução estará ativado. Ao clicar neste botão, o cliente será levado a uma nova página onde poderá optar entre trocar o item ou prosseguir com a devolução. Se a opção escolhida for a devolução, um método para o reembolso deverá ser selec</w:t>
      </w:r>
      <w:r>
        <w:t>ionado. Após essa seleção, o cliente apenas precisará confirmar o pedido, e um endereço para devolução será fornecido como resposta.</w:t>
      </w:r>
    </w:p>
    <w:p w:rsidR="003B33EB" w:rsidRDefault="003B33EB">
      <w:pPr>
        <w:ind w:left="567"/>
      </w:pPr>
    </w:p>
    <w:p w:rsidR="003B33EB" w:rsidRDefault="00625A9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</w:pPr>
      <w:r>
        <w:rPr>
          <w:b/>
          <w:color w:val="000000"/>
          <w:sz w:val="26"/>
          <w:szCs w:val="26"/>
        </w:rPr>
        <w:t xml:space="preserve">Atividade </w:t>
      </w:r>
      <w:r>
        <w:rPr>
          <w:b/>
          <w:sz w:val="26"/>
          <w:szCs w:val="26"/>
        </w:rPr>
        <w:t>Troca</w:t>
      </w:r>
    </w:p>
    <w:p w:rsidR="003B33EB" w:rsidRDefault="003B33EB">
      <w:pPr>
        <w:ind w:left="567"/>
        <w:rPr>
          <w:highlight w:val="lightGray"/>
        </w:rPr>
      </w:pPr>
    </w:p>
    <w:p w:rsidR="003B33EB" w:rsidRDefault="00625A93">
      <w:pPr>
        <w:ind w:left="567"/>
      </w:pPr>
      <w:r>
        <w:t>Quando o cliente deseja efetuar uma devolução ou verificar seus pedidos, basta clicar na opção "Devolução e Pedidos". Isso o direciona imediatamente para a página correspondente, onde encontrará detalhes abrangentes sobre o pedido em questão. Na página, se</w:t>
      </w:r>
      <w:r>
        <w:t xml:space="preserve">rão apresentados o número do pedido, </w:t>
      </w:r>
      <w:r>
        <w:lastRenderedPageBreak/>
        <w:t>os itens adquiridos com seus respectivos preços e nomes, juntamente com o prazo máximo para devolução dos produtos. Além disso, um botão estará disponível para iniciar o processo de devolução. Ao clicar nesse botão, o c</w:t>
      </w:r>
      <w:r>
        <w:t>liente será redirecionado para a página específica de devolução, onde poderá selecionar o(s) item(ns) que deseja trocar, escolher o motivo da troca e fornecer um comentário explicativo sobre o motivo. Se o prazo para a troca for atendido, o botão de confir</w:t>
      </w:r>
      <w:r>
        <w:t>mação estará ativado. Ao clicar neste botão, o cliente será levado a uma nova página onde poderá optar entre trocar o item ou prosseguir com a devolução. Se a opção escolhida for a troca, o cliente deve devolver o produto e o Status do pedido deve estar EM</w:t>
      </w:r>
      <w:r>
        <w:t xml:space="preserve"> TROCA, assim que o administrado confirma que recebeu o item(n)s deve mudar o status para TROCA AUTORIZADA. Deste modo um cupom com o mesmo valor do pedido deve ser emitido para futuras compras</w:t>
      </w:r>
    </w:p>
    <w:p w:rsidR="003B33EB" w:rsidRDefault="003B33EB">
      <w:pPr>
        <w:ind w:left="567"/>
      </w:pPr>
    </w:p>
    <w:p w:rsidR="003B33EB" w:rsidRDefault="003B33EB"/>
    <w:p w:rsidR="003B33EB" w:rsidRDefault="00625A93">
      <w:pPr>
        <w:rPr>
          <w:b/>
          <w:sz w:val="26"/>
          <w:szCs w:val="26"/>
        </w:rPr>
      </w:pPr>
      <w:r>
        <w:rPr>
          <w:b/>
        </w:rPr>
        <w:tab/>
      </w:r>
      <w:r>
        <w:rPr>
          <w:b/>
          <w:sz w:val="26"/>
          <w:szCs w:val="26"/>
        </w:rPr>
        <w:t>1.3 Atividade Cupom Promocional</w:t>
      </w:r>
    </w:p>
    <w:p w:rsidR="003B33EB" w:rsidRDefault="003B33EB">
      <w:pPr>
        <w:rPr>
          <w:b/>
          <w:sz w:val="26"/>
          <w:szCs w:val="26"/>
        </w:rPr>
      </w:pPr>
    </w:p>
    <w:p w:rsidR="003B33EB" w:rsidRDefault="00625A93">
      <w:r>
        <w:rPr>
          <w:b/>
          <w:sz w:val="26"/>
          <w:szCs w:val="26"/>
        </w:rPr>
        <w:tab/>
      </w:r>
      <w:r>
        <w:t>A figura do administrador</w:t>
      </w:r>
      <w:r>
        <w:t xml:space="preserve"> emite um cupom promocional no valor desejado (valor decidido pelo administrado) e envia ao cliente.</w:t>
      </w:r>
    </w:p>
    <w:p w:rsidR="003B33EB" w:rsidRDefault="00625A9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>
        <w:rPr>
          <w:b/>
          <w:smallCaps/>
          <w:color w:val="000000"/>
          <w:sz w:val="28"/>
          <w:szCs w:val="28"/>
        </w:rPr>
        <w:t>Diagrama de Atividades</w:t>
      </w:r>
    </w:p>
    <w:p w:rsidR="003B33EB" w:rsidRDefault="00625A9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  <w:ind w:left="567" w:hanging="567"/>
        <w:rPr>
          <w:color w:val="000000"/>
        </w:rPr>
      </w:pPr>
      <w:r>
        <w:rPr>
          <w:color w:val="000000"/>
          <w:highlight w:val="yellow"/>
        </w:rPr>
        <w:t>Trata-se da representação gráfica das atividades. Podem ser agrupadas algumas atividades num mesmo diagrama. Uma boa prática é a elaboração de um diagrama resumo e diversos diagramas menores detalhando as atividades. Logo, o número de diagramas não precisa</w:t>
      </w:r>
      <w:r>
        <w:rPr>
          <w:color w:val="000000"/>
          <w:highlight w:val="yellow"/>
        </w:rPr>
        <w:t xml:space="preserve"> necessariamente ser igual ao número de atividades descritas.</w:t>
      </w:r>
    </w:p>
    <w:p w:rsidR="003B33EB" w:rsidRDefault="00625A9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</w:pPr>
      <w:r>
        <w:rPr>
          <w:b/>
          <w:color w:val="000000"/>
          <w:sz w:val="26"/>
          <w:szCs w:val="26"/>
        </w:rPr>
        <w:t>Diagrama de Atividades para Vendas</w:t>
      </w:r>
    </w:p>
    <w:p w:rsidR="003B33EB" w:rsidRDefault="003B33E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  <w:ind w:left="567" w:hanging="567"/>
        <w:rPr>
          <w:b/>
          <w:color w:val="000000"/>
          <w:sz w:val="26"/>
          <w:szCs w:val="26"/>
        </w:rPr>
      </w:pPr>
    </w:p>
    <w:p w:rsidR="003B33EB" w:rsidRDefault="003B33E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  <w:ind w:left="567" w:hanging="567"/>
        <w:rPr>
          <w:b/>
          <w:color w:val="000000"/>
          <w:sz w:val="26"/>
          <w:szCs w:val="26"/>
        </w:rPr>
      </w:pPr>
    </w:p>
    <w:p w:rsidR="003B33EB" w:rsidRDefault="00625A9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</w:pPr>
      <w:r>
        <w:rPr>
          <w:b/>
          <w:color w:val="000000"/>
          <w:sz w:val="26"/>
          <w:szCs w:val="26"/>
        </w:rPr>
        <w:t>Diagrama d</w:t>
      </w:r>
      <w:r>
        <w:rPr>
          <w:b/>
          <w:sz w:val="26"/>
          <w:szCs w:val="26"/>
        </w:rPr>
        <w:t>e Atividade Devolução</w:t>
      </w:r>
    </w:p>
    <w:p w:rsidR="003B33EB" w:rsidRDefault="003B33E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  <w:ind w:left="1134"/>
        <w:rPr>
          <w:b/>
          <w:sz w:val="26"/>
          <w:szCs w:val="26"/>
        </w:rPr>
      </w:pPr>
    </w:p>
    <w:p w:rsidR="003B33EB" w:rsidRDefault="003B33E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  <w:ind w:left="567" w:hanging="567"/>
        <w:rPr>
          <w:b/>
          <w:color w:val="000000"/>
          <w:sz w:val="26"/>
          <w:szCs w:val="26"/>
        </w:rPr>
      </w:pPr>
    </w:p>
    <w:p w:rsidR="003B33EB" w:rsidRDefault="00625A9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/>
      </w:pPr>
      <w:r>
        <w:rPr>
          <w:b/>
          <w:color w:val="000000"/>
          <w:sz w:val="26"/>
          <w:szCs w:val="26"/>
        </w:rPr>
        <w:t xml:space="preserve">Diagrama de Atividades </w:t>
      </w:r>
      <w:r>
        <w:rPr>
          <w:b/>
          <w:sz w:val="26"/>
          <w:szCs w:val="26"/>
        </w:rPr>
        <w:t>Troca e Devolução</w:t>
      </w:r>
    </w:p>
    <w:sectPr w:rsidR="003B33EB">
      <w:headerReference w:type="default" r:id="rId14"/>
      <w:headerReference w:type="first" r:id="rId15"/>
      <w:footerReference w:type="first" r:id="rId16"/>
      <w:pgSz w:w="11906" w:h="16838"/>
      <w:pgMar w:top="567" w:right="567" w:bottom="567" w:left="567" w:header="68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A93" w:rsidRDefault="00625A93">
      <w:r>
        <w:separator/>
      </w:r>
    </w:p>
  </w:endnote>
  <w:endnote w:type="continuationSeparator" w:id="0">
    <w:p w:rsidR="00625A93" w:rsidRDefault="0062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625A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B33EB" w:rsidRDefault="003B3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3B33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10685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3B33EB">
      <w:trPr>
        <w:trHeight w:val="170"/>
      </w:trPr>
      <w:tc>
        <w:tcPr>
          <w:tcW w:w="10188" w:type="dxa"/>
          <w:shd w:val="clear" w:color="auto" w:fill="4F81BD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360"/>
            <w:rPr>
              <w:color w:val="000000"/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b/>
              <w:color w:val="000000"/>
              <w:sz w:val="16"/>
              <w:szCs w:val="16"/>
            </w:rPr>
            <w:instrText>PAGE</w:instrText>
          </w:r>
          <w:r w:rsidR="00C30065">
            <w:rPr>
              <w:b/>
              <w:color w:val="000000"/>
              <w:sz w:val="16"/>
              <w:szCs w:val="16"/>
            </w:rPr>
            <w:fldChar w:fldCharType="separate"/>
          </w:r>
          <w:r w:rsidR="00C30065">
            <w:rPr>
              <w:b/>
              <w:noProof/>
              <w:color w:val="000000"/>
              <w:sz w:val="16"/>
              <w:szCs w:val="16"/>
            </w:rPr>
            <w:t>1</w:t>
          </w:r>
          <w:r>
            <w:rPr>
              <w:b/>
              <w:color w:val="000000"/>
              <w:sz w:val="16"/>
              <w:szCs w:val="16"/>
            </w:rPr>
            <w:fldChar w:fldCharType="end"/>
          </w:r>
        </w:p>
      </w:tc>
    </w:tr>
  </w:tbl>
  <w:p w:rsidR="003B33EB" w:rsidRDefault="003B3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625A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t xml:space="preserve">  </w:t>
    </w:r>
    <w:r>
      <w:rPr>
        <w:noProof/>
        <w:color w:val="000000"/>
      </w:rPr>
      <w:drawing>
        <wp:inline distT="0" distB="0" distL="114300" distR="114300">
          <wp:extent cx="2093595" cy="1220470"/>
          <wp:effectExtent l="0" t="0" r="0" b="0"/>
          <wp:docPr id="5" name="image1.jpg" descr="Pré-Vestibular gratuito em Mogi das Cruzes (SP) recebe inscriçõ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é-Vestibular gratuito em Mogi das Cruzes (SP) recebe inscriçõ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3595" cy="1220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625A9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Universidade de Mogi das Cruzes - Campus I</w:t>
    </w:r>
  </w:p>
  <w:p w:rsidR="003B33EB" w:rsidRDefault="00625A9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Tel/Fax: (11) 4798-7000</w:t>
    </w:r>
    <w:r>
      <w:rPr>
        <w:color w:val="000000"/>
      </w:rPr>
      <w:t xml:space="preserve"> </w:t>
    </w:r>
    <w:r>
      <w:rPr>
        <w:color w:val="000000"/>
        <w:sz w:val="18"/>
        <w:szCs w:val="18"/>
      </w:rPr>
      <w:t xml:space="preserve">   -   http://www.umc.br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A93" w:rsidRDefault="00625A93">
      <w:r>
        <w:separator/>
      </w:r>
    </w:p>
  </w:footnote>
  <w:footnote w:type="continuationSeparator" w:id="0">
    <w:p w:rsidR="00625A93" w:rsidRDefault="00625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3B3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3B33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60" w:type="dxa"/>
      <w:tblInd w:w="0" w:type="dxa"/>
      <w:tblLayout w:type="fixed"/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3B33EB">
      <w:trPr>
        <w:cantSplit/>
      </w:trPr>
      <w:tc>
        <w:tcPr>
          <w:tcW w:w="0" w:type="auto"/>
          <w:vMerge w:val="restart"/>
          <w:tcBorders>
            <w:right w:val="single" w:sz="4" w:space="0" w:color="000000"/>
          </w:tcBorders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tcBorders>
            <w:bottom w:val="single" w:sz="4" w:space="0" w:color="000000"/>
          </w:tcBorders>
          <w:vAlign w:val="center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FF0000"/>
              <w:sz w:val="16"/>
              <w:szCs w:val="16"/>
            </w:rPr>
          </w:pPr>
        </w:p>
      </w:tc>
      <w:tc>
        <w:tcPr>
          <w:tcW w:w="0" w:type="auto"/>
          <w:tcBorders>
            <w:bottom w:val="single" w:sz="4" w:space="0" w:color="000000"/>
          </w:tcBorders>
          <w:vAlign w:val="center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</w:tr>
    <w:tr w:rsidR="003B33EB">
      <w:trPr>
        <w:cantSplit/>
      </w:trPr>
      <w:tc>
        <w:tcPr>
          <w:tcW w:w="0" w:type="auto"/>
          <w:vMerge/>
          <w:tcBorders>
            <w:right w:val="single" w:sz="4" w:space="0" w:color="000000"/>
          </w:tcBorders>
        </w:tcPr>
        <w:p w:rsidR="003B33EB" w:rsidRDefault="003B33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gridSpan w:val="3"/>
          <w:tcBorders>
            <w:left w:val="single" w:sz="4" w:space="0" w:color="000000"/>
          </w:tcBorders>
          <w:vAlign w:val="center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</w:tr>
  </w:tbl>
  <w:p w:rsidR="003B33EB" w:rsidRDefault="003B3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3B3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3B33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0800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08"/>
      <w:gridCol w:w="6192"/>
      <w:gridCol w:w="2700"/>
    </w:tblGrid>
    <w:tr w:rsidR="003B33EB">
      <w:tc>
        <w:tcPr>
          <w:tcW w:w="1908" w:type="dxa"/>
          <w:shd w:val="clear" w:color="auto" w:fill="4F81BD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  <w:tc>
        <w:tcPr>
          <w:tcW w:w="6192" w:type="dxa"/>
          <w:shd w:val="clear" w:color="auto" w:fill="4F81BD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  <w:tc>
        <w:tcPr>
          <w:tcW w:w="2700" w:type="dxa"/>
          <w:shd w:val="clear" w:color="auto" w:fill="4F81BD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2"/>
              <w:szCs w:val="12"/>
            </w:rPr>
          </w:pPr>
        </w:p>
      </w:tc>
    </w:tr>
    <w:tr w:rsidR="003B33EB">
      <w:tc>
        <w:tcPr>
          <w:tcW w:w="1908" w:type="dxa"/>
          <w:shd w:val="clear" w:color="auto" w:fill="D9D9D9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</w:tr>
    <w:tr w:rsidR="003B33EB">
      <w:trPr>
        <w:trHeight w:val="226"/>
      </w:trPr>
      <w:tc>
        <w:tcPr>
          <w:tcW w:w="1908" w:type="dxa"/>
          <w:shd w:val="clear" w:color="auto" w:fill="auto"/>
        </w:tcPr>
        <w:p w:rsidR="003B33EB" w:rsidRDefault="003B3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4"/>
              <w:szCs w:val="4"/>
            </w:rPr>
          </w:pPr>
        </w:p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4"/>
              <w:szCs w:val="4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075690" cy="624840"/>
                <wp:effectExtent l="0" t="0" r="0" b="0"/>
                <wp:docPr id="2" name="image1.jpg" descr="Pré-Vestibular gratuito em Mogi das Cruzes (SP) recebe inscriçõe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Pré-Vestibular gratuito em Mogi das Cruzes (SP) recebe inscriçõe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690" cy="6248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Atividades do Negócio</w:t>
          </w:r>
        </w:p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[</w:t>
          </w:r>
          <w:r>
            <w:rPr>
              <w:i/>
              <w:sz w:val="20"/>
              <w:szCs w:val="20"/>
            </w:rPr>
            <w:t>Hatchards</w:t>
          </w:r>
          <w:r>
            <w:rPr>
              <w:i/>
              <w:color w:val="000000"/>
              <w:sz w:val="20"/>
              <w:szCs w:val="20"/>
            </w:rPr>
            <w:t>]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          </w:t>
          </w:r>
          <w:r>
            <w:rPr>
              <w:noProof/>
              <w:color w:val="000000"/>
            </w:rPr>
            <w:drawing>
              <wp:inline distT="0" distB="0" distL="114300" distR="114300">
                <wp:extent cx="1313815" cy="55499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815" cy="5549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B33EB" w:rsidRDefault="003B3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EB" w:rsidRDefault="003B33E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360" w:type="dxa"/>
      <w:tblInd w:w="0" w:type="dxa"/>
      <w:tblLayout w:type="fixed"/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3B33EB">
      <w:trPr>
        <w:cantSplit/>
      </w:trPr>
      <w:tc>
        <w:tcPr>
          <w:tcW w:w="0" w:type="auto"/>
          <w:vMerge w:val="restart"/>
          <w:tcBorders>
            <w:right w:val="single" w:sz="4" w:space="0" w:color="000000"/>
          </w:tcBorders>
        </w:tcPr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000000"/>
              <w:sz w:val="16"/>
              <w:szCs w:val="16"/>
            </w:rPr>
            <w:drawing>
              <wp:inline distT="0" distB="0" distL="114300" distR="114300">
                <wp:extent cx="1708785" cy="628650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785" cy="628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Título do Documento</w:t>
          </w:r>
        </w:p>
      </w:tc>
      <w:tc>
        <w:tcPr>
          <w:tcW w:w="0" w:type="auto"/>
          <w:tcBorders>
            <w:bottom w:val="single" w:sz="4" w:space="0" w:color="000000"/>
          </w:tcBorders>
          <w:vAlign w:val="center"/>
        </w:tcPr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FF0000"/>
              <w:sz w:val="16"/>
              <w:szCs w:val="16"/>
            </w:rPr>
          </w:pPr>
          <w:r>
            <w:rPr>
              <w:b/>
              <w:color w:val="FF0000"/>
              <w:sz w:val="16"/>
              <w:szCs w:val="16"/>
            </w:rPr>
            <w:t>[RESERVADO]</w:t>
          </w:r>
        </w:p>
      </w:tc>
      <w:tc>
        <w:tcPr>
          <w:tcW w:w="0" w:type="auto"/>
          <w:tcBorders>
            <w:bottom w:val="single" w:sz="4" w:space="0" w:color="000000"/>
          </w:tcBorders>
          <w:vAlign w:val="center"/>
        </w:tcPr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[VERSÃO]</w:t>
          </w:r>
        </w:p>
      </w:tc>
    </w:tr>
    <w:tr w:rsidR="003B33EB">
      <w:trPr>
        <w:cantSplit/>
      </w:trPr>
      <w:tc>
        <w:tcPr>
          <w:tcW w:w="0" w:type="auto"/>
          <w:vMerge/>
          <w:tcBorders>
            <w:right w:val="single" w:sz="4" w:space="0" w:color="000000"/>
          </w:tcBorders>
        </w:tcPr>
        <w:p w:rsidR="003B33EB" w:rsidRDefault="003B33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gridSpan w:val="3"/>
          <w:tcBorders>
            <w:left w:val="single" w:sz="4" w:space="0" w:color="000000"/>
          </w:tcBorders>
          <w:vAlign w:val="center"/>
        </w:tcPr>
        <w:p w:rsidR="003B33EB" w:rsidRDefault="0062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Subtítulo do Documento</w:t>
          </w:r>
        </w:p>
      </w:tc>
    </w:tr>
  </w:tbl>
  <w:p w:rsidR="003B33EB" w:rsidRDefault="003B3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631"/>
    <w:multiLevelType w:val="multilevel"/>
    <w:tmpl w:val="83BAD4F4"/>
    <w:lvl w:ilvl="0">
      <w:start w:val="1"/>
      <w:numFmt w:val="decimal"/>
      <w:lvlText w:val="%1."/>
      <w:lvlJc w:val="left"/>
      <w:pPr>
        <w:ind w:left="907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EB"/>
    <w:rsid w:val="003B33EB"/>
    <w:rsid w:val="00625A93"/>
    <w:rsid w:val="00C3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CC22"/>
  <w15:docId w15:val="{130914BC-30AB-400F-9B85-65AC70C5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2024-03-17T21:39:00Z</dcterms:created>
  <dcterms:modified xsi:type="dcterms:W3CDTF">2024-03-17T21:40:00Z</dcterms:modified>
</cp:coreProperties>
</file>