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val="en-US" w:eastAsia="zh-CN"/>
        </w:rPr>
        <w:t>颜常霖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201530613368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693812981@qq.com 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吴庆耀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12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15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逻辑回归、线性分类与随机梯度下降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报告人:颜常霖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（1）对比理解梯度下降和随机梯度下降的区别与联系。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（2）对比理解逻辑回归和线性分类的区别与联系。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（3）进一步理解SVM的原理并在较大数据上实践。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实验使用的是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"https://www.csie.ntu.edu.tw/~cjlin/libsvmtools/datasets/" \t "https://www.zybuluo.com/chenyaofo/note/_blank"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LIBSVM 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的中的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"https://www.csie.ntu.edu.tw/~cjlin/libsvmtools/datasets/binary.html" \l "a9a" \t "https://www.zybuluo.com/chenyaofo/note/_blank"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数据，包含32561 / 16281(testing)个样本，每个样本有123/123 (testing)个属性，标签为+1，-1。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逻辑回归与随机梯度下降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（1）读取实验训练集和验证集。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（2）逻辑回归模型参数初始化，可以考虑全零初始化，随机初始化或者正态分布初始化。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（3）选择Loss函数及对其求导。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（4）求得部分样本对Loss函数的梯度G。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（5）使用不同的优化方法更新模型参数（NAG，RMSProp，AdaDelta和Adam）。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（6）选择合适的阈值，将验证集中计算结果大于阈值的标记为正类，反之为负类。在验证集上测试并得到不同优化方法的Loss函数值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18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4"/>
          <w:lang w:val="en-US" w:eastAsia="zh-CN"/>
        </w:rPr>
        <w:object>
          <v:shape id="_x0000_i1026" o:spt="75" type="#_x0000_t75" style="height:19pt;width:4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8pt;width: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2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（7）重复步骤4-6若干次，画出</w:t>
      </w:r>
      <w:r>
        <w:rPr>
          <w:rFonts w:hint="eastAsia"/>
          <w:lang w:val="en-US" w:eastAsia="zh-CN"/>
        </w:rPr>
        <w:object>
          <v:shape id="_x0000_i1029" o:spt="75" type="#_x0000_t75" style="height:18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object>
          <v:shape id="_x0000_i1030" o:spt="75" type="#_x0000_t75" style="height:19pt;width:4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object>
          <v:shape id="_x0000_i1031" o:spt="75" type="#_x0000_t75" style="height:18pt;width: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-CN"/>
        </w:rPr>
        <w:object>
          <v:shape id="_x0000_i1032" o:spt="75" type="#_x0000_t75" style="height:18pt;width:2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lang w:val="en-US" w:eastAsia="zh-CN"/>
        </w:rPr>
        <w:t>随迭代次数的变化图。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线性分类与随机梯度下降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（1）读取实验训练集和验证集。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（2）支持向量机模型参数初始化，可以考虑全零初始化，随机初始化或者正态分布初始化。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（3）选择Loss函数及对其求导，过程详见课件ppt。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（4）求得部分样本对Loss函数的梯度。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（5）使用不同的优化方法更新模型参数（NAG，RMSProp，AdaDelta和Adam）。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（6）选择合适的阈值，将验证集中计算结果大于阈值的标记为正类，反之为负类。在验证集上测试并得到不同优化方法的Loss函数值</w:t>
      </w:r>
      <w:r>
        <w:rPr>
          <w:rFonts w:hint="eastAsia"/>
          <w:lang w:val="en-US" w:eastAsia="zh-CN"/>
        </w:rPr>
        <w:object>
          <v:shape id="_x0000_i1033" o:spt="75" type="#_x0000_t75" style="height:18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object>
          <v:shape id="_x0000_i1034" o:spt="75" type="#_x0000_t75" style="height:19pt;width:4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object>
          <v:shape id="_x0000_i1035" o:spt="75" type="#_x0000_t75" style="height:18pt;width: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-CN"/>
        </w:rPr>
        <w:object>
          <v:shape id="_x0000_i1036" o:spt="75" type="#_x0000_t75" style="height:18pt;width:2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3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（7）重复步骤4-6若干次，画出</w:t>
      </w:r>
      <w:r>
        <w:rPr>
          <w:rFonts w:hint="eastAsia"/>
          <w:lang w:val="en-US" w:eastAsia="zh-CN"/>
        </w:rPr>
        <w:object>
          <v:shape id="_x0000_i1037" o:spt="75" type="#_x0000_t75" style="height:18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object>
          <v:shape id="_x0000_i1038" o:spt="75" type="#_x0000_t75" style="height:19pt;width:4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object>
          <v:shape id="_x0000_i1039" o:spt="75" type="#_x0000_t75" style="height:18pt;width: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6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-CN"/>
        </w:rPr>
        <w:object>
          <v:shape id="_x0000_i1040" o:spt="75" type="#_x0000_t75" style="height:18pt;width:2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7">
            <o:LockedField>false</o:LockedField>
          </o:OLEObject>
        </w:object>
      </w:r>
      <w:r>
        <w:rPr>
          <w:rFonts w:hint="eastAsia"/>
          <w:lang w:val="en-US" w:eastAsia="zh-CN"/>
        </w:rPr>
        <w:t>随迭代次数的变化图。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逻辑回归与随机梯度下降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133090"/>
            <wp:effectExtent l="0" t="0" r="7620" b="10160"/>
            <wp:docPr id="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396615"/>
            <wp:effectExtent l="0" t="0" r="9525" b="13335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91840"/>
            <wp:effectExtent l="0" t="0" r="5715" b="3810"/>
            <wp:docPr id="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242820"/>
            <wp:effectExtent l="0" t="0" r="5080" b="5080"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356485"/>
            <wp:effectExtent l="0" t="0" r="6350" b="5715"/>
            <wp:docPr id="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线性分类与随机梯度下降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524250"/>
            <wp:effectExtent l="0" t="0" r="6350" b="0"/>
            <wp:docPr id="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257550"/>
            <wp:effectExtent l="0" t="0" r="6350" b="0"/>
            <wp:docPr id="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291205"/>
            <wp:effectExtent l="0" t="0" r="3810" b="4445"/>
            <wp:docPr id="1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828415"/>
            <wp:effectExtent l="0" t="0" r="7620" b="635"/>
            <wp:docPr id="1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183130"/>
            <wp:effectExtent l="0" t="0" r="4445" b="762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369945"/>
            <wp:effectExtent l="0" t="0" r="6985" b="1905"/>
            <wp:docPr id="1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19065" cy="2400300"/>
            <wp:effectExtent l="0" t="0" r="635" b="0"/>
            <wp:docPr id="1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（针对逻辑回归和线性分类分别填写8-11内容）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逻辑回归与随机梯度下降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逻辑回归采取的初始化方法为随机初始化，参数为0-1之间的浮点数。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线性分类与随机梯度下降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线性分类采取的初始化方法为：w采用随机初始化，参数为0-1之间的浮点数。b初始化为0， C初始化为0.1。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逻辑回归与随机梯度下降</w:t>
      </w:r>
    </w:p>
    <w:p>
      <w:pPr>
        <w:numPr>
          <w:ilvl w:val="0"/>
          <w:numId w:val="0"/>
        </w:numPr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loss = -1/m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∑</w:t>
      </w:r>
      <w:r>
        <w:rPr>
          <w:rFonts w:hint="eastAsia" w:cs="Times New Roman"/>
          <w:b w:val="0"/>
          <w:bCs w:val="0"/>
          <w:lang w:val="en-US" w:eastAsia="zh-CN"/>
        </w:rPr>
        <w:t>(y * log(h(x)) + (1 - y) * log(1 - h(x)))</w:t>
      </w:r>
    </w:p>
    <w:p>
      <w:pPr>
        <w:numPr>
          <w:ilvl w:val="0"/>
          <w:numId w:val="0"/>
        </w:numPr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G = (h(x) - y) * x</w:t>
      </w:r>
    </w:p>
    <w:p>
      <w:pPr>
        <w:numPr>
          <w:ilvl w:val="0"/>
          <w:numId w:val="0"/>
        </w:numPr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线性分类与随机梯度下降</w:t>
      </w:r>
    </w:p>
    <w:p>
      <w:pPr>
        <w:numPr>
          <w:ilvl w:val="0"/>
          <w:numId w:val="0"/>
        </w:numPr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loss函数为：L=1/n(1/2||w||^2 + C∑max(0, 1 - y(wx+b)))，其中C为大于0的常数,n为样本数目。</w:t>
      </w:r>
    </w:p>
    <w:p>
      <w:pPr>
        <w:numPr>
          <w:ilvl w:val="0"/>
          <w:numId w:val="0"/>
        </w:numPr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对w偏导：G_w  =  C∑(w - yx)，当1 - y(wx + b)&gt;0时。</w:t>
      </w:r>
    </w:p>
    <w:p>
      <w:pPr>
        <w:numPr>
          <w:ilvl w:val="0"/>
          <w:numId w:val="0"/>
        </w:numPr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对b偏导：G_b = w - C∑y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10.实验结果和曲线图:</w:t>
      </w:r>
      <w:r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  <w:t>（各种梯度下降方式分别填写此项）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</w:p>
    <w:p>
      <w:pPr>
        <w:pStyle w:val="3"/>
        <w:spacing w:before="156" w:beforeLines="50" w:after="156" w:afterLines="50" w:line="400" w:lineRule="exact"/>
        <w:ind w:left="0" w:leftChars="0" w:firstLine="280" w:firstLineChars="10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逻辑回归与随机梯度下降：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NAG：超参数有：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alpha,r。 alpha为学习率，r为指数衰减。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RMSProp:超参数有：alpha,r。 alpha为学习率，r为指数衰减。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AdaDelta:超参数有：r。 r为指数衰减。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Adam:超参数有：alpha,r，b。alpha为学习率，r为指数衰减。</w:t>
      </w:r>
    </w:p>
    <w:p>
      <w:pPr>
        <w:numPr>
          <w:ilvl w:val="0"/>
          <w:numId w:val="0"/>
        </w:numPr>
        <w:ind w:firstLine="241" w:firstLineChars="100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线性分类与随机梯度下降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NAG：超参数有：alpha,r。 alpha为学习率，r为指数衰减。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RMSProp:超参数有：alpha,r。 alpha为学习率，r为指数衰减。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AdaDelta:超参数有：r。 r为指数衰减。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Adam:超参数有：alpha,r，b。alpha为学习率，r为指数衰减。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0" w:leftChars="0" w:firstLine="280" w:firstLineChars="10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逻辑回归与随机梯度下降：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1" o:spt="75" type="#_x0000_t75" style="height:18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0">
            <o:LockedField>false</o:LockedField>
          </o:OLEObject>
        </w:object>
      </w:r>
      <w:r>
        <w:rPr>
          <w:rFonts w:hint="eastAsia"/>
          <w:lang w:val="en-US" w:eastAsia="zh-CN"/>
        </w:rPr>
        <w:t>:0.37037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object>
          <v:shape id="_x0000_i1042" o:spt="75" type="#_x0000_t75" style="height:19pt;width:4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/>
          <w:lang w:val="en-US" w:eastAsia="zh-CN"/>
        </w:rPr>
        <w:t>:0.39916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3" o:spt="75" type="#_x0000_t75" style="height:18pt;width: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/>
          <w:lang w:val="en-US" w:eastAsia="zh-CN"/>
        </w:rPr>
        <w:t>:0.36433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object>
          <v:shape id="_x0000_i1044" o:spt="75" type="#_x0000_t75" style="height:18pt;width:2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/>
          <w:lang w:val="en-US" w:eastAsia="zh-CN"/>
        </w:rPr>
        <w:t>:0.42358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41" w:firstLineChars="100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线性分类与随机梯度下降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object>
          <v:shape id="_x0000_i1045" o:spt="75" type="#_x0000_t75" style="height:18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:0.47745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object>
          <v:shape id="_x0000_i1046" o:spt="75" type="#_x0000_t75" style="height:19pt;width:4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:0.47754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object>
          <v:shape id="_x0000_i1047" o:spt="75" type="#_x0000_t75" style="height:18pt;width: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0.48235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object>
          <v:shape id="_x0000_i1048" o:spt="75" type="#_x0000_t75" style="height:18pt;width:2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:0.48951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pStyle w:val="3"/>
        <w:spacing w:before="156" w:beforeLines="50" w:after="156" w:afterLines="50" w:line="400" w:lineRule="exact"/>
        <w:ind w:left="0" w:leftChars="0" w:firstLine="280" w:firstLineChars="10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逻辑回归与随机梯度下降：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18865" cy="2533650"/>
            <wp:effectExtent l="0" t="0" r="635" b="0"/>
            <wp:docPr id="1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41" w:firstLineChars="100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线性分类与随机梯度下降</w:t>
      </w:r>
    </w:p>
    <w:p>
      <w:pPr>
        <w:numPr>
          <w:ilvl w:val="0"/>
          <w:numId w:val="0"/>
        </w:numPr>
        <w:ind w:firstLine="241" w:firstLineChars="100"/>
        <w:rPr>
          <w:rFonts w:hint="eastAsia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241" w:firstLineChars="100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drawing>
          <wp:inline distT="0" distB="0" distL="114300" distR="114300">
            <wp:extent cx="3618865" cy="2533650"/>
            <wp:effectExtent l="0" t="0" r="635" b="0"/>
            <wp:docPr id="1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pStyle w:val="3"/>
        <w:spacing w:before="156" w:beforeLines="50" w:after="156" w:afterLines="50" w:line="400" w:lineRule="exact"/>
        <w:ind w:left="0" w:leftChars="0" w:firstLine="280" w:firstLineChars="10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逻辑回归与随机梯度下降：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从实验结果可知使用NAG优化方法的收敛速度最快，loss值最终都趋向于0.5左右，使用NAG和RMSProp优化方法的结果比其他好。</w:t>
      </w:r>
    </w:p>
    <w:p>
      <w:pPr>
        <w:numPr>
          <w:ilvl w:val="0"/>
          <w:numId w:val="0"/>
        </w:numPr>
        <w:ind w:firstLine="241" w:firstLineChars="100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线性分类与随机梯度下降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从实验结果可知使用NAG优化方法的收敛速度最快，loss值最终都趋向于0.4左右，使用AdaDelta优化方法的结果比其他好。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12.对比逻辑回归和线性分类的异同点：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两种方法都是常见的分类算法，从目标函数来看，区别在于逻辑回归采用的是logistical loss，SVM采用的是hinge loss。这两个损失函数的目的都是增加对分类影响较大的数据点的权重，减少与分类关系较小的数据点的权重。SVM的处理方法是只考虑support vectors，也就是和分类最相关的少数点，去学习分类器.而逻辑回归通过非线性映射，大大减小了离分类平面较远的点的权重，相对提升了与分类最相关的数据点的权重。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通过这次实验，我更清晰理解了梯度下降和随机梯度下降的区别与联系。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让我理解了逻辑回归和线性分类的区别与联系。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让我进一步理解SVM的原理并在较大数据上实践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让我懂得了使用不同优化方法去更新模型参数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8D60"/>
    <w:multiLevelType w:val="singleLevel"/>
    <w:tmpl w:val="5A328D60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3332F9"/>
    <w:multiLevelType w:val="singleLevel"/>
    <w:tmpl w:val="5A3332F9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333E8"/>
    <w:multiLevelType w:val="singleLevel"/>
    <w:tmpl w:val="5A3333E8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63381"/>
    <w:rsid w:val="08827E44"/>
    <w:rsid w:val="08C57CBB"/>
    <w:rsid w:val="0CD43378"/>
    <w:rsid w:val="1A2B2C61"/>
    <w:rsid w:val="1D174501"/>
    <w:rsid w:val="20407B96"/>
    <w:rsid w:val="20977A4B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uiPriority w:val="0"/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footer" Target="footer2.xml"/><Relationship Id="rId49" Type="http://schemas.openxmlformats.org/officeDocument/2006/relationships/image" Target="media/image19.png"/><Relationship Id="rId48" Type="http://schemas.openxmlformats.org/officeDocument/2006/relationships/image" Target="media/image18.png"/><Relationship Id="rId47" Type="http://schemas.openxmlformats.org/officeDocument/2006/relationships/oleObject" Target="embeddings/oleObject24.bin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oleObject" Target="embeddings/oleObject20.bin"/><Relationship Id="rId42" Type="http://schemas.openxmlformats.org/officeDocument/2006/relationships/oleObject" Target="embeddings/oleObject19.bin"/><Relationship Id="rId41" Type="http://schemas.openxmlformats.org/officeDocument/2006/relationships/oleObject" Target="embeddings/oleObject18.bin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image" Target="media/image17.png"/><Relationship Id="rId38" Type="http://schemas.openxmlformats.org/officeDocument/2006/relationships/image" Target="media/image16.png"/><Relationship Id="rId37" Type="http://schemas.openxmlformats.org/officeDocument/2006/relationships/image" Target="media/image15.png"/><Relationship Id="rId36" Type="http://schemas.openxmlformats.org/officeDocument/2006/relationships/image" Target="media/image14.png"/><Relationship Id="rId35" Type="http://schemas.openxmlformats.org/officeDocument/2006/relationships/image" Target="media/image13.png"/><Relationship Id="rId34" Type="http://schemas.openxmlformats.org/officeDocument/2006/relationships/image" Target="media/image12.png"/><Relationship Id="rId33" Type="http://schemas.openxmlformats.org/officeDocument/2006/relationships/image" Target="media/image11.png"/><Relationship Id="rId32" Type="http://schemas.openxmlformats.org/officeDocument/2006/relationships/image" Target="media/image10.png"/><Relationship Id="rId31" Type="http://schemas.openxmlformats.org/officeDocument/2006/relationships/image" Target="media/image9.png"/><Relationship Id="rId30" Type="http://schemas.openxmlformats.org/officeDocument/2006/relationships/image" Target="media/image8.png"/><Relationship Id="rId3" Type="http://schemas.openxmlformats.org/officeDocument/2006/relationships/header" Target="header1.xml"/><Relationship Id="rId29" Type="http://schemas.openxmlformats.org/officeDocument/2006/relationships/image" Target="media/image7.png"/><Relationship Id="rId28" Type="http://schemas.openxmlformats.org/officeDocument/2006/relationships/image" Target="media/image6.png"/><Relationship Id="rId27" Type="http://schemas.openxmlformats.org/officeDocument/2006/relationships/oleObject" Target="embeddings/oleObject16.bin"/><Relationship Id="rId26" Type="http://schemas.openxmlformats.org/officeDocument/2006/relationships/oleObject" Target="embeddings/oleObject15.bin"/><Relationship Id="rId25" Type="http://schemas.openxmlformats.org/officeDocument/2006/relationships/oleObject" Target="embeddings/oleObject14.bin"/><Relationship Id="rId24" Type="http://schemas.openxmlformats.org/officeDocument/2006/relationships/oleObject" Target="embeddings/oleObject13.bin"/><Relationship Id="rId23" Type="http://schemas.openxmlformats.org/officeDocument/2006/relationships/oleObject" Target="embeddings/oleObject12.bin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oleObject" Target="embeddings/oleObject6.bin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PICUTURE</cp:lastModifiedBy>
  <dcterms:modified xsi:type="dcterms:W3CDTF">2017-12-15T02:31:34Z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