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A6301A" w:sz="6" w:space="6"/>
          <w:bottom w:val="single" w:color="A6301A" w:sz="6" w:space="6"/>
          <w:left w:val="single" w:color="A6301A" w:sz="6" w:space="6"/>
          <w:right w:val="single" w:color="A6301A" w:sz="6" w:space="6"/>
        </w:pBdr>
        <w:shd w:fill="FBEAEA" w:val="clear"/>
        <w:spacing w:before="120" w:after="240"/>
      </w:pPr>
      <w:r>
        <w:rPr>
          <w:rFonts w:ascii="Times New Roman" w:cs="Times New Roman" w:eastAsia="Times New Roman" w:hAnsi="Times New Roman"/>
          <w:b/>
          <w:bCs/>
          <w:color w:val="A6301A"/>
          <w:sz w:val="22"/>
          <w:szCs w:val="22"/>
        </w:rPr>
        <w:t xml:space="preserve">ЧЕРНОВИК — требует проверки юриста до подписания</w:t>
      </w:r>
    </w:p>
    <w:p>
      <w:pPr>
        <w:pBdr>
          <w:left w:val="single" w:color="999999" w:sz="12" w:space="8"/>
        </w:pBdr>
        <w:spacing w:before="120" w:after="22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Собран на основе публичной оферты (`apps/web/src/legal/oferta.md`, https://vruchay.ru/oferta) и договора-поручения (`apps/web/src/legal/dpa.md`), адаптированных под двустороннее подписание с конкретным контрагентом. Юрист проверяет то же, что в оферте — квалификацию как лицензионного договора (от неё зависит льгота по НДС и заявление в реестр российского ПО), раздел об ограничении ответственности, раздел о поддержке — и дополнительно: полномочия подписанта Лицензиата, соответствие Приложения № 1 фактически согласованным условиям.</w:t>
      </w:r>
    </w:p>
    <w:p>
      <w:pPr>
        <w:pStyle w:val="Heading1"/>
        <w:spacing w:before="200" w:after="240"/>
      </w:pPr>
      <w:r>
        <w:rPr>
          <w:rFonts w:ascii="Times New Roman" w:cs="Times New Roman" w:eastAsia="Times New Roman" w:hAnsi="Times New Roman"/>
        </w:rPr>
        <w:t xml:space="preserve">Лицензионный договор № 1 на использование программы для ЭВМ «Вручай»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г. __________ — «___» __________ 20__ г.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Индивидуальный предприниматель Рязанцева Наталья Сергеевна</w:t>
      </w:r>
      <w:r>
        <w:rPr>
          <w:rFonts w:ascii="Times New Roman" w:cs="Times New Roman" w:eastAsia="Times New Roman" w:hAnsi="Times New Roman"/>
        </w:rPr>
        <w:t xml:space="preserve">, ИНН 740270417047, ОГРНИП 326745600068030, адрес: 456830, Челябинская область, Каслинский район, город Касли, улица Чехова, дом 14 (далее — </w:t>
      </w:r>
      <w:r>
        <w:rPr>
          <w:rFonts w:ascii="Times New Roman" w:cs="Times New Roman" w:eastAsia="Times New Roman" w:hAnsi="Times New Roman"/>
          <w:b/>
          <w:bCs/>
        </w:rPr>
        <w:t xml:space="preserve">Лицензиар</w:t>
      </w:r>
      <w:r>
        <w:rPr>
          <w:rFonts w:ascii="Times New Roman" w:cs="Times New Roman" w:eastAsia="Times New Roman" w:hAnsi="Times New Roman"/>
        </w:rPr>
        <w:t xml:space="preserve">),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и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{{ВФЛА_ПОЛНОЕ_НАИМЕНОВАНИЕ}}</w:t>
      </w:r>
      <w:r>
        <w:rPr>
          <w:rFonts w:ascii="Times New Roman" w:cs="Times New Roman" w:eastAsia="Times New Roman" w:hAnsi="Times New Roman"/>
        </w:rPr>
        <w:t xml:space="preserve"> (Общероссийская общественная организация «Всероссийская федерация лёгкой атлетики»), ИНН {{ВФЛА_ИНН}}, ОГРН {{ВФЛА_ОГРН}}, адрес: {{ВФЛА_АДРЕС}} (далее — </w:t>
      </w:r>
      <w:r>
        <w:rPr>
          <w:rFonts w:ascii="Times New Roman" w:cs="Times New Roman" w:eastAsia="Times New Roman" w:hAnsi="Times New Roman"/>
          <w:b/>
          <w:bCs/>
        </w:rPr>
        <w:t xml:space="preserve">Лицензиат</w:t>
      </w:r>
      <w:r>
        <w:rPr>
          <w:rFonts w:ascii="Times New Roman" w:cs="Times New Roman" w:eastAsia="Times New Roman" w:hAnsi="Times New Roman"/>
        </w:rPr>
        <w:t xml:space="preserve">), в лице {{ВФЛА_ДОЛЖНОСТЬ_ФИО}}, действующего на основании {{ВФЛА_ОСНОВАНИЕ_ПОЛНОМОЧИЙ}},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далее совместно именуемые «Стороны», заключили настоящий договор о нижеследующем.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1. Термины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Программа</w:t>
      </w:r>
      <w:r>
        <w:rPr>
          <w:rFonts w:ascii="Times New Roman" w:cs="Times New Roman" w:eastAsia="Times New Roman" w:hAnsi="Times New Roman"/>
        </w:rPr>
        <w:t xml:space="preserve"> — программа для ЭВМ «Вручай», размещённая по адресу https://vruchay.ru, включая веб-интерфейс, программный интерфейс (API) и серверную часть.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Личный кабинет</w:t>
      </w:r>
      <w:r>
        <w:rPr>
          <w:rFonts w:ascii="Times New Roman" w:cs="Times New Roman" w:eastAsia="Times New Roman" w:hAnsi="Times New Roman"/>
        </w:rPr>
        <w:t xml:space="preserve"> — раздел Программы, доступ к которому Лицензиат получает по учётной записи.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Документ</w:t>
      </w:r>
      <w:r>
        <w:rPr>
          <w:rFonts w:ascii="Times New Roman" w:cs="Times New Roman" w:eastAsia="Times New Roman" w:hAnsi="Times New Roman"/>
        </w:rPr>
        <w:t xml:space="preserve"> — файл, сформированный Программой по макету и строке списка Лицензиата: грамота, диплом, сертификат, благодарственное письмо, бейдж и любой иной именной бланк.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Тариф</w:t>
      </w:r>
      <w:r>
        <w:rPr>
          <w:rFonts w:ascii="Times New Roman" w:cs="Times New Roman" w:eastAsia="Times New Roman" w:hAnsi="Times New Roman"/>
        </w:rPr>
        <w:t xml:space="preserve"> — условия, зафиксированные в Приложении № 1 к настоящему договору: объём выдачи документов, срок лицензии и размер вознаграждения.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2. Предмет договора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2.1. Лицензиар предоставляет Лицензиату простую (неисключительную) лицензию на использование Программы в пределах, установленных настоящим договором и Приложением № 1, а Лицензиат уплачивает лицензионное вознаграждение.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2.2. Способ использования — воспроизведение Программы, ограниченное её функциональным назначением, путём удалённого доступа через сеть Интернет. Экземпляр Программы Лицензиату не передаётся, установка на оборудование Лицензиата не производится.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2.3. Территория — Российская Федерация. Срок лицензии указан в Приложении № 1.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2.4. Права, прямо не предоставленные настоящим договором, у Лицензиата отсутствуют. Лицензиат не вправе: распространять экземпляры Программы, предоставлять доступ третьим лицам за пределами своей организации и подведомственных ей региональных отделений, использующих Программу по согласованию с Лицензиатом; модифицировать, декомпилировать и дизассемблировать Программу, за исключением случаев, прямо разрешённых статьёй 1280 ГК РФ.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2.5. Отчёты об использовании Программы Лицензиат не представляет. Стороны воспользовались правом, предусмотренным абзацем вторым пункта 1 статьи 1237 ГК РФ.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2.6. Исключительное право на Программу принадлежит Лицензиару и по настоящему договору не отчуждается.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3. Заключение договора и приложения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3.1. Договор заключается в письменной форме путём подписания обеими Сторонами и вступает в силу с даты подписания, указанной в преамбуле, либо с даты поступления первого платежа по настоящему договору, если она наступает раньше.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3.2. Неотъемлемыми частями настоящего договора являются: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№ 1</w:t>
      </w:r>
      <w:r>
        <w:rPr>
          <w:rFonts w:ascii="Times New Roman" w:cs="Times New Roman" w:eastAsia="Times New Roman" w:hAnsi="Times New Roman"/>
        </w:rPr>
        <w:t xml:space="preserve"> — Спецификация (коммерческие условия);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№ 2</w:t>
      </w:r>
      <w:r>
        <w:rPr>
          <w:rFonts w:ascii="Times New Roman" w:cs="Times New Roman" w:eastAsia="Times New Roman" w:hAnsi="Times New Roman"/>
        </w:rPr>
        <w:t xml:space="preserve"> — Договор-поручение на обработку персональных данных;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№ 3</w:t>
      </w:r>
      <w:r>
        <w:rPr>
          <w:rFonts w:ascii="Times New Roman" w:cs="Times New Roman" w:eastAsia="Times New Roman" w:hAnsi="Times New Roman"/>
        </w:rPr>
        <w:t xml:space="preserve"> — Сведения о защищённости инфраструктуры.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3.3. Настоящий договор не отменяет право Лицензиара предлагать доступ к Программе иным лицам на условиях публичной оферты, размещённой по адресу https://vruchay.ru/oferta.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4. Вознаграждение и порядок расчётов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4.1. Размер вознаграждения, объём документов и срок лицензии определяются Приложением № 1.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4.2. Вознаграждение уплачивается в порядке, указанном в Приложении № 1.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4.3. Оплата производится в безналичном порядке на расчётный счёт Лицензиара. Обязательство по оплате считается исполненным с момента зачисления средств на расчётный счёт Лицензиара.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4.4. Налог на добавленную стоимость не начисляется: Лицензиар применяет упрощённую систему налогообложения (глава 26.2 Налогового кодекса РФ). При утрате права на освобождение основанием для неначисления НДС является подпункт 26 пункта 2 статьи 149 НК РФ — передача прав на использование программ для ЭВМ, включённых в единый реестр российских программ¹.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4.5. По завершении оплаченного периода Лицензиар предоставляет Лицензиату акт либо универсальный передаточный документ о предоставлении права использования (форма — файл `акт-шаблон.md` настоящего пакета). Отсутствие подписанного акта не влияет на предоставленную лицензию.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4.6. Если до истечения срока лицензии Лицензиат исчерпает объём документов, указанный в Приложении № 1, выпуск новых документов приостанавливается до согласования Сторонами дополнительных условий. Автоматической доплаты за превышение объёма настоящим договором не установлено.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¹ Действует при условии включения «Вручая» в реестр российского ПО на момент оплаты — проверить статус заявления перед подписанием.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5. Права и обязанности сторон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5.1. Лицензиар обязуется: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1. предоставить доступ к Программе в течение одного рабочего дня с даты вступления договора в силу и поступления оплаты, если Приложением № 1 не согласован иной срок;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2. обеспечивать работоспособность Программы, за исключением времени плановых работ, о которых Лицензиат уведомляется не позднее чем за 24 часа;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3. обрабатывать персональные данные, загружаемые Лицензиатом, исключительно по поручению Лицензиата на условиях Приложения № 2;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4. не раскрывать третьим лицам условия настоящего договора и Приложения № 1 без согласия Лицензиата, за исключением случаев, предусмотренных законом.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5.2. Лицензиат обязуется: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1. самостоятельно получать согласия участников мероприятий на обработку персональных данных и отвечать за правомерность их загрузки в Программу;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2. обеспечить, чтобы формы сбора данных и согласий участников были оформлены от имени Лицензиата — с его наименованием, брендингом и ссылкой на его собственную политику обработки персональных данных, а не Лицензиара;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3. не загружать данные специальных категорий (о состоянии здоровья, расовой и национальной принадлежности, политических взглядах, судимости) и биометрические персональные данные;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4. обладать правами на изображения, товарные знаки, гербы и иные обозначения, размещаемые на макетах документов;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5. сохранять в тайне данные учётной записи и немедленно сообщать Лицензиару о их компрометации;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6. не раскрывать третьим лицам условия настоящего договора и Приложения № 1 без согласия Лицензиара, за исключением раскрытия вышестоящим органам, учредителям и аудиторам Лицензиата, связанным обязательством конфиденциальности, либо в случаях, предусмотренных законом.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5.3. Лицензиат вправе в любой момент выгрузить из Личного кабинета созданные документы и загруженные списки.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6. Ограничение ответственности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6.1. Программа предоставляется на условиях «как есть». Лицензиар не гарантирует, что Программа отвечает целям, прямо не описанным в документации.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6.2. Совокупная ответственность Лицензиара по настоящему договору ограничена суммой вознаграждения, уплаченного за период, в котором возникло нарушение. Упущенная выгода не возмещается.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6.3. Лицензиар не отвечает за содержание документов, за состав загруженных списков и за наличие согласий участников: это зона ответственности Лицензиата как оператора персональных данных.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6.4. Лицензиар не отвечает за недоставку писем по причинам на стороне принимающего почтового сервера, за неверные адреса в списке Лицензиата и за попадание писем в папку «Спам» при неподключённом домене Лицензиата.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7. Возврат вознаграждения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7.1. При досрочном расторжении договора по инициативе Лицензиата возврат за неиспользованный период производится пропорционально числу полных месяцев, оставшихся до конца срока лицензии, за вычетом стоимости документов, выданных сверх пропорциональной доли.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7.2. Возврат производится в течение 10 рабочих дней с даты расторжения на реквизиты, указанные Лицензиатом.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8. Расторжение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8.1. Лицензиат вправе отказаться от договора в любой момент, направив письменное уведомление Лицензиару.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8.2. Лицензиар вправе приостановить доступ при нарушении пункта 5.2, уведомив Лицензиата и указав нарушение. При устранении нарушения доступ восстанавливается.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8.3. После прекращения договора персональные данные участников уничтожаются в порядке и в сроки, установленные Приложением № 2.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9. Разрешение споров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9.1. Досудебный порядок обязателен. Срок ответа на претензию — 30 календарных дней с даты получения.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9.2. Споры рассматриваются арбитражным судом по месту нахождения Лицензиара, если Стороны дополнительно не согласуют иную подсудность.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9.3. Применимое право — право Российской Федерации.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10. Срок действия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10.1. Договор действует в течение срока, указанного в Приложении № 1.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10.2. Договор продлевается на новый срок только по письменному соглашению Сторон, оформленному не позднее чем за 30 календарных дней до окончания текущего срока.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11. Реквизиты и подписи сторон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Лицензиар: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Индивидуальный предприниматель Рязанцева Наталья Сергеевна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ИНН 740270417047 · ОГРНИП 326745600068030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Адрес: 456830, Челябинская область, Каслинский район, город Касли, улица Чехова, дом 14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Р/с {{Р/С}} в {{БАНК}}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БИК {{БИК}} · к/с {{КОРР_СЧЁТ}}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Email {{EMAIL}} · Телефон {{ТЕЛЕФОН}}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Подпись: _______________________ / Рязанцева Н. С. /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Лицензиат: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{{ВФЛА_ПОЛНОЕ_НАИМЕНОВАНИЕ}}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ИНН {{ВФЛА_ИНН}} · ОГРН {{ВФЛА_ОГРН}}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Адрес: {{ВФЛА_АДРЕС}}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Р/с {{ВФЛА_Р/С}} в {{ВФЛА_БАНК}}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БИК {{ВФЛА_БИК}} · к/с {{ВФЛА_КОРР_СЧЁТ}}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Email {{ВФЛА_EMAIL}} · Телефон {{ВФЛА_ТЕЛЕФОН}}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Подпись: _______________________ / {{ВФЛА_ФИО_ПОДПИСАНТА}} /</w:t>
      </w:r>
    </w:p>
    <w:p>
      <w:r>
        <w:br w:type="page"/>
      </w:r>
    </w:p>
    <w:p>
      <w:pPr>
        <w:pBdr>
          <w:top w:val="single" w:color="A6301A" w:sz="6" w:space="6"/>
          <w:bottom w:val="single" w:color="A6301A" w:sz="6" w:space="6"/>
          <w:left w:val="single" w:color="A6301A" w:sz="6" w:space="6"/>
          <w:right w:val="single" w:color="A6301A" w:sz="6" w:space="6"/>
        </w:pBdr>
        <w:shd w:fill="FBEAEA" w:val="clear"/>
        <w:spacing w:before="120" w:after="240"/>
      </w:pPr>
      <w:r>
        <w:rPr>
          <w:rFonts w:ascii="Times New Roman" w:cs="Times New Roman" w:eastAsia="Times New Roman" w:hAnsi="Times New Roman"/>
          <w:b/>
          <w:bCs/>
          <w:color w:val="A6301A"/>
          <w:sz w:val="22"/>
          <w:szCs w:val="22"/>
        </w:rPr>
        <w:t xml:space="preserve">ЧЕРНОВИК — цена и объём ниже являются стартовой позицией для переговоров, а не финальными условиями. Взято из внутреннего прайса `docs/business/unit-economics.md` (тариф «Максимум»), на сайте эти цифры не публикуются.</w:t>
      </w:r>
    </w:p>
    <w:p>
      <w:pPr>
        <w:pStyle w:val="Heading1"/>
        <w:spacing w:before="200" w:after="240"/>
      </w:pPr>
      <w:r>
        <w:rPr>
          <w:rFonts w:ascii="Times New Roman" w:cs="Times New Roman" w:eastAsia="Times New Roman" w:hAnsi="Times New Roman"/>
        </w:rPr>
        <w:t xml:space="preserve">Приложение № 1 к Лицензионному договору № 1 от «___» __________ 20__ г.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Спецификация (коммерческие условия)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Тариф: «Максимум»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Объём документов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60 000 именных документов за период действия лицензии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Срок лицензии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месяцев с даты вступления договора в силу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Вознаграждение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149 000 ₽ за весь срок (НДС не начисляется — Лицензиар применяет УСН)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Порядок оплаты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предоплата в течение 10 рабочих дней с даты подписания договора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Пользователей Личного кабинета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 ограничения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входит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редактор макетов; генерация документов; рассылка с домена Лицензиара или собственного домена Лицензиата после его подключения; QR-верификация подлинности; интеграция с формой на сайте Лицензиата (Тильда); программный интерфейс (API); импорт протоколов соревнований; автоматическое распределение наград по занятым местам; приоритетная техническая поддержка</w:t>
            </w:r>
          </w:p>
        </w:tc>
      </w:tr>
    </w:tbl>
    <w:p>
      <w:pPr>
        <w:spacing w:after="160"/>
      </w:pP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Альтернативный порядок оплаты — заполнить, только если применяется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Если бюджетный цикл Лицензиата не позволяет годовую предоплату целиком, Стороны вправе согласовать поквартальную оплату равными долями с наценкой </w:t>
      </w:r>
      <w:r>
        <w:rPr>
          <w:rFonts w:ascii="Times New Roman" w:cs="Times New Roman" w:eastAsia="Times New Roman" w:hAnsi="Times New Roman"/>
          <w:b/>
          <w:bCs/>
        </w:rPr>
        <w:t xml:space="preserve">[15–20] %</w:t>
      </w:r>
      <w:r>
        <w:rPr>
          <w:rFonts w:ascii="Times New Roman" w:cs="Times New Roman" w:eastAsia="Times New Roman" w:hAnsi="Times New Roman"/>
        </w:rPr>
        <w:t xml:space="preserve"> к сумме настоящего Приложения. Итоговый размер наценки и график платежей вписываются здесь до подписания. Если этот вариант не применяется — раздел удаляется из подписываемого экземпляра.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1-й квартал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__________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 ₽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2-й квартал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__________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 ₽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3-й квартал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__________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 ₽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4-й квартал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__________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 ₽</w:t>
            </w:r>
          </w:p>
        </w:tc>
      </w:tr>
    </w:tbl>
    <w:p>
      <w:pPr>
        <w:spacing w:after="160"/>
      </w:pP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Превышение объёма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Если до истечения срока лицензии Лицензиат исчерпает 60 000 документов, выпуск новых документов приостанавливается: сервис не считает и не выставляет доплату за превышение автоматически. Условия допоставки объёма (докупка периода, переход на тариф Enterprise с индивидуальными условиями и SLA) согласовываются Сторонами отдельно и не считаются частью настоящего Приложения.</w:t>
      </w:r>
    </w:p>
    <w:p>
      <w:pPr>
        <w:pBdr>
          <w:bottom w:val="single" w:color="AAAAAA" w:sz="6" w:space="4"/>
        </w:pBdr>
        <w:spacing w:before="200" w:after="200"/>
      </w:pP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Подписи Сторон: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Лицензиар: _______________________ / Рязанцева Н. С. /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Лицензиат: _______________________ / {{ВФЛА_ФИО_ПОДПИСАНТА}} /</w:t>
      </w:r>
    </w:p>
    <w:p>
      <w:r>
        <w:br w:type="page"/>
      </w:r>
    </w:p>
    <w:p>
      <w:pPr>
        <w:pBdr>
          <w:top w:val="single" w:color="A6301A" w:sz="6" w:space="6"/>
          <w:bottom w:val="single" w:color="A6301A" w:sz="6" w:space="6"/>
          <w:left w:val="single" w:color="A6301A" w:sz="6" w:space="6"/>
          <w:right w:val="single" w:color="A6301A" w:sz="6" w:space="6"/>
        </w:pBdr>
        <w:shd w:fill="FBEAEA" w:val="clear"/>
        <w:spacing w:before="120" w:after="240"/>
      </w:pPr>
      <w:r>
        <w:rPr>
          <w:rFonts w:ascii="Times New Roman" w:cs="Times New Roman" w:eastAsia="Times New Roman" w:hAnsi="Times New Roman"/>
          <w:b/>
          <w:bCs/>
          <w:color w:val="A6301A"/>
          <w:sz w:val="22"/>
          <w:szCs w:val="22"/>
        </w:rPr>
        <w:t xml:space="preserve">ЧЕРНОВИК — требует проверки юриста до подписания</w:t>
      </w:r>
    </w:p>
    <w:p>
      <w:pPr>
        <w:pBdr>
          <w:left w:val="single" w:color="999999" w:sz="12" w:space="8"/>
        </w:pBdr>
        <w:spacing w:before="120" w:after="22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Юрист проверяет: полноту обязательных условий части 3 статьи 6 и статьи 18.1 152-ФЗ, распределение ответственности перед субъектом, список привлекаемых лиц и порядок уничтожения с подтверждением по требованиям Роскомнадзора. Адаптировано из `apps/web/src/legal/dpa.md` — существенные условия (сроки, перечень привлекаемых лиц, локализация) перенесены без ослабления.</w:t>
      </w:r>
    </w:p>
    <w:p>
      <w:pPr>
        <w:pStyle w:val="Heading1"/>
        <w:spacing w:before="200" w:after="240"/>
      </w:pPr>
      <w:r>
        <w:rPr>
          <w:rFonts w:ascii="Times New Roman" w:cs="Times New Roman" w:eastAsia="Times New Roman" w:hAnsi="Times New Roman"/>
        </w:rPr>
        <w:t xml:space="preserve">Приложение № 2 к Лицензионному договору № 1 от «___» __________ 20__ г.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Договор-поручение на обработку персональных данных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Настоящее Приложение является неотъемлемой частью Лицензионного договора № 1 от «___» __________ 20__ г. (далее — «Договор») между Индивидуальным предпринимателем Рязанцевой Натальей Сергеевной и {{ВФЛА_ПОЛНОЕ_НАИМЕНОВАНИЕ}}.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Оператор</w:t>
      </w:r>
      <w:r>
        <w:rPr>
          <w:rFonts w:ascii="Times New Roman" w:cs="Times New Roman" w:eastAsia="Times New Roman" w:hAnsi="Times New Roman"/>
        </w:rPr>
        <w:t xml:space="preserve"> — {{ВФЛА_ПОЛНОЕ_НАИМЕНОВАНИЕ}}, ИНН {{ВФЛА_ИНН}}, ОГРН {{ВФЛА_ОГРН}}, адрес: {{ВФЛА_АДРЕС}} — Лицензиат по Договору.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Обработчик</w:t>
      </w:r>
      <w:r>
        <w:rPr>
          <w:rFonts w:ascii="Times New Roman" w:cs="Times New Roman" w:eastAsia="Times New Roman" w:hAnsi="Times New Roman"/>
        </w:rPr>
        <w:t xml:space="preserve"> — Индивидуальный предприниматель Рязанцева Наталья Сергеевна, ИНН 740270417047, ОГРНИП 326745600068030, адрес: 456830, Челябинская область, Каслинский район, город Касли, улица Чехова, дом 14 — Лицензиар по Договору.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1. Кто есть кто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1.1. Оператор определяет цели и состав обрабатываемых персональных данных участников мероприятий, получает их согласия и является оператором в значении пункта 2 статьи 3 152-ФЗ.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1.2. Обработчик обрабатывает персональные данные участников исключительно по поручению Оператора на основании части 3 статьи 6 152-ФЗ, не определяет цели обработки и не использует эти данные в собственных целях, включая собственные рассылки, обучение моделей и передачу третьим лицам.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1.3. Обработчик не обязан получать согласие субъекта персональных данных. Обязанность получить согласие и доказать его наличие лежит на Операторе (часть 3 статьи 6 152-ФЗ).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1.4. Ответственность перед субъектом персональных данных за действия Обработчика несёт Оператор. Обработчик отвечает перед Оператором (часть 5 статьи 6 152-ФЗ).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1.5. В отношении данных самого Оператора — контактов сотрудников, сведений о платежах, учётных записей — Обработчик выступает самостоятельным оператором и отвечает за них сам.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2. Перечень персональных данных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Обработке подлежат данные, которые Оператор загружает или собирает через формы Программы: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Состав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Участники мероприятий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фамилия, имя, отчество; адрес электронной почты; при необходимости — телефон, организация или спортивный клуб, спортивный результат, занятое место, разряд, номинация, дисциплина, дата и место мероприятия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Оператора либо форма на сайте Оператора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Технические сведения при самостоятельном обращении участника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обращения в сеть, сведения о браузере, время обращения, факт и текст согласия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 на сайте Оператора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Сотрудники Оператора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фамилия, имя, адрес электронной почты, роль в Личном кабинете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Оператор</w:t>
            </w:r>
          </w:p>
        </w:tc>
      </w:tr>
    </w:tbl>
    <w:p>
      <w:pPr>
        <w:spacing w:after="160"/>
      </w:pP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Специальные категории персональных данных и биометрические персональные данные не обрабатываются. Загрузка таких данных запрещена пунктом 5.2 Договора.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3. Перечень действий и цели обработки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3.1. Обработчик совершает следующие действия: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 и уничтожение.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3.2. Обработка производится смешанным способом — с использованием средств автоматизации и без них.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3.3. Цели обработки: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1. формирование именных документов по макету и списку Оператора;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2. направление документов участникам по адресам электронной почты;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3. подтверждение подлинности выданного документа по публичной ссылке или коду, размещённому на документе;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4. ведение реестра выданных документов и журнала доставки писем;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5. подтверждение факта согласия участника, если оно собрано формой Программы.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3.4. Иные цели требуют отдельного письменного поручения Оператора.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4. Локализация и место обработки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4.1. Запись, систематизация, накопление, хранение, уточнение и извлечение персональных данных граждан Российской Федерации осуществляются с использованием баз данных, находящихся на территории Российской Федерации (часть 5 статьи 18 152-ФЗ в редакции Федерального закона от 21.07.2014 № 242-ФЗ).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4.2. Инфраструктура размещена в дата-центрах АО «Селектел» на территории Российской Федерации. Актуальное состояние размещения — Приложение № 3 к Договору.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4.3. Трансграничная передача персональных данных не осуществляется. Изменение этого условия возможно только по письменному соглашению Сторон и после уведомления Роскомнадзора Оператором.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5. Привлечение третьих лиц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5.1. Оператор даёт согласие на привлечение следующих лиц, каждое из которых находится в Российской Федерации и связано обязательством конфиденциальности: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Лицо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Какие данные видит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АО «Селектел»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размещение серверов, базы данных и резервных копий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 данные в зашифрованных хранилищах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Сервис рассылки DashaMail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доставка электронных писем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электронной почты и текст письма участнику</w:t>
            </w:r>
          </w:p>
        </w:tc>
      </w:tr>
    </w:tbl>
    <w:p>
      <w:pPr>
        <w:spacing w:after="160"/>
      </w:pP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5.2. Обработчик уведомляет Оператора об изменении этого перечня не позднее чем за 30 календарных дней до привлечения нового лица. Оператор вправе в этот срок отказаться от Договора без штрафа, если возражает.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5.3. За действия привлечённых лиц Обработчик отвечает перед Оператором как за свои собственные.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6. Меры безопасности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6.1. Обработчик обеспечивает выполнение обязанностей, предусмотренных статьями 18.1 и 19 152-ФЗ, и принимает меры, перечень которых опубликован в разделе 7 Политики обработки персональных данных (https://vruchay.ru/privacy), в том числе: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</w:rPr>
        <w:t xml:space="preserve">назначение лица, ответственного за организацию обработки персональных данных;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</w:rPr>
        <w:t xml:space="preserve">шифрование соединений при передаче и шифрование резервных копий до выгрузки в хранилище;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</w:rPr>
        <w:t xml:space="preserve">разграничение данных разных операторов на уровне приложения;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</w:rPr>
        <w:t xml:space="preserve">хранение паролей в виде необратимых хеш-сумм;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</w:rPr>
        <w:t xml:space="preserve">ограничение и учёт доступа сотрудников;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</w:rPr>
        <w:t xml:space="preserve">регистрацию действий с данными в журналах;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</w:rPr>
        <w:t xml:space="preserve">ограничение частоты обращений к публичным формам и подтверждение адреса электронной почты одноразовым кодом.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6.2. По письменному запросу Оператора Обработчик в течение 10 рабочих дней предоставляет документы и сведения, подтверждающие принятые меры (пункт 4 части 3 статьи 6 152-ФЗ), включая сведения по Приложению № 3 к Договору.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6.3. Обработчик обязуется соблюдать конфиденциальность персональных данных и обеспечивать их безопасность при обработке.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7. Действия при инциденте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7.1. При обнаружении неправомерного или случайного доступа, уничтожения, изменения, блокирования, копирования, предоставления или распространения персональных данных Обработчик уведомляет Оператора не позднее 6 часов с момента обнаружения.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7.2. В уведомлении указываются: время и обстоятельства обнаружения, предполагаемые причины, категории и объём затронутых данных, принятые меры.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7.3. Уведомление Роскомнадзора в сроки, установленные частью 3.1 статьи 21 152-ФЗ — 24 часа о факте инцидента и 72 часа о результатах внутреннего расследования, — подаёт Оператор. Обработчик передаёт сведения, необходимые для такого уведомления, и содействует расследованию.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8. Права субъектов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8.1. Обращения субъектов персональных данных рассматривает Оператор.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8.2. Если участник обратился напрямую к Обработчику, Обработчик в течение 3 рабочих дней перенаправляет обращение Оператору и уведомляет об этом участника, самостоятельно решений по обращению не принимая.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8.3. По указанию Оператора Обработчик в течение 10 рабочих дней уточняет, блокирует или уничтожает данные конкретного участника, включая отзыв ранее выданного документа.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9. Срок, прекращение, уничтожение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9.1. Настоящее Приложение действует в течение срока действия Договора.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9.2. После прекращения Договора обработка прекращается немедленно, а персональные данные участников уничтожаются в течение 30 дней, включая резервные копии. По письменному требованию Оператора — в течение 10 рабочих дней.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9.3. До уничтожения Оператор вправе выгрузить данные и созданные документы из Личного кабинета.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9.4. По требованию Оператора Обработчик оформляет акт об уничтожении персональных данных с указанием перечня уничтоженных данных, даты, способа и лиц, участвовавших в уничтожении, и выгрузку из журнала действий с данными.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10. Ответственность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10.1. Обработчик возмещает Оператору документально подтверждённые убытки, причинённые нарушением настоящего Приложения, в пределах, установленных пунктом 6.2 Договора.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10.2. Ограничение ответственности не применяется к нарушению условий о локализации (раздел 4), о конфиденциальности (пункт 6.3) и об использовании данных в собственных целях (пункт 1.2).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10.3. Оператор возмещает Обработчику убытки, вызванные загрузкой данных без согласия участников либо загрузкой данных, запрещённых пунктом 5.2 Договора.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11. Реквизиты и подписи сторон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Обработчик: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Индивидуальный предприниматель Рязанцева Наталья Сергеевна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ИНН 740270417047 · ОГРНИП 326745600068030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Адрес: 456830, Челябинская область, Каслинский район, город Касли, улица Чехова, дом 14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Подпись: _______________________ / Рязанцева Н. С. /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Оператор: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{{ВФЛА_ПОЛНОЕ_НАИМЕНОВАНИЕ}}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ИНН {{ВФЛА_ИНН}} · ОГРН {{ВФЛА_ОГРН}}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</w:rPr>
        <w:t xml:space="preserve">Адрес: {{ВФЛА_АДРЕС}}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Подпись: _______________________ / {{ВФЛА_ФИО_ПОДПИСАНТА}} /</w:t>
      </w:r>
    </w:p>
    <w:p>
      <w:r>
        <w:br w:type="page"/>
      </w:r>
    </w:p>
    <w:p>
      <w:pPr>
        <w:pBdr>
          <w:top w:val="single" w:color="A6301A" w:sz="6" w:space="6"/>
          <w:bottom w:val="single" w:color="A6301A" w:sz="6" w:space="6"/>
          <w:left w:val="single" w:color="A6301A" w:sz="6" w:space="6"/>
          <w:right w:val="single" w:color="A6301A" w:sz="6" w:space="6"/>
        </w:pBdr>
        <w:shd w:fill="FBEAEA" w:val="clear"/>
        <w:spacing w:before="120" w:after="240"/>
      </w:pPr>
      <w:r>
        <w:rPr>
          <w:rFonts w:ascii="Times New Roman" w:cs="Times New Roman" w:eastAsia="Times New Roman" w:hAnsi="Times New Roman"/>
          <w:b/>
          <w:bCs/>
          <w:color w:val="A6301A"/>
          <w:sz w:val="22"/>
          <w:szCs w:val="22"/>
        </w:rPr>
        <w:t xml:space="preserve">ЧЕРНОВИК. Проверить фактический статус переноса хранилища перед подписанием — ниже он описан как незавершённый по состоянию на данные из `docs/business/требование-вфла-аттестация.md`. Актуализировать дату и статус.</w:t>
      </w:r>
    </w:p>
    <w:p>
      <w:pPr>
        <w:pStyle w:val="Heading1"/>
        <w:spacing w:before="200" w:after="240"/>
      </w:pPr>
      <w:r>
        <w:rPr>
          <w:rFonts w:ascii="Times New Roman" w:cs="Times New Roman" w:eastAsia="Times New Roman" w:hAnsi="Times New Roman"/>
        </w:rPr>
        <w:t xml:space="preserve">Приложение № 3 к Лицензионному договору № 1 от «___» __________ 20__ г.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Сведения о защищённости инфраструктуры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Дата подготовки настоящего Приложения: {{ДАТА}}.</w:t>
      </w: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Уровень защищённости, требуемый для этой обработки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Категория обрабатываемых персональных данных участников мероприятий — иные (ФИО, адрес электронной почты, сведения о награде), без специальных категорий и без биометрии. Субъекты не являются сотрудниками оператора. По совокупности признаков, установленных постановлением Правительства РФ от 01.11.2012 № 1119, для этого случая определён 4-й уровень защищённости (УЗ-4) — самый низкий из предусмотренных постановлением.</w:t>
      </w: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Где размещена инфраструктура сегодня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30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Сервер (база данных, очередь заданий, журналы)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Зона `gis-2a`, Санкт-Петербург, аттестованная облачная платформа АО «Селектел»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Перенесён 05.08.2026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Объектное хранилище (готовые документы с именами получателей, резервные копии)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Зона `ru-1`, Санкт-Петербург, АО «Селектел»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Перенос в аттестованную зону в процессе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Почтовая рассылка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DashaMail (dashamail.ru), серверы на территории РФ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 изменений</w:t>
            </w:r>
          </w:p>
        </w:tc>
      </w:tr>
    </w:tbl>
    <w:p>
      <w:pPr>
        <w:spacing w:after="160"/>
      </w:pP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Оба компонента физически находятся на территории Российской Федерации. Трансграничная передача персональных данных не осуществляется ни сейчас, ни после завершения переноса.</w:t>
      </w: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Аттестация: что подтверждено, а что — в процессе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АО «Селектел» имеет действующий аттестат соответствия № Л024-00107-00/00580503.00225.2026 от 24.06.2026 (орган по аттестации — ООО «НАЦ») на объект «Аттестованная облачная платформа АО "Селектел"», покрывающий информационные системы персональных данных до 1-го уровня защищённости (УЗ-1) по приказу ФСТЭК России от 11.04.2025 № 117 (действующая замена приказа ФСТЭК России от 2013 года № 17) — с четырёхкратным запасом относительно требуемого для настоящего договора УЗ-4.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Этот аттестат покрывает ресурсы, физически размещённые в аттестованной зоне платформы.</w:t>
      </w:r>
      <w:r>
        <w:rPr>
          <w:rFonts w:ascii="Times New Roman" w:cs="Times New Roman" w:eastAsia="Times New Roman" w:hAnsi="Times New Roman"/>
        </w:rPr>
        <w:t xml:space="preserve"> На сегодня в неё перенесён сервер, но не объектное хранилище. Поэтому Лицензиар </w:t>
      </w:r>
      <w:r>
        <w:rPr>
          <w:rFonts w:ascii="Times New Roman" w:cs="Times New Roman" w:eastAsia="Times New Roman" w:hAnsi="Times New Roman"/>
          <w:b/>
          <w:bCs/>
        </w:rPr>
        <w:t xml:space="preserve">не заявляет</w:t>
      </w:r>
      <w:r>
        <w:rPr>
          <w:rFonts w:ascii="Times New Roman" w:cs="Times New Roman" w:eastAsia="Times New Roman" w:hAnsi="Times New Roman"/>
        </w:rPr>
        <w:t xml:space="preserve">, что вся инфраструктура, задействованная в обработке данных участников Лицензиата, аттестована — такое заявление было бы неточным до завершения переноса хранилища.</w:t>
      </w: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Что будет предоставлено по завершении переноса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После завершения переноса объектного хранилища в аттестованную зону Лицензиар предоставляет Лицензиату: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1. копию аттестата соответствия АО «Селектел»;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2. выписку от АО «Селектел», подтверждающую размещение ресурсов конкретно аккаунта Лицензиара в аттестованной зоне — такой документ АО «Селектел» выпускает только после фактического размещения, получить его раньше нельзя технически, а не по нежеланию сторон.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Срок завершения переноса согласуется Сторонами отдельно и не привязан к дате подписания настоящего договора.</w:t>
      </w: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Меры защиты, действующие уже сейчас, независимо от статуса аттестации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Перечислены в Приложении № 2 (Договор-поручение на обработку персональных данных), раздел 6: назначение ответственного за организацию обработки персональных данных; шифрование соединений и резервных копий; разграничение данных разных заказчиков на уровне приложения; хранение паролей в виде необратимых хеш-сумм; ограничение и учёт доступа сотрудников; регистрация действий с данными в журналах; ограничение частоты обращений к публичным формам с подтверждением адреса электронной почты одноразовым кодом.</w:t>
      </w:r>
    </w:p>
    <w:p>
      <w:pPr>
        <w:pStyle w:val="Heading3"/>
        <w:spacing w:before="220" w:after="100"/>
      </w:pPr>
      <w:r>
        <w:rPr>
          <w:rFonts w:ascii="Times New Roman" w:cs="Times New Roman" w:eastAsia="Times New Roman" w:hAnsi="Times New Roman"/>
        </w:rPr>
        <w:t xml:space="preserve">Обязательность аттестации по закону — для полноты картины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Аттестация информационной системы персональных данных обязательна по закону только для государственных информационных систем. Для остальных операторов часть 6 статьи 19 152-ФЗ требует оценки эффективности принятых мер, не предписывая аттестацию как единственную форму такой оценки. Формулировка в настоящем Приложении дана не потому, что закон её требует, а потому что она была запрошена Лицензиатом как часть его закупочной процедуры.</w:t>
      </w:r>
    </w:p>
    <w:p>
      <w:pPr>
        <w:pBdr>
          <w:bottom w:val="single" w:color="AAAAAA" w:sz="6" w:space="4"/>
        </w:pBdr>
        <w:spacing w:before="200" w:after="200"/>
      </w:pP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Подписи Сторон: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Лицензиар: _______________________ / Рязанцева Н. С. /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Лицензиат: _______________________ / {{ВФЛА_ФИО_ПОДПИСАНТА}} /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4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2026-09-11T07:08:28.889Z</dcterms:created>
  <dcterms:modified xsi:type="dcterms:W3CDTF">2026-09-11T07:08:28.890Z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