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Dancing Fish Granola Co.</w:t>
      </w:r>
    </w:p>
    <w:p>
      <w:pPr>
        <w:pStyle w:val="Title"/>
      </w:pPr>
      <w:r>
        <w:t>US Label and Artwork Rulebook</w:t>
      </w:r>
    </w:p>
    <w:tbl>
      <w:tblPr>
        <w:tblStyle w:val="LightList"/>
        <w:tblW w:type="auto" w:w="0"/>
        <w:tblLook w:firstColumn="1" w:firstRow="1" w:lastColumn="0" w:lastRow="0" w:noHBand="0" w:noVBand="1" w:val="04A0"/>
      </w:tblPr>
      <w:tblGrid>
        <w:gridCol w:w="4320"/>
        <w:gridCol w:w="4320"/>
      </w:tblGrid>
      <w:tr>
        <w:tc>
          <w:tcPr>
            <w:tcW w:type="dxa" w:w="4320"/>
          </w:tcPr>
          <w:p>
            <w:r>
              <w:t>Document</w:t>
            </w:r>
          </w:p>
        </w:tc>
        <w:tc>
          <w:tcPr>
            <w:tcW w:type="dxa" w:w="4320"/>
          </w:tcPr>
          <w:p>
            <w:r>
              <w:t>DF-QA-LBL-003</w:t>
            </w:r>
          </w:p>
        </w:tc>
      </w:tr>
      <w:tr>
        <w:tc>
          <w:tcPr>
            <w:tcW w:type="dxa" w:w="4320"/>
          </w:tcPr>
          <w:p>
            <w:r>
              <w:t>Version</w:t>
            </w:r>
          </w:p>
        </w:tc>
        <w:tc>
          <w:tcPr>
            <w:tcW w:type="dxa" w:w="4320"/>
          </w:tcPr>
          <w:p>
            <w:r>
              <w:t>3.2</w:t>
            </w:r>
          </w:p>
        </w:tc>
      </w:tr>
      <w:tr>
        <w:tc>
          <w:tcPr>
            <w:tcW w:type="dxa" w:w="4320"/>
          </w:tcPr>
          <w:p>
            <w:r>
              <w:t>Effective</w:t>
            </w:r>
          </w:p>
        </w:tc>
        <w:tc>
          <w:tcPr>
            <w:tcW w:type="dxa" w:w="4320"/>
          </w:tcPr>
          <w:p>
            <w:r>
              <w:t>1 September 2026</w:t>
            </w:r>
          </w:p>
        </w:tc>
      </w:tr>
      <w:tr>
        <w:tc>
          <w:tcPr>
            <w:tcW w:type="dxa" w:w="4320"/>
          </w:tcPr>
          <w:p>
            <w:r>
              <w:t>Owner</w:t>
            </w:r>
          </w:p>
        </w:tc>
        <w:tc>
          <w:tcPr>
            <w:tcW w:type="dxa" w:w="4320"/>
          </w:tcPr>
          <w:p>
            <w:r>
              <w:t>Regulatory and Quality</w:t>
            </w:r>
          </w:p>
        </w:tc>
      </w:tr>
      <w:tr>
        <w:tc>
          <w:tcPr>
            <w:tcW w:type="dxa" w:w="4320"/>
          </w:tcPr>
          <w:p>
            <w:r>
              <w:t>Approved by</w:t>
            </w:r>
          </w:p>
        </w:tc>
        <w:tc>
          <w:tcPr>
            <w:tcW w:type="dxa" w:w="4320"/>
          </w:tcPr>
          <w:p>
            <w:r>
              <w:t>Head of Regulatory Affairs</w:t>
            </w:r>
          </w:p>
        </w:tc>
      </w:tr>
    </w:tbl>
    <w:p>
      <w:r>
        <w:t>This rulebook explains how Dancing Fish reads the US labelling regulations for retail packs, and adds our own house rules on top. Artwork must pass every rule marked In force before it is released to print. Where our rule is stricter than the law, our rule applies.</w:t>
      </w:r>
    </w:p>
    <w:p>
      <w:r>
        <w:t>Each rule has an ID, a status, the rule itself, and a short note on why it exists. A rule marked Proposed is guidance only and must not block a release.</w:t>
      </w:r>
    </w:p>
    <w:p>
      <w:pPr>
        <w:pStyle w:val="Heading1"/>
      </w:pPr>
      <w:r>
        <w:t>Definitions</w:t>
      </w:r>
    </w:p>
    <w:p>
      <w:pPr>
        <w:pStyle w:val="ListBullet"/>
      </w:pPr>
      <w:r>
        <w:rPr>
          <w:b/>
        </w:rPr>
        <w:t xml:space="preserve">Front panel: </w:t>
      </w:r>
      <w:r>
        <w:t>The principal display panel, the panel a shopper sees first on the shelf.</w:t>
      </w:r>
    </w:p>
    <w:p>
      <w:pPr>
        <w:pStyle w:val="ListBullet"/>
      </w:pPr>
      <w:r>
        <w:rPr>
          <w:b/>
        </w:rPr>
        <w:t xml:space="preserve">Mandatory text: </w:t>
      </w:r>
      <w:r>
        <w:t>The statement of identity, net quantity, ingredient list, allergen statement, name and place of business, storage instructions and the Nutrition Facts panel.</w:t>
      </w:r>
    </w:p>
    <w:p>
      <w:pPr>
        <w:pStyle w:val="ListBullet"/>
      </w:pPr>
      <w:r>
        <w:rPr>
          <w:b/>
        </w:rPr>
        <w:t xml:space="preserve">Content sheet: </w:t>
      </w:r>
      <w:r>
        <w:t>The approved product information for the SKU, kept by Regulatory. Artwork copy comes from it.</w:t>
      </w:r>
    </w:p>
    <w:p>
      <w:pPr>
        <w:pStyle w:val="ListBullet"/>
      </w:pPr>
      <w:r>
        <w:rPr>
          <w:b/>
        </w:rPr>
        <w:t xml:space="preserve">Release blocker: </w:t>
      </w:r>
      <w:r>
        <w:t>A rule failure that stops the artwork going to print until it is fixed.</w:t>
      </w:r>
    </w:p>
    <w:p>
      <w:pPr>
        <w:pStyle w:val="ListBullet"/>
      </w:pPr>
      <w:r>
        <w:rPr>
          <w:b/>
        </w:rPr>
        <w:t xml:space="preserve">Needs review: </w:t>
      </w:r>
      <w:r>
        <w:t>A rule that needs evidence the artwork cannot show, such as a certificate or a test report. A named person decides and the decision is recorded.</w:t>
      </w:r>
    </w:p>
    <w:p>
      <w:pPr>
        <w:pStyle w:val="Heading1"/>
      </w:pPr>
      <w:r>
        <w:t>1. Approved information</w:t>
      </w:r>
    </w:p>
    <w:p>
      <w:pPr>
        <w:pStyle w:val="Heading2"/>
      </w:pPr>
      <w:r>
        <w:t>DF-01 Approved content sheet</w:t>
      </w:r>
    </w:p>
    <w:p>
      <w:r>
        <w:rPr>
          <w:b/>
        </w:rPr>
        <w:t xml:space="preserve">Status: </w:t>
      </w:r>
      <w:r>
        <w:t>In force</w:t>
      </w:r>
    </w:p>
    <w:p>
      <w:r>
        <w:rPr>
          <w:b/>
        </w:rPr>
        <w:t xml:space="preserve">Rule: </w:t>
      </w:r>
      <w:r>
        <w:t>Artwork may only be signed off against a content sheet whose status is Approved. If the content sheet is still Draft or In Review, Regulatory must confirm the sheet before the artwork can be released.</w:t>
      </w:r>
    </w:p>
    <w:p>
      <w:r>
        <w:rPr>
          <w:b/>
          <w:color w:val="555555"/>
        </w:rPr>
        <w:t xml:space="preserve">Why: </w:t>
      </w:r>
      <w:r>
        <w:rPr>
          <w:color w:val="555555"/>
        </w:rPr>
        <w:t>Copy checked against an unapproved sheet can be wrong in a way no check will catch.</w:t>
      </w:r>
    </w:p>
    <w:p>
      <w:pPr>
        <w:pStyle w:val="Heading2"/>
      </w:pPr>
      <w:r>
        <w:t>DF-02 Copy matches the content sheet</w:t>
      </w:r>
    </w:p>
    <w:p>
      <w:r>
        <w:rPr>
          <w:b/>
        </w:rPr>
        <w:t xml:space="preserve">Status: </w:t>
      </w:r>
      <w:r>
        <w:t>In force</w:t>
      </w:r>
    </w:p>
    <w:p>
      <w:r>
        <w:rPr>
          <w:b/>
        </w:rPr>
        <w:t xml:space="preserve">Rule: </w:t>
      </w:r>
      <w:r>
        <w:t>All copy on the artwork must match the approved content sheet word for word, including ingredient order, ingredient percentages, allergen wording, claims and every nutrition value. Any difference is a release blocker until the artwork or the content sheet is corrected.</w:t>
      </w:r>
    </w:p>
    <w:p>
      <w:r>
        <w:rPr>
          <w:b/>
          <w:color w:val="555555"/>
        </w:rPr>
        <w:t xml:space="preserve">Why: </w:t>
      </w:r>
      <w:r>
        <w:rPr>
          <w:color w:val="555555"/>
        </w:rPr>
        <w:t>The content sheet is the single source of truth. A silent difference means one of the two is wrong.</w:t>
      </w:r>
    </w:p>
    <w:p>
      <w:pPr>
        <w:pStyle w:val="Heading1"/>
      </w:pPr>
      <w:r>
        <w:t>2. Front panel</w:t>
      </w:r>
    </w:p>
    <w:p>
      <w:pPr>
        <w:pStyle w:val="Heading2"/>
      </w:pPr>
      <w:r>
        <w:t>DF-03 Statement of identity</w:t>
      </w:r>
    </w:p>
    <w:p>
      <w:r>
        <w:rPr>
          <w:b/>
        </w:rPr>
        <w:t xml:space="preserve">Status: </w:t>
      </w:r>
      <w:r>
        <w:t>In force</w:t>
      </w:r>
    </w:p>
    <w:p>
      <w:r>
        <w:rPr>
          <w:b/>
        </w:rPr>
        <w:t xml:space="preserve">Rule: </w:t>
      </w:r>
      <w:r>
        <w:t>The common name of the food must appear on the front panel and must be the largest text on that panel.</w:t>
      </w:r>
    </w:p>
    <w:p>
      <w:r>
        <w:rPr>
          <w:b/>
          <w:color w:val="555555"/>
        </w:rPr>
        <w:t xml:space="preserve">Why: </w:t>
      </w:r>
      <w:r>
        <w:rPr>
          <w:color w:val="555555"/>
        </w:rPr>
        <w:t>Our reading of 21 CFR 101.3, which asks for the identity to be a principal feature of the front panel.</w:t>
      </w:r>
    </w:p>
    <w:p>
      <w:pPr>
        <w:pStyle w:val="Heading2"/>
      </w:pPr>
      <w:r>
        <w:t>DF-04 Net quantity</w:t>
      </w:r>
    </w:p>
    <w:p>
      <w:r>
        <w:rPr>
          <w:b/>
        </w:rPr>
        <w:t xml:space="preserve">Status: </w:t>
      </w:r>
      <w:r>
        <w:t>In force</w:t>
      </w:r>
    </w:p>
    <w:p>
      <w:r>
        <w:rPr>
          <w:b/>
        </w:rPr>
        <w:t xml:space="preserve">Rule: </w:t>
      </w:r>
      <w:r>
        <w:t>The net quantity must appear on the front panel, in the bottom 30% of the panel, in both metric and US units, written as "NET WT 480 g (16.9 oz)" with a space between each number and its unit.</w:t>
      </w:r>
    </w:p>
    <w:p>
      <w:r>
        <w:rPr>
          <w:b/>
          <w:color w:val="555555"/>
        </w:rPr>
        <w:t xml:space="preserve">Why: </w:t>
      </w:r>
      <w:r>
        <w:rPr>
          <w:color w:val="555555"/>
        </w:rPr>
        <w:t>21 CFR 101.7 requires the net quantity on the principal display panel in both systems. The wording and the spacing are our house style.</w:t>
      </w:r>
    </w:p>
    <w:p>
      <w:pPr>
        <w:pStyle w:val="Heading1"/>
      </w:pPr>
      <w:r>
        <w:t>3. Back and side panels</w:t>
      </w:r>
    </w:p>
    <w:p>
      <w:pPr>
        <w:pStyle w:val="Heading2"/>
      </w:pPr>
      <w:r>
        <w:t>DF-05 Name and place of business</w:t>
      </w:r>
    </w:p>
    <w:p>
      <w:r>
        <w:rPr>
          <w:b/>
        </w:rPr>
        <w:t xml:space="preserve">Status: </w:t>
      </w:r>
      <w:r>
        <w:t>In force</w:t>
      </w:r>
    </w:p>
    <w:p>
      <w:r>
        <w:rPr>
          <w:b/>
        </w:rPr>
        <w:t xml:space="preserve">Rule: </w:t>
      </w:r>
      <w:r>
        <w:t>The back panel must state the manufacturer, packer or distributor, introduced by "Manufactured by", "Packed by" or "Distributed by", followed by the street address, city, state and ZIP code.</w:t>
      </w:r>
    </w:p>
    <w:p>
      <w:r>
        <w:rPr>
          <w:b/>
          <w:color w:val="555555"/>
        </w:rPr>
        <w:t xml:space="preserve">Why: </w:t>
      </w:r>
      <w:r>
        <w:rPr>
          <w:color w:val="555555"/>
        </w:rPr>
        <w:t>21 CFR 101.5 allows the street address to be left out in some cases. We always print it, so customers and inspectors can reach us.</w:t>
      </w:r>
    </w:p>
    <w:p>
      <w:pPr>
        <w:pStyle w:val="Heading2"/>
      </w:pPr>
      <w:r>
        <w:t>DF-06 Consumer care line</w:t>
      </w:r>
    </w:p>
    <w:p>
      <w:r>
        <w:rPr>
          <w:b/>
        </w:rPr>
        <w:t xml:space="preserve">Status: </w:t>
      </w:r>
      <w:r>
        <w:t>In force</w:t>
      </w:r>
    </w:p>
    <w:p>
      <w:r>
        <w:rPr>
          <w:b/>
        </w:rPr>
        <w:t xml:space="preserve">Rule: </w:t>
      </w:r>
      <w:r>
        <w:t>Every pack must carry a consumer care line on the back or a side panel: a US phone number or a website address.</w:t>
      </w:r>
    </w:p>
    <w:p>
      <w:r>
        <w:rPr>
          <w:b/>
          <w:color w:val="555555"/>
        </w:rPr>
        <w:t xml:space="preserve">Why: </w:t>
      </w:r>
      <w:r>
        <w:rPr>
          <w:color w:val="555555"/>
        </w:rPr>
        <w:t>House rule. Complaints and allergy questions must reach us directly.</w:t>
      </w:r>
    </w:p>
    <w:p>
      <w:pPr>
        <w:pStyle w:val="Heading2"/>
      </w:pPr>
      <w:r>
        <w:t>DF-07 Storage instructions</w:t>
      </w:r>
    </w:p>
    <w:p>
      <w:r>
        <w:rPr>
          <w:b/>
        </w:rPr>
        <w:t xml:space="preserve">Status: </w:t>
      </w:r>
      <w:r>
        <w:t>In force</w:t>
      </w:r>
    </w:p>
    <w:p>
      <w:r>
        <w:rPr>
          <w:b/>
        </w:rPr>
        <w:t xml:space="preserve">Rule: </w:t>
      </w:r>
      <w:r>
        <w:t>Storage instructions must appear on the back panel.</w:t>
      </w:r>
    </w:p>
    <w:p>
      <w:r>
        <w:rPr>
          <w:b/>
          <w:color w:val="555555"/>
        </w:rPr>
        <w:t xml:space="preserve">Why: </w:t>
      </w:r>
      <w:r>
        <w:rPr>
          <w:color w:val="555555"/>
        </w:rPr>
        <w:t>Granola goes stale and soft when it is not stored dry. The instruction protects quality claims.</w:t>
      </w:r>
    </w:p>
    <w:p>
      <w:pPr>
        <w:pStyle w:val="Heading2"/>
      </w:pPr>
      <w:r>
        <w:t>DF-08 Date and lot code area</w:t>
      </w:r>
    </w:p>
    <w:p>
      <w:r>
        <w:rPr>
          <w:b/>
        </w:rPr>
        <w:t xml:space="preserve">Status: </w:t>
      </w:r>
      <w:r>
        <w:t>In force</w:t>
      </w:r>
    </w:p>
    <w:p>
      <w:r>
        <w:rPr>
          <w:b/>
        </w:rPr>
        <w:t xml:space="preserve">Rule: </w:t>
      </w:r>
      <w:r>
        <w:t>When the copy sends the shopper to the base of the pack for the best-before date, the base panel must keep a clear, unprinted area of at least 40 mm by 15 mm for the date and lot code.</w:t>
      </w:r>
    </w:p>
    <w:p>
      <w:r>
        <w:rPr>
          <w:b/>
          <w:color w:val="555555"/>
        </w:rPr>
        <w:t xml:space="preserve">Why: </w:t>
      </w:r>
      <w:r>
        <w:rPr>
          <w:color w:val="555555"/>
        </w:rPr>
        <w:t>The date and lot code are printed on the line. Artwork under the coder makes them unreadable.</w:t>
      </w:r>
    </w:p>
    <w:p>
      <w:pPr>
        <w:pStyle w:val="Heading2"/>
      </w:pPr>
      <w:r>
        <w:t>DF-09 Nutrition Facts panel</w:t>
      </w:r>
    </w:p>
    <w:p>
      <w:r>
        <w:rPr>
          <w:b/>
        </w:rPr>
        <w:t xml:space="preserve">Status: </w:t>
      </w:r>
      <w:r>
        <w:t>In force</w:t>
      </w:r>
    </w:p>
    <w:p>
      <w:r>
        <w:rPr>
          <w:b/>
        </w:rPr>
        <w:t xml:space="preserve">Rule: </w:t>
      </w:r>
      <w:r>
        <w:t>The Nutrition Facts panel must sit on the back or a side panel, carry the title "Nutrition Facts", and end with the % Daily Value footnote.</w:t>
      </w:r>
    </w:p>
    <w:p>
      <w:r>
        <w:rPr>
          <w:b/>
          <w:color w:val="555555"/>
        </w:rPr>
        <w:t xml:space="preserve">Why: </w:t>
      </w:r>
      <w:r>
        <w:rPr>
          <w:color w:val="555555"/>
        </w:rPr>
        <w:t>Our reading of 21 CFR 101.9 for a carton of this size.</w:t>
      </w:r>
    </w:p>
    <w:p>
      <w:pPr>
        <w:pStyle w:val="Heading2"/>
      </w:pPr>
      <w:r>
        <w:t>DF-10 Daily values and calories</w:t>
      </w:r>
    </w:p>
    <w:p>
      <w:r>
        <w:rPr>
          <w:b/>
        </w:rPr>
        <w:t xml:space="preserve">Status: </w:t>
      </w:r>
      <w:r>
        <w:t>In force</w:t>
      </w:r>
    </w:p>
    <w:p>
      <w:r>
        <w:rPr>
          <w:b/>
        </w:rPr>
        <w:t xml:space="preserve">Rule: </w:t>
      </w:r>
      <w:r>
        <w:t>Every % Daily Value must be calculated from the declared amount per serving and the FDA daily value for that nutrient, and calories must agree with the declared fat, carbohydrate and protein.</w:t>
      </w:r>
    </w:p>
    <w:p>
      <w:r>
        <w:rPr>
          <w:b/>
          <w:color w:val="555555"/>
        </w:rPr>
        <w:t xml:space="preserve">Why: </w:t>
      </w:r>
      <w:r>
        <w:rPr>
          <w:color w:val="555555"/>
        </w:rPr>
        <w:t>21 CFR 101.9 sets the daily values and the rounding rules. A wrong percentage is a labelling error even when the gram amount is right.</w:t>
      </w:r>
    </w:p>
    <w:p>
      <w:pPr>
        <w:pStyle w:val="Heading2"/>
      </w:pPr>
      <w:r>
        <w:t>DF-11 US English and US formats</w:t>
      </w:r>
    </w:p>
    <w:p>
      <w:r>
        <w:rPr>
          <w:b/>
        </w:rPr>
        <w:t xml:space="preserve">Status: </w:t>
      </w:r>
      <w:r>
        <w:t>In force</w:t>
      </w:r>
    </w:p>
    <w:p>
      <w:r>
        <w:rPr>
          <w:b/>
        </w:rPr>
        <w:t xml:space="preserve">Rule: </w:t>
      </w:r>
      <w:r>
        <w:t>US packs use US English and US formats only: no EU nutrition tables, no kilojoule energy values, no Reference Intake icons and no UK spellings such as "Fibre" or "Flavouring".</w:t>
      </w:r>
    </w:p>
    <w:p>
      <w:r>
        <w:rPr>
          <w:b/>
          <w:color w:val="555555"/>
        </w:rPr>
        <w:t xml:space="preserve">Why: </w:t>
      </w:r>
      <w:r>
        <w:rPr>
          <w:color w:val="555555"/>
        </w:rPr>
        <w:t>Artwork adapted from a European pack often keeps European elements that confuse US shoppers.</w:t>
      </w:r>
    </w:p>
    <w:p>
      <w:pPr>
        <w:pStyle w:val="Heading1"/>
      </w:pPr>
      <w:r>
        <w:t>4. Ingredients and allergens</w:t>
      </w:r>
    </w:p>
    <w:p>
      <w:pPr>
        <w:pStyle w:val="Heading2"/>
      </w:pPr>
      <w:r>
        <w:t>DF-12 Allergen statement</w:t>
      </w:r>
    </w:p>
    <w:p>
      <w:r>
        <w:rPr>
          <w:b/>
        </w:rPr>
        <w:t xml:space="preserve">Status: </w:t>
      </w:r>
      <w:r>
        <w:t>In force</w:t>
      </w:r>
    </w:p>
    <w:p>
      <w:r>
        <w:rPr>
          <w:b/>
        </w:rPr>
        <w:t xml:space="preserve">Rule: </w:t>
      </w:r>
      <w:r>
        <w:t>Major food allergens that are ingredients must be declared in a "Contains:" statement placed directly after the ingredient list. "May contain" wording is only for cross-contact and must never name an allergen that is an ingredient in the recipe.</w:t>
      </w:r>
    </w:p>
    <w:p>
      <w:r>
        <w:rPr>
          <w:b/>
          <w:color w:val="555555"/>
        </w:rPr>
        <w:t xml:space="preserve">Why: </w:t>
      </w:r>
      <w:r>
        <w:rPr>
          <w:color w:val="555555"/>
        </w:rPr>
        <w:t>Section 403(w) of the FD&amp;C Act (the Food Allergen Labeling and Consumer Protection Act), with sesame added by the FASTER Act. A "may contain" warning for a real ingredient understates the risk.</w:t>
      </w:r>
    </w:p>
    <w:p>
      <w:pPr>
        <w:pStyle w:val="Heading1"/>
      </w:pPr>
      <w:r>
        <w:t>5. Claims</w:t>
      </w:r>
    </w:p>
    <w:p>
      <w:pPr>
        <w:pStyle w:val="Heading2"/>
      </w:pPr>
      <w:r>
        <w:t>DF-13 Sugar claims</w:t>
      </w:r>
    </w:p>
    <w:p>
      <w:r>
        <w:rPr>
          <w:b/>
        </w:rPr>
        <w:t xml:space="preserve">Status: </w:t>
      </w:r>
      <w:r>
        <w:t>In force</w:t>
      </w:r>
    </w:p>
    <w:p>
      <w:r>
        <w:rPr>
          <w:b/>
        </w:rPr>
        <w:t xml:space="preserve">Rule: </w:t>
      </w:r>
      <w:r>
        <w:t>"No Added Sugar", "No Sugar Added" and "Without Added Sugar" may only be used when no sugar or sugar-containing ingredient is added. Honey, coconut sugar, cane sugar, syrups and fruit juice concentrates all count as added sugars.</w:t>
      </w:r>
    </w:p>
    <w:p>
      <w:r>
        <w:rPr>
          <w:b/>
          <w:color w:val="555555"/>
        </w:rPr>
        <w:t xml:space="preserve">Why: </w:t>
      </w:r>
      <w:r>
        <w:rPr>
          <w:color w:val="555555"/>
        </w:rPr>
        <w:t>Our reading of 21 CFR 101.60(c)(2).</w:t>
      </w:r>
    </w:p>
    <w:p>
      <w:pPr>
        <w:pStyle w:val="Heading2"/>
      </w:pPr>
      <w:r>
        <w:t>DF-14 Vegan and vegetarian</w:t>
      </w:r>
    </w:p>
    <w:p>
      <w:r>
        <w:rPr>
          <w:b/>
        </w:rPr>
        <w:t xml:space="preserve">Status: </w:t>
      </w:r>
      <w:r>
        <w:t>In force</w:t>
      </w:r>
    </w:p>
    <w:p>
      <w:r>
        <w:rPr>
          <w:b/>
        </w:rPr>
        <w:t xml:space="preserve">Rule: </w:t>
      </w:r>
      <w:r>
        <w:t>"Vegan" may only be used when the recipe contains no animal-derived ingredient and the Certified Vegan certificate is on file. Honey is animal-derived. "Vegetarian" and "vegan" must never be used as if they mean the same thing.</w:t>
      </w:r>
    </w:p>
    <w:p>
      <w:r>
        <w:rPr>
          <w:b/>
          <w:color w:val="555555"/>
        </w:rPr>
        <w:t xml:space="preserve">Why: </w:t>
      </w:r>
      <w:r>
        <w:rPr>
          <w:color w:val="555555"/>
        </w:rPr>
        <w:t>No US regulation defines vegan, so we follow the Certified Vegan standard (vegan.org).</w:t>
      </w:r>
    </w:p>
    <w:p>
      <w:pPr>
        <w:pStyle w:val="Heading2"/>
      </w:pPr>
      <w:r>
        <w:t>DF-15 Organic claims</w:t>
      </w:r>
    </w:p>
    <w:p>
      <w:r>
        <w:rPr>
          <w:b/>
        </w:rPr>
        <w:t xml:space="preserve">Status: </w:t>
      </w:r>
      <w:r>
        <w:t>In force</w:t>
      </w:r>
    </w:p>
    <w:p>
      <w:r>
        <w:rPr>
          <w:b/>
        </w:rPr>
        <w:t xml:space="preserve">Rule: </w:t>
      </w:r>
      <w:r>
        <w:t>"Organic", "certified organic" and the USDA Organic seal may only be used when the current organic certificate for this recipe is on file with Regulatory.</w:t>
      </w:r>
    </w:p>
    <w:p>
      <w:r>
        <w:rPr>
          <w:b/>
          <w:color w:val="555555"/>
        </w:rPr>
        <w:t xml:space="preserve">Why: </w:t>
      </w:r>
      <w:r>
        <w:rPr>
          <w:color w:val="555555"/>
        </w:rPr>
        <w:t>USDA National Organic Program, 7 CFR Part 205. The certificate is evidence the artwork cannot show.</w:t>
      </w:r>
    </w:p>
    <w:p>
      <w:pPr>
        <w:pStyle w:val="Heading2"/>
      </w:pPr>
      <w:r>
        <w:t>DF-16 GMO wording</w:t>
      </w:r>
    </w:p>
    <w:p>
      <w:r>
        <w:rPr>
          <w:b/>
        </w:rPr>
        <w:t xml:space="preserve">Status: </w:t>
      </w:r>
      <w:r>
        <w:t>In force</w:t>
      </w:r>
    </w:p>
    <w:p>
      <w:r>
        <w:rPr>
          <w:b/>
        </w:rPr>
        <w:t xml:space="preserve">Rule: </w:t>
      </w:r>
      <w:r>
        <w:t>The words "GMO free" are not used on any pack. The approved wording is "Non-GMO Project Verified", and only when the verification is on file.</w:t>
      </w:r>
    </w:p>
    <w:p>
      <w:r>
        <w:rPr>
          <w:b/>
          <w:color w:val="555555"/>
        </w:rPr>
        <w:t xml:space="preserve">Why: </w:t>
      </w:r>
      <w:r>
        <w:rPr>
          <w:color w:val="555555"/>
        </w:rPr>
        <w:t>FDA guidance discourages "free" wording for genetic engineering because it is hard to prove. Version 3.1 replaced it with verified wording.</w:t>
      </w:r>
    </w:p>
    <w:p>
      <w:pPr>
        <w:pStyle w:val="Heading2"/>
      </w:pPr>
      <w:r>
        <w:t>DF-17 Claims built on "high"</w:t>
      </w:r>
    </w:p>
    <w:p>
      <w:r>
        <w:rPr>
          <w:b/>
        </w:rPr>
        <w:t xml:space="preserve">Status: </w:t>
      </w:r>
      <w:r>
        <w:t>In force</w:t>
      </w:r>
    </w:p>
    <w:p>
      <w:r>
        <w:rPr>
          <w:b/>
        </w:rPr>
        <w:t xml:space="preserve">Rule: </w:t>
      </w:r>
      <w:r>
        <w:t>Claims built on the word "high", such as "High Fiber", "High Protein" or "High-Grain", must be approved by Regulatory before use.</w:t>
      </w:r>
    </w:p>
    <w:p>
      <w:r>
        <w:rPr>
          <w:b/>
          <w:color w:val="555555"/>
        </w:rPr>
        <w:t xml:space="preserve">Why: </w:t>
      </w:r>
      <w:r>
        <w:rPr>
          <w:color w:val="555555"/>
        </w:rPr>
        <w:t>"High" is a defined nutrient content claim for some nutrients (21 CFR 101.54(b)). With other words it can still read as one, so a person decides.</w:t>
      </w:r>
    </w:p>
    <w:p>
      <w:pPr>
        <w:pStyle w:val="Heading1"/>
      </w:pPr>
      <w:r>
        <w:t>6. Legibility and the artwork file</w:t>
      </w:r>
    </w:p>
    <w:p>
      <w:pPr>
        <w:pStyle w:val="Heading2"/>
      </w:pPr>
      <w:r>
        <w:t>DF-18 Minimum text size</w:t>
      </w:r>
    </w:p>
    <w:p>
      <w:r>
        <w:rPr>
          <w:b/>
        </w:rPr>
        <w:t xml:space="preserve">Status: </w:t>
      </w:r>
      <w:r>
        <w:t>In force</w:t>
      </w:r>
    </w:p>
    <w:p>
      <w:r>
        <w:rPr>
          <w:b/>
        </w:rPr>
        <w:t xml:space="preserve">Rule: </w:t>
      </w:r>
      <w:r>
        <w:t>Mandatory text must be set at 6 pt or larger.</w:t>
      </w:r>
    </w:p>
    <w:p>
      <w:r>
        <w:rPr>
          <w:b/>
          <w:color w:val="555555"/>
        </w:rPr>
        <w:t xml:space="preserve">Why: </w:t>
      </w:r>
      <w:r>
        <w:rPr>
          <w:color w:val="555555"/>
        </w:rPr>
        <w:t>House rule for readability. It does not replace the 1/16 inch lowercase height minimum in 21 CFR 101.2(c), which Regulatory checks on the printed proof.</w:t>
      </w:r>
    </w:p>
    <w:p>
      <w:pPr>
        <w:pStyle w:val="Heading2"/>
      </w:pPr>
      <w:r>
        <w:t>DF-19 No hidden content</w:t>
      </w:r>
    </w:p>
    <w:p>
      <w:r>
        <w:rPr>
          <w:b/>
        </w:rPr>
        <w:t xml:space="preserve">Status: </w:t>
      </w:r>
      <w:r>
        <w:t>In force</w:t>
      </w:r>
    </w:p>
    <w:p>
      <w:r>
        <w:rPr>
          <w:b/>
        </w:rPr>
        <w:t xml:space="preserve">Rule: </w:t>
      </w:r>
      <w:r>
        <w:t>Release files must not contain hidden text: no text covered by other artwork, on switched-off layers or outside the trim. Hidden copy must be deleted from the file, not covered.</w:t>
      </w:r>
    </w:p>
    <w:p>
      <w:r>
        <w:rPr>
          <w:b/>
          <w:color w:val="555555"/>
        </w:rPr>
        <w:t xml:space="preserve">Why: </w:t>
      </w:r>
      <w:r>
        <w:rPr>
          <w:color w:val="555555"/>
        </w:rPr>
        <w:t>Hidden copy can print if a layer or a fill moves at the printer. Added after the 2026 reprint of a carton that printed an old nutrition table.</w:t>
      </w:r>
    </w:p>
    <w:p>
      <w:pPr>
        <w:pStyle w:val="Heading2"/>
      </w:pPr>
      <w:r>
        <w:t>DF-20 Recycling label</w:t>
      </w:r>
    </w:p>
    <w:p>
      <w:r>
        <w:rPr>
          <w:b/>
        </w:rPr>
        <w:t xml:space="preserve">Status: </w:t>
      </w:r>
      <w:r>
        <w:t>In force</w:t>
      </w:r>
    </w:p>
    <w:p>
      <w:r>
        <w:rPr>
          <w:b/>
        </w:rPr>
        <w:t xml:space="preserve">Rule: </w:t>
      </w:r>
      <w:r>
        <w:t>The How2Recycle label must appear on the back panel or the base panel.</w:t>
      </w:r>
    </w:p>
    <w:p>
      <w:r>
        <w:rPr>
          <w:b/>
          <w:color w:val="555555"/>
        </w:rPr>
        <w:t xml:space="preserve">Why: </w:t>
      </w:r>
      <w:r>
        <w:rPr>
          <w:color w:val="555555"/>
        </w:rPr>
        <w:t>Retailer requirement for paperboard cartons.</w:t>
      </w:r>
    </w:p>
    <w:p>
      <w:pPr>
        <w:pStyle w:val="Heading1"/>
      </w:pPr>
      <w:r>
        <w:t>7. Proposed rules</w:t>
      </w:r>
    </w:p>
    <w:p>
      <w:pPr>
        <w:pStyle w:val="Heading2"/>
      </w:pPr>
      <w:r>
        <w:t>DF-21 Front-of-pack nutrition box</w:t>
      </w:r>
    </w:p>
    <w:p>
      <w:r>
        <w:rPr>
          <w:b/>
        </w:rPr>
        <w:t xml:space="preserve">Status: </w:t>
      </w:r>
      <w:r>
        <w:t>Proposed</w:t>
      </w:r>
    </w:p>
    <w:p>
      <w:r>
        <w:rPr>
          <w:b/>
        </w:rPr>
        <w:t xml:space="preserve">Rule: </w:t>
      </w:r>
      <w:r>
        <w:t>When FDA finalises its January 2025 proposed rule on front-of-package nutrition information, the front panel will carry a Nutrition Info box showing saturated fat, sodium and added sugars as Low, Med or High.</w:t>
      </w:r>
    </w:p>
    <w:p>
      <w:r>
        <w:rPr>
          <w:b/>
          <w:color w:val="555555"/>
        </w:rPr>
        <w:t xml:space="preserve">Why: </w:t>
      </w:r>
      <w:r>
        <w:rPr>
          <w:color w:val="555555"/>
        </w:rPr>
        <w:t>Planning only. Do not apply until Regulatory issues version 4 of this rulebook.</w:t>
      </w:r>
    </w:p>
    <w:p>
      <w:pPr>
        <w:pStyle w:val="Heading1"/>
      </w:pPr>
      <w:r>
        <w:t>Change log</w:t>
      </w:r>
    </w:p>
    <w:tbl>
      <w:tblPr>
        <w:tblStyle w:val="LightList"/>
        <w:tblW w:type="auto" w:w="0"/>
        <w:tblLook w:firstColumn="1" w:firstRow="1" w:lastColumn="0" w:lastRow="0" w:noHBand="0" w:noVBand="1" w:val="04A0"/>
      </w:tblPr>
      <w:tblGrid>
        <w:gridCol w:w="2880"/>
        <w:gridCol w:w="2880"/>
        <w:gridCol w:w="2880"/>
      </w:tblGrid>
      <w:tr>
        <w:tc>
          <w:tcPr>
            <w:tcW w:type="dxa" w:w="2880"/>
          </w:tcPr>
          <w:p>
            <w:r>
              <w:t>Version</w:t>
            </w:r>
          </w:p>
        </w:tc>
        <w:tc>
          <w:tcPr>
            <w:tcW w:type="dxa" w:w="2880"/>
          </w:tcPr>
          <w:p>
            <w:r>
              <w:t>Date</w:t>
            </w:r>
          </w:p>
        </w:tc>
        <w:tc>
          <w:tcPr>
            <w:tcW w:type="dxa" w:w="2880"/>
          </w:tcPr>
          <w:p>
            <w:r>
              <w:t>Change</w:t>
            </w:r>
          </w:p>
        </w:tc>
      </w:tr>
      <w:tr>
        <w:tc>
          <w:tcPr>
            <w:tcW w:type="dxa" w:w="2880"/>
          </w:tcPr>
          <w:p>
            <w:r>
              <w:t>3.2</w:t>
            </w:r>
          </w:p>
        </w:tc>
        <w:tc>
          <w:tcPr>
            <w:tcW w:type="dxa" w:w="2880"/>
          </w:tcPr>
          <w:p>
            <w:r>
              <w:t>1 September 2026</w:t>
            </w:r>
          </w:p>
        </w:tc>
        <w:tc>
          <w:tcPr>
            <w:tcW w:type="dxa" w:w="2880"/>
          </w:tcPr>
          <w:p>
            <w:r>
              <w:t>Added DF-19 (no hidden content) and DF-08 (date and lot code area).</w:t>
            </w:r>
          </w:p>
        </w:tc>
      </w:tr>
      <w:tr>
        <w:tc>
          <w:tcPr>
            <w:tcW w:type="dxa" w:w="2880"/>
          </w:tcPr>
          <w:p>
            <w:r>
              <w:t>3.1</w:t>
            </w:r>
          </w:p>
        </w:tc>
        <w:tc>
          <w:tcPr>
            <w:tcW w:type="dxa" w:w="2880"/>
          </w:tcPr>
          <w:p>
            <w:r>
              <w:t>3 March 2026</w:t>
            </w:r>
          </w:p>
        </w:tc>
        <w:tc>
          <w:tcPr>
            <w:tcW w:type="dxa" w:w="2880"/>
          </w:tcPr>
          <w:p>
            <w:r>
              <w:t>Replaced "GMO free" with verified wording (DF-16). Added DF-06 (consumer care line).</w:t>
            </w:r>
          </w:p>
        </w:tc>
      </w:tr>
      <w:tr>
        <w:tc>
          <w:tcPr>
            <w:tcW w:type="dxa" w:w="2880"/>
          </w:tcPr>
          <w:p>
            <w:r>
              <w:t>3.0</w:t>
            </w:r>
          </w:p>
        </w:tc>
        <w:tc>
          <w:tcPr>
            <w:tcW w:type="dxa" w:w="2880"/>
          </w:tcPr>
          <w:p>
            <w:r>
              <w:t>12 January 2026</w:t>
            </w:r>
          </w:p>
        </w:tc>
        <w:tc>
          <w:tcPr>
            <w:tcW w:type="dxa" w:w="2880"/>
          </w:tcPr>
          <w:p>
            <w:r>
              <w:t>First version for the US range.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Dancing Fish Granola Co. US Label and Artwork Rulebook</dc:title>
  <dc:subject/>
  <dc:creator>Regulatory and Quality</dc:creator>
  <cp:keywords/>
  <dc:description>generated by python-docx</dc:description>
  <cp:lastModifiedBy>Regulatory and Quality</cp:lastModifiedBy>
  <cp:revision>1</cp:revision>
  <dcterms:created xsi:type="dcterms:W3CDTF">2026-09-01T00:00:00Z</dcterms:created>
  <dcterms:modified xsi:type="dcterms:W3CDTF">2026-09-01T00:00:00Z</dcterms:modified>
  <cp:category/>
</cp:coreProperties>
</file>