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left"/>
            </w:pPr>
            <w:r>
              <w:rPr>
                <w:b/>
                <w:color w:val="2F5597"/>
                <w:sz w:val="48"/>
              </w:rPr>
              <w:t>Rapport d'audit — ISACA</w:t>
              <w:br/>
            </w:r>
            <w:r>
              <w:rPr>
                <w:sz w:val="28"/>
              </w:rPr>
              <w:t>AUDIT-001</w:t>
              <w:br/>
            </w:r>
            <w:r>
              <w:t>Client : Client X</w:t>
              <w:br/>
            </w:r>
            <w:r>
              <w:t>Date : 2025-09-24</w:t>
              <w:br/>
            </w:r>
            <w:r>
              <w:t xml:space="preserve">Auditeur : </w:t>
              <w:br/>
            </w:r>
          </w:p>
        </w:tc>
        <w:tc>
          <w:tcPr>
            <w:tcW w:type="dxa" w:w="4986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2F5597"/>
        </w:rPr>
        <w:t>1. Résumé exécutif</w:t>
      </w:r>
    </w:p>
    <w:p>
      <w:pPr>
        <w:spacing w:after="80"/>
      </w:pPr>
      <w:r>
        <w:t>31 contrôles évalués. Répartition : N/A 0 • Conforme 31 • Partiel 0 • Non conforme 0.</w:t>
      </w:r>
    </w:p>
    <w:p>
      <w:pPr>
        <w:spacing w:after="160"/>
      </w:pPr>
      <w:r>
        <w:t>Priorités : traiter d’abord les risques « Très élevé/Élevé » et les non-conformités associées ; planifier la mise en conformité des points partiels avec jalons réalistes ; sécuriser les tiers et les accès à privilèges.</w:t>
      </w:r>
    </w:p>
    <w:p>
      <w:pPr>
        <w:pStyle w:val="Heading1"/>
      </w:pPr>
      <w:r>
        <w:rPr>
          <w:color w:val="2F5597"/>
        </w:rPr>
        <w:t>2. Méthodologie</w:t>
      </w:r>
    </w:p>
    <w:p>
      <w:pPr>
        <w:spacing w:after="40"/>
      </w:pPr>
      <w:r>
        <w:t>Référentiel : grille de contrôle basée sur la norme sélectionnée et adaptée au périmètre.</w:t>
      </w:r>
    </w:p>
    <w:p>
      <w:pPr>
        <w:spacing w:after="40"/>
      </w:pPr>
      <w:r>
        <w:t>Échelle d’évaluation (contrôles) : Non applicable | Conforme | Partiellement conforme | Non conforme.</w:t>
      </w:r>
    </w:p>
    <w:p>
      <w:pPr>
        <w:spacing w:after="120"/>
      </w:pPr>
      <w:r>
        <w:t>Gestion des risques (ISO 27005/EBIOS) : chaque risque est qualifié par Impact (1–5) et Vraisemblance (1–5). Le score I×V détermine la classe : Très faible (&lt;4), Faible (4–7), Moyen (8–11), Élevé (12–19), Très élevé (≥20).</w:t>
      </w:r>
    </w:p>
    <w:p>
      <w:pPr>
        <w:pStyle w:val="Heading1"/>
      </w:pPr>
      <w:r>
        <w:rPr>
          <w:color w:val="2F5597"/>
        </w:rPr>
        <w:t>3. Cartographie des risques et vision par domaine</w:t>
      </w:r>
    </w:p>
    <w:p>
      <w:pPr>
        <w:spacing w:after="40"/>
      </w:pPr>
      <w:r>
        <w:t>Cartographie 5×5 (ISO 27005/EBIOS) — uniquement basée sur le registre des risques.</w:t>
      </w:r>
    </w:p>
    <w:p>
      <w:r>
        <w:drawing>
          <wp:inline xmlns:a="http://schemas.openxmlformats.org/drawingml/2006/main" xmlns:pic="http://schemas.openxmlformats.org/drawingml/2006/picture">
            <wp:extent cx="5760000" cy="49582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map_audit-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9582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</w:pPr>
      <w:r>
        <w:t>Radar par domaine (maturité issue des contrôles).</w:t>
      </w:r>
    </w:p>
    <w:p>
      <w:r>
        <w:drawing>
          <wp:inline xmlns:a="http://schemas.openxmlformats.org/drawingml/2006/main" xmlns:pic="http://schemas.openxmlformats.org/drawingml/2006/picture">
            <wp:extent cx="5760000" cy="50581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dar_audit-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58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color w:val="2F5597"/>
        </w:rPr>
        <w:t>4. Résultats détaillés des contrôles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>
        <w:tc>
          <w:tcPr>
            <w:tcW w:type="dxa" w:w="1425"/>
          </w:tcPr>
          <w:p>
            <w:r>
              <w:t>Domaine</w:t>
            </w:r>
          </w:p>
        </w:tc>
        <w:tc>
          <w:tcPr>
            <w:tcW w:type="dxa" w:w="1425"/>
          </w:tcPr>
          <w:p>
            <w:r>
              <w:t>ID</w:t>
            </w:r>
          </w:p>
        </w:tc>
        <w:tc>
          <w:tcPr>
            <w:tcW w:type="dxa" w:w="1425"/>
          </w:tcPr>
          <w:p>
            <w:r>
              <w:t>Intitulé</w:t>
            </w:r>
          </w:p>
        </w:tc>
        <w:tc>
          <w:tcPr>
            <w:tcW w:type="dxa" w:w="1425"/>
          </w:tcPr>
          <w:p>
            <w:r>
              <w:t>Contrôle/objectif</w:t>
            </w:r>
          </w:p>
        </w:tc>
        <w:tc>
          <w:tcPr>
            <w:tcW w:type="dxa" w:w="1425"/>
          </w:tcPr>
          <w:p>
            <w:r>
              <w:t>Niveau</w:t>
            </w:r>
          </w:p>
        </w:tc>
        <w:tc>
          <w:tcPr>
            <w:tcW w:type="dxa" w:w="1425"/>
          </w:tcPr>
          <w:p>
            <w:r>
              <w:t>Constats</w:t>
            </w:r>
          </w:p>
        </w:tc>
        <w:tc>
          <w:tcPr>
            <w:tcW w:type="dxa" w:w="1425"/>
          </w:tcPr>
          <w:p>
            <w:r>
              <w:t>Risques liés</w:t>
            </w:r>
          </w:p>
        </w:tc>
      </w:tr>
      <w:tr>
        <w:tc>
          <w:tcPr>
            <w:tcW w:type="dxa" w:w="1425"/>
          </w:tcPr>
          <w:p>
            <w:r>
              <w:t>4. Contexte</w:t>
            </w:r>
          </w:p>
        </w:tc>
        <w:tc>
          <w:tcPr>
            <w:tcW w:type="dxa" w:w="1425"/>
          </w:tcPr>
          <w:p>
            <w:r>
              <w:t>42001-4.1</w:t>
            </w:r>
          </w:p>
        </w:tc>
        <w:tc>
          <w:tcPr>
            <w:tcW w:type="dxa" w:w="1425"/>
          </w:tcPr>
          <w:p>
            <w:r>
              <w:t>Contexte</w:t>
            </w:r>
          </w:p>
        </w:tc>
        <w:tc>
          <w:tcPr>
            <w:tcW w:type="dxa" w:w="1425"/>
          </w:tcPr>
          <w:p>
            <w:r>
              <w:t>Définir le contexte interne/externe pour l'AIMS (IA Management System).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4. Contexte</w:t>
            </w:r>
          </w:p>
        </w:tc>
        <w:tc>
          <w:tcPr>
            <w:tcW w:type="dxa" w:w="1425"/>
          </w:tcPr>
          <w:p>
            <w:r>
              <w:t>42001-4.2</w:t>
            </w:r>
          </w:p>
        </w:tc>
        <w:tc>
          <w:tcPr>
            <w:tcW w:type="dxa" w:w="1425"/>
          </w:tcPr>
          <w:p>
            <w:r>
              <w:t>Parties intéressées</w:t>
            </w:r>
          </w:p>
        </w:tc>
        <w:tc>
          <w:tcPr>
            <w:tcW w:type="dxa" w:w="1425"/>
          </w:tcPr>
          <w:p>
            <w:r>
              <w:t>Identifier les besoins/attentes des parties intéressées liées à l’IA.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4. Contexte</w:t>
            </w:r>
          </w:p>
        </w:tc>
        <w:tc>
          <w:tcPr>
            <w:tcW w:type="dxa" w:w="1425"/>
          </w:tcPr>
          <w:p>
            <w:r>
              <w:t>42001-4.3</w:t>
            </w:r>
          </w:p>
        </w:tc>
        <w:tc>
          <w:tcPr>
            <w:tcW w:type="dxa" w:w="1425"/>
          </w:tcPr>
          <w:p>
            <w:r>
              <w:t>Périmètre</w:t>
            </w:r>
          </w:p>
        </w:tc>
        <w:tc>
          <w:tcPr>
            <w:tcW w:type="dxa" w:w="1425"/>
          </w:tcPr>
          <w:p>
            <w:r>
              <w:t>Définir le périmètre de l’AIMS et ses interfaces.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4. Contexte</w:t>
            </w:r>
          </w:p>
        </w:tc>
        <w:tc>
          <w:tcPr>
            <w:tcW w:type="dxa" w:w="1425"/>
          </w:tcPr>
          <w:p>
            <w:r>
              <w:t>42001-4.4</w:t>
            </w:r>
          </w:p>
        </w:tc>
        <w:tc>
          <w:tcPr>
            <w:tcW w:type="dxa" w:w="1425"/>
          </w:tcPr>
          <w:p>
            <w:r>
              <w:t>AIMS &amp; Processus</w:t>
            </w:r>
          </w:p>
        </w:tc>
        <w:tc>
          <w:tcPr>
            <w:tcW w:type="dxa" w:w="1425"/>
          </w:tcPr>
          <w:p>
            <w:r>
              <w:t>Établir, mettre en œuvre et améliorer les processus de l’AIMS.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5. Leadership</w:t>
            </w:r>
          </w:p>
        </w:tc>
        <w:tc>
          <w:tcPr>
            <w:tcW w:type="dxa" w:w="1425"/>
          </w:tcPr>
          <w:p>
            <w:r>
              <w:t>42001-5.1</w:t>
            </w:r>
          </w:p>
        </w:tc>
        <w:tc>
          <w:tcPr>
            <w:tcW w:type="dxa" w:w="1425"/>
          </w:tcPr>
          <w:p>
            <w:r>
              <w:t>Leadership &amp; engagement</w:t>
            </w:r>
          </w:p>
        </w:tc>
        <w:tc>
          <w:tcPr>
            <w:tcW w:type="dxa" w:w="1425"/>
          </w:tcPr>
          <w:p>
            <w:r>
              <w:t>Démontrer l’engagement de la direction vis‑à‑vis de l’AIMS.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5. Leadership</w:t>
            </w:r>
          </w:p>
        </w:tc>
        <w:tc>
          <w:tcPr>
            <w:tcW w:type="dxa" w:w="1425"/>
          </w:tcPr>
          <w:p>
            <w:r>
              <w:t>42001-5.2</w:t>
            </w:r>
          </w:p>
        </w:tc>
        <w:tc>
          <w:tcPr>
            <w:tcW w:type="dxa" w:w="1425"/>
          </w:tcPr>
          <w:p>
            <w:r>
              <w:t>Politique IA</w:t>
            </w:r>
          </w:p>
        </w:tc>
        <w:tc>
          <w:tcPr>
            <w:tcW w:type="dxa" w:w="1425"/>
          </w:tcPr>
          <w:p>
            <w:r>
              <w:t>Établir et communiquer la politique IA alignée aux objectifs et obligations.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5. Leadership</w:t>
            </w:r>
          </w:p>
        </w:tc>
        <w:tc>
          <w:tcPr>
            <w:tcW w:type="dxa" w:w="1425"/>
          </w:tcPr>
          <w:p>
            <w:r>
              <w:t>42001-5.3</w:t>
            </w:r>
          </w:p>
        </w:tc>
        <w:tc>
          <w:tcPr>
            <w:tcW w:type="dxa" w:w="1425"/>
          </w:tcPr>
          <w:p>
            <w:r>
              <w:t>Rôles &amp; responsabilités</w:t>
            </w:r>
          </w:p>
        </w:tc>
        <w:tc>
          <w:tcPr>
            <w:tcW w:type="dxa" w:w="1425"/>
          </w:tcPr>
          <w:p>
            <w:r>
              <w:t>Attribuer responsabilités et autorités pour l’AIMS (incl. gouvernance IA).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6. Planification</w:t>
            </w:r>
          </w:p>
        </w:tc>
        <w:tc>
          <w:tcPr>
            <w:tcW w:type="dxa" w:w="1425"/>
          </w:tcPr>
          <w:p>
            <w:r>
              <w:t>42001-6.1</w:t>
            </w:r>
          </w:p>
        </w:tc>
        <w:tc>
          <w:tcPr>
            <w:tcW w:type="dxa" w:w="1425"/>
          </w:tcPr>
          <w:p>
            <w:r>
              <w:t>Risques &amp; opportunités</w:t>
            </w:r>
          </w:p>
        </w:tc>
        <w:tc>
          <w:tcPr>
            <w:tcW w:type="dxa" w:w="1425"/>
          </w:tcPr>
          <w:p>
            <w:r>
              <w:t>Identifier et traiter risques/opportunités liés à l’IA et à l’AIMS.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6. Planification</w:t>
            </w:r>
          </w:p>
        </w:tc>
        <w:tc>
          <w:tcPr>
            <w:tcW w:type="dxa" w:w="1425"/>
          </w:tcPr>
          <w:p>
            <w:r>
              <w:t>42001-6.2</w:t>
            </w:r>
          </w:p>
        </w:tc>
        <w:tc>
          <w:tcPr>
            <w:tcW w:type="dxa" w:w="1425"/>
          </w:tcPr>
          <w:p>
            <w:r>
              <w:t>Objectifs AIMS</w:t>
            </w:r>
          </w:p>
        </w:tc>
        <w:tc>
          <w:tcPr>
            <w:tcW w:type="dxa" w:w="1425"/>
          </w:tcPr>
          <w:p>
            <w:r>
              <w:t>Définir objectifs mesurables pour l’AIMS et plans pour les atteindre.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6. Planification</w:t>
            </w:r>
          </w:p>
        </w:tc>
        <w:tc>
          <w:tcPr>
            <w:tcW w:type="dxa" w:w="1425"/>
          </w:tcPr>
          <w:p>
            <w:r>
              <w:t>42001-6.3</w:t>
            </w:r>
          </w:p>
        </w:tc>
        <w:tc>
          <w:tcPr>
            <w:tcW w:type="dxa" w:w="1425"/>
          </w:tcPr>
          <w:p>
            <w:r>
              <w:t>Changements</w:t>
            </w:r>
          </w:p>
        </w:tc>
        <w:tc>
          <w:tcPr>
            <w:tcW w:type="dxa" w:w="1425"/>
          </w:tcPr>
          <w:p>
            <w:r>
              <w:t>Planifier les changements de l’AIMS de manière contrôlée.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7. Support</w:t>
            </w:r>
          </w:p>
        </w:tc>
        <w:tc>
          <w:tcPr>
            <w:tcW w:type="dxa" w:w="1425"/>
          </w:tcPr>
          <w:p>
            <w:r>
              <w:t>42001-7.1</w:t>
            </w:r>
          </w:p>
        </w:tc>
        <w:tc>
          <w:tcPr>
            <w:tcW w:type="dxa" w:w="1425"/>
          </w:tcPr>
          <w:p>
            <w:r>
              <w:t>Ressources</w:t>
            </w:r>
          </w:p>
        </w:tc>
        <w:tc>
          <w:tcPr>
            <w:tcW w:type="dxa" w:w="1425"/>
          </w:tcPr>
          <w:p>
            <w:r>
              <w:t>Fournir ressources suffisantes (humaines, techniques, financières).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7. Support</w:t>
            </w:r>
          </w:p>
        </w:tc>
        <w:tc>
          <w:tcPr>
            <w:tcW w:type="dxa" w:w="1425"/>
          </w:tcPr>
          <w:p>
            <w:r>
              <w:t>42001-7.2</w:t>
            </w:r>
          </w:p>
        </w:tc>
        <w:tc>
          <w:tcPr>
            <w:tcW w:type="dxa" w:w="1425"/>
          </w:tcPr>
          <w:p>
            <w:r>
              <w:t>Compétences</w:t>
            </w:r>
          </w:p>
        </w:tc>
        <w:tc>
          <w:tcPr>
            <w:tcW w:type="dxa" w:w="1425"/>
          </w:tcPr>
          <w:p>
            <w:r>
              <w:t>Assurer compétences/formation pour les rôles IA et AIMS.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7. Support</w:t>
            </w:r>
          </w:p>
        </w:tc>
        <w:tc>
          <w:tcPr>
            <w:tcW w:type="dxa" w:w="1425"/>
          </w:tcPr>
          <w:p>
            <w:r>
              <w:t>42001-7.3</w:t>
            </w:r>
          </w:p>
        </w:tc>
        <w:tc>
          <w:tcPr>
            <w:tcW w:type="dxa" w:w="1425"/>
          </w:tcPr>
          <w:p>
            <w:r>
              <w:t>Sensibilisation</w:t>
            </w:r>
          </w:p>
        </w:tc>
        <w:tc>
          <w:tcPr>
            <w:tcW w:type="dxa" w:w="1425"/>
          </w:tcPr>
          <w:p>
            <w:r>
              <w:t>Garantir la sensibilisation aux politiques, risques et obligations IA.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7. Support</w:t>
            </w:r>
          </w:p>
        </w:tc>
        <w:tc>
          <w:tcPr>
            <w:tcW w:type="dxa" w:w="1425"/>
          </w:tcPr>
          <w:p>
            <w:r>
              <w:t>42001-7.4</w:t>
            </w:r>
          </w:p>
        </w:tc>
        <w:tc>
          <w:tcPr>
            <w:tcW w:type="dxa" w:w="1425"/>
          </w:tcPr>
          <w:p>
            <w:r>
              <w:t>Communication</w:t>
            </w:r>
          </w:p>
        </w:tc>
        <w:tc>
          <w:tcPr>
            <w:tcW w:type="dxa" w:w="1425"/>
          </w:tcPr>
          <w:p>
            <w:r>
              <w:t>Définir et appliquer la communication interne/externe relative à l’IA.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7. Support</w:t>
            </w:r>
          </w:p>
        </w:tc>
        <w:tc>
          <w:tcPr>
            <w:tcW w:type="dxa" w:w="1425"/>
          </w:tcPr>
          <w:p>
            <w:r>
              <w:t>42001-7.5</w:t>
            </w:r>
          </w:p>
        </w:tc>
        <w:tc>
          <w:tcPr>
            <w:tcW w:type="dxa" w:w="1425"/>
          </w:tcPr>
          <w:p>
            <w:r>
              <w:t>Informations documentées</w:t>
            </w:r>
          </w:p>
        </w:tc>
        <w:tc>
          <w:tcPr>
            <w:tcW w:type="dxa" w:w="1425"/>
          </w:tcPr>
          <w:p>
            <w:r>
              <w:t>Créer, mettre à jour et maîtriser la documentation AIMS (procédures, enregistrements).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8. Opération</w:t>
            </w:r>
          </w:p>
        </w:tc>
        <w:tc>
          <w:tcPr>
            <w:tcW w:type="dxa" w:w="1425"/>
          </w:tcPr>
          <w:p>
            <w:r>
              <w:t>42001-8.1</w:t>
            </w:r>
          </w:p>
        </w:tc>
        <w:tc>
          <w:tcPr>
            <w:tcW w:type="dxa" w:w="1425"/>
          </w:tcPr>
          <w:p>
            <w:r>
              <w:t>Planif. &amp; contrôle opérationnels</w:t>
            </w:r>
          </w:p>
        </w:tc>
        <w:tc>
          <w:tcPr>
            <w:tcW w:type="dxa" w:w="1425"/>
          </w:tcPr>
          <w:p>
            <w:r>
              <w:t>Planifier, mettre en œuvre et maîtriser les processus opérationnels IA.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8. Opération</w:t>
            </w:r>
          </w:p>
        </w:tc>
        <w:tc>
          <w:tcPr>
            <w:tcW w:type="dxa" w:w="1425"/>
          </w:tcPr>
          <w:p>
            <w:r>
              <w:t>42001-8.2</w:t>
            </w:r>
          </w:p>
        </w:tc>
        <w:tc>
          <w:tcPr>
            <w:tcW w:type="dxa" w:w="1425"/>
          </w:tcPr>
          <w:p>
            <w:r>
              <w:t>Gouvernance données</w:t>
            </w:r>
          </w:p>
        </w:tc>
        <w:tc>
          <w:tcPr>
            <w:tcW w:type="dxa" w:w="1425"/>
          </w:tcPr>
          <w:p>
            <w:r>
              <w:t>Gérer la qualité, l’origine, la sécurité et la conformité des données IA.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8. Opération</w:t>
            </w:r>
          </w:p>
        </w:tc>
        <w:tc>
          <w:tcPr>
            <w:tcW w:type="dxa" w:w="1425"/>
          </w:tcPr>
          <w:p>
            <w:r>
              <w:t>42001-8.3</w:t>
            </w:r>
          </w:p>
        </w:tc>
        <w:tc>
          <w:tcPr>
            <w:tcW w:type="dxa" w:w="1425"/>
          </w:tcPr>
          <w:p>
            <w:r>
              <w:t>Conception &amp; dév. modèles</w:t>
            </w:r>
          </w:p>
        </w:tc>
        <w:tc>
          <w:tcPr>
            <w:tcW w:type="dxa" w:w="1425"/>
          </w:tcPr>
          <w:p>
            <w:r>
              <w:t>Encadrer le design, l’entraînement et la validation des modèles IA.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8. Opération</w:t>
            </w:r>
          </w:p>
        </w:tc>
        <w:tc>
          <w:tcPr>
            <w:tcW w:type="dxa" w:w="1425"/>
          </w:tcPr>
          <w:p>
            <w:r>
              <w:t>42001-8.4</w:t>
            </w:r>
          </w:p>
        </w:tc>
        <w:tc>
          <w:tcPr>
            <w:tcW w:type="dxa" w:w="1425"/>
          </w:tcPr>
          <w:p>
            <w:r>
              <w:t>Vérification &amp; validation</w:t>
            </w:r>
          </w:p>
        </w:tc>
        <w:tc>
          <w:tcPr>
            <w:tcW w:type="dxa" w:w="1425"/>
          </w:tcPr>
          <w:p>
            <w:r>
              <w:t>Vérifier/valider les systèmes IA selon critères définis (performances, biais, sûreté).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8. Opération</w:t>
            </w:r>
          </w:p>
        </w:tc>
        <w:tc>
          <w:tcPr>
            <w:tcW w:type="dxa" w:w="1425"/>
          </w:tcPr>
          <w:p>
            <w:r>
              <w:t>42001-8.5</w:t>
            </w:r>
          </w:p>
        </w:tc>
        <w:tc>
          <w:tcPr>
            <w:tcW w:type="dxa" w:w="1425"/>
          </w:tcPr>
          <w:p>
            <w:r>
              <w:t>Mise en production</w:t>
            </w:r>
          </w:p>
        </w:tc>
        <w:tc>
          <w:tcPr>
            <w:tcW w:type="dxa" w:w="1425"/>
          </w:tcPr>
          <w:p>
            <w:r>
              <w:t>Gérer le déploiement, l’activation et le rollback des systèmes IA.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8. Opération</w:t>
            </w:r>
          </w:p>
        </w:tc>
        <w:tc>
          <w:tcPr>
            <w:tcW w:type="dxa" w:w="1425"/>
          </w:tcPr>
          <w:p>
            <w:r>
              <w:t>42001-8.6</w:t>
            </w:r>
          </w:p>
        </w:tc>
        <w:tc>
          <w:tcPr>
            <w:tcW w:type="dxa" w:w="1425"/>
          </w:tcPr>
          <w:p>
            <w:r>
              <w:t>Surveillance &amp; logs</w:t>
            </w:r>
          </w:p>
        </w:tc>
        <w:tc>
          <w:tcPr>
            <w:tcW w:type="dxa" w:w="1425"/>
          </w:tcPr>
          <w:p>
            <w:r>
              <w:t>Surveiller les IA en production (drift, incidents, journalisation, alertes).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8. Opération</w:t>
            </w:r>
          </w:p>
        </w:tc>
        <w:tc>
          <w:tcPr>
            <w:tcW w:type="dxa" w:w="1425"/>
          </w:tcPr>
          <w:p>
            <w:r>
              <w:t>42001-8.7</w:t>
            </w:r>
          </w:p>
        </w:tc>
        <w:tc>
          <w:tcPr>
            <w:tcW w:type="dxa" w:w="1425"/>
          </w:tcPr>
          <w:p>
            <w:r>
              <w:t>Gestion des incidents</w:t>
            </w:r>
          </w:p>
        </w:tc>
        <w:tc>
          <w:tcPr>
            <w:tcW w:type="dxa" w:w="1425"/>
          </w:tcPr>
          <w:p>
            <w:r>
              <w:t>Traiter incidents IA (sécurité, éthique, performance) et retours utilisateurs.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8. Opération</w:t>
            </w:r>
          </w:p>
        </w:tc>
        <w:tc>
          <w:tcPr>
            <w:tcW w:type="dxa" w:w="1425"/>
          </w:tcPr>
          <w:p>
            <w:r>
              <w:t>42001-8.8</w:t>
            </w:r>
          </w:p>
        </w:tc>
        <w:tc>
          <w:tcPr>
            <w:tcW w:type="dxa" w:w="1425"/>
          </w:tcPr>
          <w:p>
            <w:r>
              <w:t>Changements IA</w:t>
            </w:r>
          </w:p>
        </w:tc>
        <w:tc>
          <w:tcPr>
            <w:tcW w:type="dxa" w:w="1425"/>
          </w:tcPr>
          <w:p>
            <w:r>
              <w:t>Encadrer les changements (données, modèles, prompts, features) avec approbations.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8. Opération</w:t>
            </w:r>
          </w:p>
        </w:tc>
        <w:tc>
          <w:tcPr>
            <w:tcW w:type="dxa" w:w="1425"/>
          </w:tcPr>
          <w:p>
            <w:r>
              <w:t>42001-8.9</w:t>
            </w:r>
          </w:p>
        </w:tc>
        <w:tc>
          <w:tcPr>
            <w:tcW w:type="dxa" w:w="1425"/>
          </w:tcPr>
          <w:p>
            <w:r>
              <w:t>Fournisseurs &amp; tiers</w:t>
            </w:r>
          </w:p>
        </w:tc>
        <w:tc>
          <w:tcPr>
            <w:tcW w:type="dxa" w:w="1425"/>
          </w:tcPr>
          <w:p>
            <w:r>
              <w:t>Maîtriser les fournisseurs/tiers IA (contrats, évaluations, SOC2/ISO, SLA).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8. Opération</w:t>
            </w:r>
          </w:p>
        </w:tc>
        <w:tc>
          <w:tcPr>
            <w:tcW w:type="dxa" w:w="1425"/>
          </w:tcPr>
          <w:p>
            <w:r>
              <w:t>42001-8.10</w:t>
            </w:r>
          </w:p>
        </w:tc>
        <w:tc>
          <w:tcPr>
            <w:tcW w:type="dxa" w:w="1425"/>
          </w:tcPr>
          <w:p>
            <w:r>
              <w:t>Sécurité &amp; sûreté</w:t>
            </w:r>
          </w:p>
        </w:tc>
        <w:tc>
          <w:tcPr>
            <w:tcW w:type="dxa" w:w="1425"/>
          </w:tcPr>
          <w:p>
            <w:r>
              <w:t>Assurer sécurité/sûreté des systèmes IA (cyber, résilience, abus).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8. Opération</w:t>
            </w:r>
          </w:p>
        </w:tc>
        <w:tc>
          <w:tcPr>
            <w:tcW w:type="dxa" w:w="1425"/>
          </w:tcPr>
          <w:p>
            <w:r>
              <w:t>42001-8.11</w:t>
            </w:r>
          </w:p>
        </w:tc>
        <w:tc>
          <w:tcPr>
            <w:tcW w:type="dxa" w:w="1425"/>
          </w:tcPr>
          <w:p>
            <w:r>
              <w:t>Conformité réglementaire</w:t>
            </w:r>
          </w:p>
        </w:tc>
        <w:tc>
          <w:tcPr>
            <w:tcW w:type="dxa" w:w="1425"/>
          </w:tcPr>
          <w:p>
            <w:r>
              <w:t>Satisfaire aux exigences légales et normatives (ex. AI Act, RGPD).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9. Évaluation</w:t>
            </w:r>
          </w:p>
        </w:tc>
        <w:tc>
          <w:tcPr>
            <w:tcW w:type="dxa" w:w="1425"/>
          </w:tcPr>
          <w:p>
            <w:r>
              <w:t>42001-9.1</w:t>
            </w:r>
          </w:p>
        </w:tc>
        <w:tc>
          <w:tcPr>
            <w:tcW w:type="dxa" w:w="1425"/>
          </w:tcPr>
          <w:p>
            <w:r>
              <w:t>Suivi &amp; mesures</w:t>
            </w:r>
          </w:p>
        </w:tc>
        <w:tc>
          <w:tcPr>
            <w:tcW w:type="dxa" w:w="1425"/>
          </w:tcPr>
          <w:p>
            <w:r>
              <w:t>Définir indicateurs, mesurer et analyser l’efficacité de l’AIMS.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9. Évaluation</w:t>
            </w:r>
          </w:p>
        </w:tc>
        <w:tc>
          <w:tcPr>
            <w:tcW w:type="dxa" w:w="1425"/>
          </w:tcPr>
          <w:p>
            <w:r>
              <w:t>42001-9.2</w:t>
            </w:r>
          </w:p>
        </w:tc>
        <w:tc>
          <w:tcPr>
            <w:tcW w:type="dxa" w:w="1425"/>
          </w:tcPr>
          <w:p>
            <w:r>
              <w:t>Audit interne</w:t>
            </w:r>
          </w:p>
        </w:tc>
        <w:tc>
          <w:tcPr>
            <w:tcW w:type="dxa" w:w="1425"/>
          </w:tcPr>
          <w:p>
            <w:r>
              <w:t>Planifier et réaliser des audits internes de l’AIMS et des systèmes IA.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9. Évaluation</w:t>
            </w:r>
          </w:p>
        </w:tc>
        <w:tc>
          <w:tcPr>
            <w:tcW w:type="dxa" w:w="1425"/>
          </w:tcPr>
          <w:p>
            <w:r>
              <w:t>42001-9.3</w:t>
            </w:r>
          </w:p>
        </w:tc>
        <w:tc>
          <w:tcPr>
            <w:tcW w:type="dxa" w:w="1425"/>
          </w:tcPr>
          <w:p>
            <w:r>
              <w:t>Revue de direction</w:t>
            </w:r>
          </w:p>
        </w:tc>
        <w:tc>
          <w:tcPr>
            <w:tcW w:type="dxa" w:w="1425"/>
          </w:tcPr>
          <w:p>
            <w:r>
              <w:t>Conduire des revues de direction régulières, décisions &amp; actions.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10. Amélioration</w:t>
            </w:r>
          </w:p>
        </w:tc>
        <w:tc>
          <w:tcPr>
            <w:tcW w:type="dxa" w:w="1425"/>
          </w:tcPr>
          <w:p>
            <w:r>
              <w:t>42001-10.1</w:t>
            </w:r>
          </w:p>
        </w:tc>
        <w:tc>
          <w:tcPr>
            <w:tcW w:type="dxa" w:w="1425"/>
          </w:tcPr>
          <w:p>
            <w:r>
              <w:t>Non-conformités &amp; actions correctives</w:t>
            </w:r>
          </w:p>
        </w:tc>
        <w:tc>
          <w:tcPr>
            <w:tcW w:type="dxa" w:w="1425"/>
          </w:tcPr>
          <w:p>
            <w:r>
              <w:t>Traiter les NC, analyser causes, mettre en œuvre actions correctives.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  <w:tr>
        <w:tc>
          <w:tcPr>
            <w:tcW w:type="dxa" w:w="1425"/>
          </w:tcPr>
          <w:p>
            <w:r>
              <w:t>10. Amélioration</w:t>
            </w:r>
          </w:p>
        </w:tc>
        <w:tc>
          <w:tcPr>
            <w:tcW w:type="dxa" w:w="1425"/>
          </w:tcPr>
          <w:p>
            <w:r>
              <w:t>42001-10.2</w:t>
            </w:r>
          </w:p>
        </w:tc>
        <w:tc>
          <w:tcPr>
            <w:tcW w:type="dxa" w:w="1425"/>
          </w:tcPr>
          <w:p>
            <w:r>
              <w:t>Amélioration continue</w:t>
            </w:r>
          </w:p>
        </w:tc>
        <w:tc>
          <w:tcPr>
            <w:tcW w:type="dxa" w:w="1425"/>
          </w:tcPr>
          <w:p>
            <w:r>
              <w:t>Améliorer en continu l’adéquation, l’efficacité et l’efficience de l’AIMS.</w:t>
            </w:r>
          </w:p>
        </w:tc>
        <w:tc>
          <w:tcPr>
            <w:tcW w:type="dxa" w:w="1425"/>
            <w:shd w:fill="00B050"/>
          </w:tcPr>
          <w:p>
            <w:r>
              <w:t>Conforme</w:t>
            </w:r>
          </w:p>
        </w:tc>
        <w:tc>
          <w:tcPr>
            <w:tcW w:type="dxa" w:w="1425"/>
          </w:tcPr>
          <w:p>
            <w:r>
              <w:t>nan</w:t>
            </w:r>
          </w:p>
        </w:tc>
        <w:tc>
          <w:tcPr>
            <w:tcW w:type="dxa" w:w="1425"/>
          </w:tcPr>
          <w:p>
            <w:r/>
          </w:p>
        </w:tc>
      </w:tr>
    </w:tbl>
    <w:p>
      <w:pPr>
        <w:pStyle w:val="Heading1"/>
      </w:pPr>
      <w:r>
        <w:rPr>
          <w:color w:val="2F5597"/>
        </w:rPr>
        <w:t>5. Plan d’actions priorisé</w:t>
      </w:r>
    </w:p>
    <w:p>
      <w:pPr>
        <w:spacing w:after="120"/>
      </w:pPr>
      <w:r>
        <w:t>Aucune action requise.</w:t>
      </w:r>
    </w:p>
    <w:sectPr w:rsidR="00FC693F" w:rsidRPr="0006063C" w:rsidSect="00034616">
      <w:head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color w:val="2F5597"/>
      </w:rPr>
      <w:t>Client X — AUDIT-001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d'audit — AUDIT-001</dc:title>
  <dc:subject/>
  <dc:creator/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