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26"/>
        </w:rPr>
        <w:t>MANIPAL INSTITUTE OF TECHNOLOGY</w:t>
        <w:br/>
        <w:t>DEPARTMENT OF COMPUTER SCIENCE &amp; ENGINEERING</w:t>
        <w:br/>
      </w:r>
      <w:r>
        <w:rPr>
          <w:rFonts w:ascii="Calibri" w:hAnsi="Calibri"/>
          <w:b/>
          <w:color w:val="2563EB"/>
          <w:sz w:val="30"/>
        </w:rPr>
        <w:t>BLOCKCHAIN TECHNOLOGY (CSE4444) — ASSIGNMENT 2</w:t>
        <w:br/>
      </w:r>
    </w:p>
    <w:p>
      <w:pPr>
        <w:jc w:val="center"/>
      </w:pPr>
      <w:r>
        <w:rPr>
          <w:color w:val="CBD5E1"/>
        </w:rPr>
        <w:t>―――――――――――――――――――――――――――――――――――――――――――――――――――――――――――――――――</w:t>
      </w:r>
    </w:p>
    <w:tbl>
      <w:tblPr>
        <w:tblW w:type="auto" w:w="0"/>
        <w:jc w:val="center"/>
        <w:tblLayout w:type="fixed"/>
        <w:tblLook w:firstColumn="1" w:firstRow="1" w:lastColumn="0" w:lastRow="0" w:noHBand="0" w:noVBand="1" w:val="04A0"/>
      </w:tblPr>
      <w:tblGrid>
        <w:gridCol w:w="5184"/>
        <w:gridCol w:w="5184"/>
      </w:tblGrid>
      <w:tr>
        <w:tc>
          <w:tcPr>
            <w:tcW w:type="dxa" w:w="2880"/>
            <w:shd w:fill="F1F5F9"/>
            <w:tcMar>
              <w:top w:w="70" w:type="dxa"/>
              <w:bottom w:w="70" w:type="dxa"/>
              <w:left w:w="100" w:type="dxa"/>
              <w:right w:w="100" w:type="dxa"/>
            </w:tcMar>
          </w:tcPr>
          <w:p>
            <w:pPr>
              <w:jc w:val="left"/>
            </w:pPr>
            <w:r>
              <w:rPr>
                <w:rFonts w:ascii="Calibri" w:hAnsi="Calibri"/>
                <w:b/>
                <w:color w:val="1E293B"/>
                <w:sz w:val="20"/>
              </w:rPr>
              <w:t>Student Name:</w:t>
            </w:r>
          </w:p>
        </w:tc>
        <w:tc>
          <w:tcPr>
            <w:tcW w:type="dxa" w:w="7488"/>
            <w:shd w:fill="FFFFFF"/>
            <w:tcMar>
              <w:top w:w="70" w:type="dxa"/>
              <w:bottom w:w="70" w:type="dxa"/>
              <w:left w:w="100" w:type="dxa"/>
              <w:right w:w="100" w:type="dxa"/>
            </w:tcMar>
          </w:tcPr>
          <w:p>
            <w:r>
              <w:rPr>
                <w:rFonts w:ascii="Calibri" w:hAnsi="Calibri"/>
                <w:b/>
                <w:color w:val="0F172A"/>
                <w:sz w:val="20"/>
              </w:rPr>
              <w:t>Soham Sandeep Pawar</w:t>
            </w:r>
          </w:p>
        </w:tc>
      </w:tr>
      <w:tr>
        <w:tc>
          <w:tcPr>
            <w:tcW w:type="dxa" w:w="2880"/>
            <w:shd w:fill="F1F5F9"/>
            <w:tcMar>
              <w:top w:w="70" w:type="dxa"/>
              <w:bottom w:w="70" w:type="dxa"/>
              <w:left w:w="100" w:type="dxa"/>
              <w:right w:w="100" w:type="dxa"/>
            </w:tcMar>
          </w:tcPr>
          <w:p>
            <w:pPr>
              <w:jc w:val="left"/>
            </w:pPr>
            <w:r>
              <w:rPr>
                <w:rFonts w:ascii="Calibri" w:hAnsi="Calibri"/>
                <w:b/>
                <w:color w:val="1E293B"/>
                <w:sz w:val="20"/>
              </w:rPr>
              <w:t>Registration Number:</w:t>
            </w:r>
          </w:p>
        </w:tc>
        <w:tc>
          <w:tcPr>
            <w:tcW w:type="dxa" w:w="7488"/>
            <w:shd w:fill="FFFFFF"/>
            <w:tcMar>
              <w:top w:w="70" w:type="dxa"/>
              <w:bottom w:w="70" w:type="dxa"/>
              <w:left w:w="100" w:type="dxa"/>
              <w:right w:w="100" w:type="dxa"/>
            </w:tcMar>
          </w:tcPr>
          <w:p>
            <w:r>
              <w:rPr>
                <w:rFonts w:ascii="Calibri" w:hAnsi="Calibri"/>
                <w:b/>
                <w:color w:val="0F172A"/>
                <w:sz w:val="20"/>
              </w:rPr>
              <w:t>230905312</w:t>
            </w:r>
          </w:p>
        </w:tc>
      </w:tr>
      <w:tr>
        <w:tc>
          <w:tcPr>
            <w:tcW w:type="dxa" w:w="2880"/>
            <w:shd w:fill="F1F5F9"/>
            <w:tcMar>
              <w:top w:w="70" w:type="dxa"/>
              <w:bottom w:w="70" w:type="dxa"/>
              <w:left w:w="100" w:type="dxa"/>
              <w:right w:w="100" w:type="dxa"/>
            </w:tcMar>
          </w:tcPr>
          <w:p>
            <w:pPr>
              <w:jc w:val="left"/>
            </w:pPr>
            <w:r>
              <w:rPr>
                <w:rFonts w:ascii="Calibri" w:hAnsi="Calibri"/>
                <w:b/>
                <w:color w:val="1E293B"/>
                <w:sz w:val="20"/>
              </w:rPr>
              <w:t>Assignment Title:</w:t>
            </w:r>
          </w:p>
        </w:tc>
        <w:tc>
          <w:tcPr>
            <w:tcW w:type="dxa" w:w="7488"/>
            <w:shd w:fill="FFFFFF"/>
            <w:tcMar>
              <w:top w:w="70" w:type="dxa"/>
              <w:bottom w:w="70" w:type="dxa"/>
              <w:left w:w="100" w:type="dxa"/>
              <w:right w:w="100" w:type="dxa"/>
            </w:tcMar>
          </w:tcPr>
          <w:p>
            <w:r>
              <w:rPr>
                <w:rFonts w:ascii="Calibri" w:hAnsi="Calibri"/>
                <w:color w:val="334155"/>
                <w:sz w:val="20"/>
              </w:rPr>
              <w:t>Design and Development of an Original DApp (Assignment 2)</w:t>
            </w:r>
          </w:p>
        </w:tc>
      </w:tr>
      <w:tr>
        <w:tc>
          <w:tcPr>
            <w:tcW w:type="dxa" w:w="2880"/>
            <w:shd w:fill="F1F5F9"/>
            <w:tcMar>
              <w:top w:w="70" w:type="dxa"/>
              <w:bottom w:w="70" w:type="dxa"/>
              <w:left w:w="100" w:type="dxa"/>
              <w:right w:w="100" w:type="dxa"/>
            </w:tcMar>
          </w:tcPr>
          <w:p>
            <w:pPr>
              <w:jc w:val="left"/>
            </w:pPr>
            <w:r>
              <w:rPr>
                <w:rFonts w:ascii="Calibri" w:hAnsi="Calibri"/>
                <w:b/>
                <w:color w:val="1E293B"/>
                <w:sz w:val="20"/>
              </w:rPr>
              <w:t>Title of Developed DApp:</w:t>
            </w:r>
          </w:p>
        </w:tc>
        <w:tc>
          <w:tcPr>
            <w:tcW w:type="dxa" w:w="7488"/>
            <w:shd w:fill="FFFFFF"/>
            <w:tcMar>
              <w:top w:w="70" w:type="dxa"/>
              <w:bottom w:w="70" w:type="dxa"/>
              <w:left w:w="100" w:type="dxa"/>
              <w:right w:w="100" w:type="dxa"/>
            </w:tcMar>
          </w:tcPr>
          <w:p>
            <w:r>
              <w:rPr>
                <w:rFonts w:ascii="Calibri" w:hAnsi="Calibri"/>
                <w:b/>
                <w:color w:val="0F172A"/>
                <w:sz w:val="20"/>
              </w:rPr>
              <w:t>Decentralized Academic Credential Verification System (EduVerify)</w:t>
            </w:r>
          </w:p>
        </w:tc>
      </w:tr>
      <w:tr>
        <w:tc>
          <w:tcPr>
            <w:tcW w:type="dxa" w:w="2880"/>
            <w:shd w:fill="F1F5F9"/>
            <w:tcMar>
              <w:top w:w="70" w:type="dxa"/>
              <w:bottom w:w="70" w:type="dxa"/>
              <w:left w:w="100" w:type="dxa"/>
              <w:right w:w="100" w:type="dxa"/>
            </w:tcMar>
          </w:tcPr>
          <w:p>
            <w:pPr>
              <w:jc w:val="left"/>
            </w:pPr>
            <w:r>
              <w:rPr>
                <w:rFonts w:ascii="Calibri" w:hAnsi="Calibri"/>
                <w:b/>
                <w:color w:val="1E293B"/>
                <w:sz w:val="20"/>
              </w:rPr>
              <w:t>GitHub Repository Link:</w:t>
            </w:r>
          </w:p>
        </w:tc>
        <w:tc>
          <w:tcPr>
            <w:tcW w:type="dxa" w:w="7488"/>
            <w:shd w:fill="FFFFFF"/>
            <w:tcMar>
              <w:top w:w="70" w:type="dxa"/>
              <w:bottom w:w="70" w:type="dxa"/>
              <w:left w:w="100" w:type="dxa"/>
              <w:right w:w="100" w:type="dxa"/>
            </w:tcMar>
          </w:tcPr>
          <w:p>
            <w:hyperlink r:id="rId9">
              <w:r>
                <w:rPr>
                  <w:color w:val="2563EB"/>
                  <w:u w:val="single"/>
                  <w:rFonts w:ascii="Calibri" w:hAnsi="Calibri"/>
                </w:rPr>
                <w:t>https://github.com/soh4mpawar/academic-credential-verification-dapp</w:t>
              </w:r>
            </w:hyperlink>
          </w:p>
        </w:tc>
      </w:tr>
    </w:tbl>
    <w:p/>
    <w:p>
      <w:pPr>
        <w:pStyle w:val="Heading2"/>
      </w:pPr>
      <w:r>
        <w:t>1. Problem Description &amp; Real-World Motivation</w:t>
      </w:r>
    </w:p>
    <w:p>
      <w:r>
        <w:t>Academic credential fraud, including counterfeit degree certificates and unverified grade submissions, presents a severe problem for universities, employers, and professional licensing authorities. Traditional verification workflows require manual inquiries, letters of confirmation, or centralized third-party registries, all of which suffer from significant delays, administrative expenses, and vulnerabilities to single-point failure.</w:t>
        <w:br/>
        <w:br/>
        <w:t>To resolve this, EduVerify implements a decentralized academic credential registry built on the Ethereum blockchain. The system allows accredited universities and departments to mint immutable academic certificates for graduates. Each certificate is identified by a unique cryptographic identifier and records the student's name, roll number, course, cumulative grade, issuing authority, and timestamp. Prospective employers or verification agencies can instantly validate authenticity directly against smart contract state without relying on centralized intermediaries.</w:t>
      </w:r>
    </w:p>
    <w:p>
      <w:pPr>
        <w:pStyle w:val="Heading2"/>
      </w:pPr>
      <w:r>
        <w:t>2. Smart Contract &amp; Frontend Architecture</w:t>
      </w:r>
    </w:p>
    <w:p>
      <w:r>
        <w:t>The decentralized application is structured as follows:</w:t>
        <w:br/>
        <w:t>• Smart Contract (AcademicCredential.sol): Implemented in Solidity ^0.8.20. Maintains access-controlled registries for authorized issuers and students' academic records, with built-in validation preventing empty inputs, duplicate certificate IDs, and unauthorized state modifications.</w:t>
        <w:br/>
        <w:t>• Frontend Interface: Modern web interface built using HTML5, CSS3, and JavaScript, providing dedicated workflows for Public Certificate Verification, Credential Issuance, Revocation, and Administrative Issuer Management.</w:t>
        <w:br/>
        <w:t>• Web3 &amp; MetaMask Integration: Implemented using Ethers.js v5.7.2 connecting to the Ethereum blockchain via window.ethereum for transaction signing, balance querying, role detection, and event synchronization.</w:t>
      </w:r>
    </w:p>
    <w:p>
      <w:pPr>
        <w:pStyle w:val="Heading2"/>
      </w:pPr>
      <w:r>
        <w:t>3. Test Cases &amp; Verification Results</w:t>
      </w:r>
    </w:p>
    <w:p>
      <w:r>
        <w:t>The system was evaluated against valid, invalid, and unauthorized inputs in accordance with the assignment guidelines. All test scenarios executed with expected state transitions and revert behaviors: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1E293B"/>
            <w:tcMar>
              <w:top w:w="60" w:type="dxa"/>
              <w:bottom w:w="60" w:type="dxa"/>
              <w:left w:w="80" w:type="dxa"/>
              <w:right w:w="80" w:type="dxa"/>
            </w:tcMar>
          </w:tcPr>
          <w:p>
            <w:r>
              <w:rPr>
                <w:rFonts w:ascii="Calibri" w:hAnsi="Calibri"/>
                <w:b/>
                <w:color w:val="FFFFFF"/>
                <w:sz w:val="19"/>
              </w:rPr>
              <w:t>Test ID</w:t>
            </w:r>
          </w:p>
        </w:tc>
        <w:tc>
          <w:tcPr>
            <w:tcW w:type="dxa" w:w="2074"/>
            <w:shd w:fill="1E293B"/>
            <w:tcMar>
              <w:top w:w="60" w:type="dxa"/>
              <w:bottom w:w="60" w:type="dxa"/>
              <w:left w:w="80" w:type="dxa"/>
              <w:right w:w="80" w:type="dxa"/>
            </w:tcMar>
          </w:tcPr>
          <w:p>
            <w:r>
              <w:rPr>
                <w:rFonts w:ascii="Calibri" w:hAnsi="Calibri"/>
                <w:b/>
                <w:color w:val="FFFFFF"/>
                <w:sz w:val="19"/>
              </w:rPr>
              <w:t>Category</w:t>
            </w:r>
          </w:p>
        </w:tc>
        <w:tc>
          <w:tcPr>
            <w:tcW w:type="dxa" w:w="2074"/>
            <w:shd w:fill="1E293B"/>
            <w:tcMar>
              <w:top w:w="60" w:type="dxa"/>
              <w:bottom w:w="60" w:type="dxa"/>
              <w:left w:w="80" w:type="dxa"/>
              <w:right w:w="80" w:type="dxa"/>
            </w:tcMar>
          </w:tcPr>
          <w:p>
            <w:r>
              <w:rPr>
                <w:rFonts w:ascii="Calibri" w:hAnsi="Calibri"/>
                <w:b/>
                <w:color w:val="FFFFFF"/>
                <w:sz w:val="19"/>
              </w:rPr>
              <w:t>Description / Input</w:t>
            </w:r>
          </w:p>
        </w:tc>
        <w:tc>
          <w:tcPr>
            <w:tcW w:type="dxa" w:w="2074"/>
            <w:shd w:fill="1E293B"/>
            <w:tcMar>
              <w:top w:w="60" w:type="dxa"/>
              <w:bottom w:w="60" w:type="dxa"/>
              <w:left w:w="80" w:type="dxa"/>
              <w:right w:w="80" w:type="dxa"/>
            </w:tcMar>
          </w:tcPr>
          <w:p>
            <w:r>
              <w:rPr>
                <w:rFonts w:ascii="Calibri" w:hAnsi="Calibri"/>
                <w:b/>
                <w:color w:val="FFFFFF"/>
                <w:sz w:val="19"/>
              </w:rPr>
              <w:t>Observed EVM Behavior</w:t>
            </w:r>
          </w:p>
        </w:tc>
        <w:tc>
          <w:tcPr>
            <w:tcW w:type="dxa" w:w="2074"/>
            <w:shd w:fill="1E293B"/>
            <w:tcMar>
              <w:top w:w="60" w:type="dxa"/>
              <w:bottom w:w="60" w:type="dxa"/>
              <w:left w:w="80" w:type="dxa"/>
              <w:right w:w="80" w:type="dxa"/>
            </w:tcMar>
          </w:tcPr>
          <w:p>
            <w:r>
              <w:rPr>
                <w:rFonts w:ascii="Calibri" w:hAnsi="Calibri"/>
                <w:b/>
                <w:color w:val="FFFFFF"/>
                <w:sz w:val="19"/>
              </w:rPr>
              <w:t>Status</w:t>
            </w:r>
          </w:p>
        </w:tc>
      </w:tr>
      <w:tr>
        <w:tc>
          <w:tcPr>
            <w:tcW w:type="dxa" w:w="2074"/>
            <w:shd w:fill="F8FAFC"/>
            <w:tcMar>
              <w:top w:w="50" w:type="dxa"/>
              <w:bottom w:w="50" w:type="dxa"/>
              <w:left w:w="70" w:type="dxa"/>
              <w:right w:w="70" w:type="dxa"/>
            </w:tcMar>
          </w:tcPr>
          <w:p>
            <w:r>
              <w:rPr>
                <w:rFonts w:ascii="Calibri" w:hAnsi="Calibri"/>
                <w:color w:val="1E293B"/>
                <w:sz w:val="18"/>
              </w:rPr>
              <w:t>TC-01</w:t>
            </w:r>
          </w:p>
        </w:tc>
        <w:tc>
          <w:tcPr>
            <w:tcW w:type="dxa" w:w="2074"/>
            <w:shd w:fill="F8FAFC"/>
            <w:tcMar>
              <w:top w:w="50" w:type="dxa"/>
              <w:bottom w:w="50" w:type="dxa"/>
              <w:left w:w="70" w:type="dxa"/>
              <w:right w:w="70" w:type="dxa"/>
            </w:tcMar>
          </w:tcPr>
          <w:p>
            <w:r>
              <w:rPr>
                <w:rFonts w:ascii="Calibri" w:hAnsi="Calibri"/>
                <w:color w:val="1E293B"/>
                <w:sz w:val="18"/>
              </w:rPr>
              <w:t>Valid</w:t>
            </w:r>
          </w:p>
        </w:tc>
        <w:tc>
          <w:tcPr>
            <w:tcW w:type="dxa" w:w="2074"/>
            <w:shd w:fill="F8FAFC"/>
            <w:tcMar>
              <w:top w:w="50" w:type="dxa"/>
              <w:bottom w:w="50" w:type="dxa"/>
              <w:left w:w="70" w:type="dxa"/>
              <w:right w:w="70" w:type="dxa"/>
            </w:tcMar>
          </w:tcPr>
          <w:p>
            <w:r>
              <w:rPr>
                <w:rFonts w:ascii="Calibri" w:hAnsi="Calibri"/>
                <w:color w:val="1E293B"/>
                <w:sz w:val="18"/>
              </w:rPr>
              <w:t>Owner authorizes CSE Department (0x7099...)</w:t>
            </w:r>
          </w:p>
        </w:tc>
        <w:tc>
          <w:tcPr>
            <w:tcW w:type="dxa" w:w="2074"/>
            <w:shd w:fill="F8FAFC"/>
            <w:tcMar>
              <w:top w:w="50" w:type="dxa"/>
              <w:bottom w:w="50" w:type="dxa"/>
              <w:left w:w="70" w:type="dxa"/>
              <w:right w:w="70" w:type="dxa"/>
            </w:tcMar>
          </w:tcPr>
          <w:p>
            <w:r>
              <w:rPr>
                <w:rFonts w:ascii="Calibri" w:hAnsi="Calibri"/>
                <w:color w:val="1E293B"/>
                <w:sz w:val="18"/>
              </w:rPr>
              <w:t>Issuer added, state updated, event emitted</w:t>
            </w:r>
          </w:p>
        </w:tc>
        <w:tc>
          <w:tcPr>
            <w:tcW w:type="dxa" w:w="2074"/>
            <w:shd w:fill="F8FAFC"/>
            <w:tcMar>
              <w:top w:w="50" w:type="dxa"/>
              <w:bottom w:w="50" w:type="dxa"/>
              <w:left w:w="70" w:type="dxa"/>
              <w:right w:w="70" w:type="dxa"/>
            </w:tcMar>
          </w:tcPr>
          <w:p>
            <w:r>
              <w:rPr>
                <w:rFonts w:ascii="Calibri" w:hAnsi="Calibri"/>
                <w:b/>
                <w:color w:val="16A34A"/>
                <w:sz w:val="18"/>
              </w:rPr>
              <w:t>PASS</w:t>
            </w:r>
          </w:p>
        </w:tc>
      </w:tr>
      <w:tr>
        <w:tc>
          <w:tcPr>
            <w:tcW w:type="dxa" w:w="2074"/>
            <w:shd w:fill="FFFFFF"/>
            <w:tcMar>
              <w:top w:w="50" w:type="dxa"/>
              <w:bottom w:w="50" w:type="dxa"/>
              <w:left w:w="70" w:type="dxa"/>
              <w:right w:w="70" w:type="dxa"/>
            </w:tcMar>
          </w:tcPr>
          <w:p>
            <w:r>
              <w:rPr>
                <w:rFonts w:ascii="Calibri" w:hAnsi="Calibri"/>
                <w:color w:val="1E293B"/>
                <w:sz w:val="18"/>
              </w:rPr>
              <w:t>TC-02</w:t>
            </w:r>
          </w:p>
        </w:tc>
        <w:tc>
          <w:tcPr>
            <w:tcW w:type="dxa" w:w="2074"/>
            <w:shd w:fill="FFFFFF"/>
            <w:tcMar>
              <w:top w:w="50" w:type="dxa"/>
              <w:bottom w:w="50" w:type="dxa"/>
              <w:left w:w="70" w:type="dxa"/>
              <w:right w:w="70" w:type="dxa"/>
            </w:tcMar>
          </w:tcPr>
          <w:p>
            <w:r>
              <w:rPr>
                <w:rFonts w:ascii="Calibri" w:hAnsi="Calibri"/>
                <w:color w:val="1E293B"/>
                <w:sz w:val="18"/>
              </w:rPr>
              <w:t>Valid</w:t>
            </w:r>
          </w:p>
        </w:tc>
        <w:tc>
          <w:tcPr>
            <w:tcW w:type="dxa" w:w="2074"/>
            <w:shd w:fill="FFFFFF"/>
            <w:tcMar>
              <w:top w:w="50" w:type="dxa"/>
              <w:bottom w:w="50" w:type="dxa"/>
              <w:left w:w="70" w:type="dxa"/>
              <w:right w:w="70" w:type="dxa"/>
            </w:tcMar>
          </w:tcPr>
          <w:p>
            <w:r>
              <w:rPr>
                <w:rFonts w:ascii="Calibri" w:hAnsi="Calibri"/>
                <w:color w:val="1E293B"/>
                <w:sz w:val="18"/>
              </w:rPr>
              <w:t>Issue valid credential (CERT-2026-CSE-001)</w:t>
            </w:r>
          </w:p>
        </w:tc>
        <w:tc>
          <w:tcPr>
            <w:tcW w:type="dxa" w:w="2074"/>
            <w:shd w:fill="FFFFFF"/>
            <w:tcMar>
              <w:top w:w="50" w:type="dxa"/>
              <w:bottom w:w="50" w:type="dxa"/>
              <w:left w:w="70" w:type="dxa"/>
              <w:right w:w="70" w:type="dxa"/>
            </w:tcMar>
          </w:tcPr>
          <w:p>
            <w:r>
              <w:rPr>
                <w:rFonts w:ascii="Calibri" w:hAnsi="Calibri"/>
                <w:color w:val="1E293B"/>
                <w:sz w:val="18"/>
              </w:rPr>
              <w:t>Transaction mined, block confirmed, record stored</w:t>
            </w:r>
          </w:p>
        </w:tc>
        <w:tc>
          <w:tcPr>
            <w:tcW w:type="dxa" w:w="2074"/>
            <w:shd w:fill="FFFFFF"/>
            <w:tcMar>
              <w:top w:w="50" w:type="dxa"/>
              <w:bottom w:w="50" w:type="dxa"/>
              <w:left w:w="70" w:type="dxa"/>
              <w:right w:w="70" w:type="dxa"/>
            </w:tcMar>
          </w:tcPr>
          <w:p>
            <w:r>
              <w:rPr>
                <w:rFonts w:ascii="Calibri" w:hAnsi="Calibri"/>
                <w:b/>
                <w:color w:val="16A34A"/>
                <w:sz w:val="18"/>
              </w:rPr>
              <w:t>PASS</w:t>
            </w:r>
          </w:p>
        </w:tc>
      </w:tr>
      <w:tr>
        <w:tc>
          <w:tcPr>
            <w:tcW w:type="dxa" w:w="2074"/>
            <w:shd w:fill="F8FAFC"/>
            <w:tcMar>
              <w:top w:w="50" w:type="dxa"/>
              <w:bottom w:w="50" w:type="dxa"/>
              <w:left w:w="70" w:type="dxa"/>
              <w:right w:w="70" w:type="dxa"/>
            </w:tcMar>
          </w:tcPr>
          <w:p>
            <w:r>
              <w:rPr>
                <w:rFonts w:ascii="Calibri" w:hAnsi="Calibri"/>
                <w:color w:val="1E293B"/>
                <w:sz w:val="18"/>
              </w:rPr>
              <w:t>TC-03</w:t>
            </w:r>
          </w:p>
        </w:tc>
        <w:tc>
          <w:tcPr>
            <w:tcW w:type="dxa" w:w="2074"/>
            <w:shd w:fill="F8FAFC"/>
            <w:tcMar>
              <w:top w:w="50" w:type="dxa"/>
              <w:bottom w:w="50" w:type="dxa"/>
              <w:left w:w="70" w:type="dxa"/>
              <w:right w:w="70" w:type="dxa"/>
            </w:tcMar>
          </w:tcPr>
          <w:p>
            <w:r>
              <w:rPr>
                <w:rFonts w:ascii="Calibri" w:hAnsi="Calibri"/>
                <w:color w:val="1E293B"/>
                <w:sz w:val="18"/>
              </w:rPr>
              <w:t>Valid</w:t>
            </w:r>
          </w:p>
        </w:tc>
        <w:tc>
          <w:tcPr>
            <w:tcW w:type="dxa" w:w="2074"/>
            <w:shd w:fill="F8FAFC"/>
            <w:tcMar>
              <w:top w:w="50" w:type="dxa"/>
              <w:bottom w:w="50" w:type="dxa"/>
              <w:left w:w="70" w:type="dxa"/>
              <w:right w:w="70" w:type="dxa"/>
            </w:tcMar>
          </w:tcPr>
          <w:p>
            <w:r>
              <w:rPr>
                <w:rFonts w:ascii="Calibri" w:hAnsi="Calibri"/>
                <w:color w:val="1E293B"/>
                <w:sz w:val="18"/>
              </w:rPr>
              <w:t>Public query of valid Certificate ID</w:t>
            </w:r>
          </w:p>
        </w:tc>
        <w:tc>
          <w:tcPr>
            <w:tcW w:type="dxa" w:w="2074"/>
            <w:shd w:fill="F8FAFC"/>
            <w:tcMar>
              <w:top w:w="50" w:type="dxa"/>
              <w:bottom w:w="50" w:type="dxa"/>
              <w:left w:w="70" w:type="dxa"/>
              <w:right w:w="70" w:type="dxa"/>
            </w:tcMar>
          </w:tcPr>
          <w:p>
            <w:r>
              <w:rPr>
                <w:rFonts w:ascii="Calibri" w:hAnsi="Calibri"/>
                <w:color w:val="1E293B"/>
                <w:sz w:val="18"/>
              </w:rPr>
              <w:t>Returns student details with Authentic badge</w:t>
            </w:r>
          </w:p>
        </w:tc>
        <w:tc>
          <w:tcPr>
            <w:tcW w:type="dxa" w:w="2074"/>
            <w:shd w:fill="F8FAFC"/>
            <w:tcMar>
              <w:top w:w="50" w:type="dxa"/>
              <w:bottom w:w="50" w:type="dxa"/>
              <w:left w:w="70" w:type="dxa"/>
              <w:right w:w="70" w:type="dxa"/>
            </w:tcMar>
          </w:tcPr>
          <w:p>
            <w:r>
              <w:rPr>
                <w:rFonts w:ascii="Calibri" w:hAnsi="Calibri"/>
                <w:b/>
                <w:color w:val="16A34A"/>
                <w:sz w:val="18"/>
              </w:rPr>
              <w:t>PASS</w:t>
            </w:r>
          </w:p>
        </w:tc>
      </w:tr>
      <w:tr>
        <w:tc>
          <w:tcPr>
            <w:tcW w:type="dxa" w:w="2074"/>
            <w:shd w:fill="FFFFFF"/>
            <w:tcMar>
              <w:top w:w="50" w:type="dxa"/>
              <w:bottom w:w="50" w:type="dxa"/>
              <w:left w:w="70" w:type="dxa"/>
              <w:right w:w="70" w:type="dxa"/>
            </w:tcMar>
          </w:tcPr>
          <w:p>
            <w:r>
              <w:rPr>
                <w:rFonts w:ascii="Calibri" w:hAnsi="Calibri"/>
                <w:color w:val="1E293B"/>
                <w:sz w:val="18"/>
              </w:rPr>
              <w:t>TC-04</w:t>
            </w:r>
          </w:p>
        </w:tc>
        <w:tc>
          <w:tcPr>
            <w:tcW w:type="dxa" w:w="2074"/>
            <w:shd w:fill="FFFFFF"/>
            <w:tcMar>
              <w:top w:w="50" w:type="dxa"/>
              <w:bottom w:w="50" w:type="dxa"/>
              <w:left w:w="70" w:type="dxa"/>
              <w:right w:w="70" w:type="dxa"/>
            </w:tcMar>
          </w:tcPr>
          <w:p>
            <w:r>
              <w:rPr>
                <w:rFonts w:ascii="Calibri" w:hAnsi="Calibri"/>
                <w:color w:val="1E293B"/>
                <w:sz w:val="18"/>
              </w:rPr>
              <w:t>Invalid Input</w:t>
            </w:r>
          </w:p>
        </w:tc>
        <w:tc>
          <w:tcPr>
            <w:tcW w:type="dxa" w:w="2074"/>
            <w:shd w:fill="FFFFFF"/>
            <w:tcMar>
              <w:top w:w="50" w:type="dxa"/>
              <w:bottom w:w="50" w:type="dxa"/>
              <w:left w:w="70" w:type="dxa"/>
              <w:right w:w="70" w:type="dxa"/>
            </w:tcMar>
          </w:tcPr>
          <w:p>
            <w:r>
              <w:rPr>
                <w:rFonts w:ascii="Calibri" w:hAnsi="Calibri"/>
                <w:color w:val="1E293B"/>
                <w:sz w:val="18"/>
              </w:rPr>
              <w:t>Issue certificate with empty student name ("")</w:t>
            </w:r>
          </w:p>
        </w:tc>
        <w:tc>
          <w:tcPr>
            <w:tcW w:type="dxa" w:w="2074"/>
            <w:shd w:fill="FFFFFF"/>
            <w:tcMar>
              <w:top w:w="50" w:type="dxa"/>
              <w:bottom w:w="50" w:type="dxa"/>
              <w:left w:w="70" w:type="dxa"/>
              <w:right w:w="70" w:type="dxa"/>
            </w:tcMar>
          </w:tcPr>
          <w:p>
            <w:r>
              <w:rPr>
                <w:rFonts w:ascii="Calibri" w:hAnsi="Calibri"/>
                <w:color w:val="DC2626"/>
                <w:sz w:val="18"/>
              </w:rPr>
              <w:t>EVM Revert: 'Student name cannot be empty'</w:t>
            </w:r>
          </w:p>
        </w:tc>
        <w:tc>
          <w:tcPr>
            <w:tcW w:type="dxa" w:w="2074"/>
            <w:shd w:fill="FFFFFF"/>
            <w:tcMar>
              <w:top w:w="50" w:type="dxa"/>
              <w:bottom w:w="50" w:type="dxa"/>
              <w:left w:w="70" w:type="dxa"/>
              <w:right w:w="70" w:type="dxa"/>
            </w:tcMar>
          </w:tcPr>
          <w:p>
            <w:r>
              <w:rPr>
                <w:rFonts w:ascii="Calibri" w:hAnsi="Calibri"/>
                <w:b/>
                <w:color w:val="16A34A"/>
                <w:sz w:val="18"/>
              </w:rPr>
              <w:t>PASS</w:t>
            </w:r>
          </w:p>
        </w:tc>
      </w:tr>
      <w:tr>
        <w:tc>
          <w:tcPr>
            <w:tcW w:type="dxa" w:w="2074"/>
            <w:shd w:fill="F8FAFC"/>
            <w:tcMar>
              <w:top w:w="50" w:type="dxa"/>
              <w:bottom w:w="50" w:type="dxa"/>
              <w:left w:w="70" w:type="dxa"/>
              <w:right w:w="70" w:type="dxa"/>
            </w:tcMar>
          </w:tcPr>
          <w:p>
            <w:r>
              <w:rPr>
                <w:rFonts w:ascii="Calibri" w:hAnsi="Calibri"/>
                <w:color w:val="1E293B"/>
                <w:sz w:val="18"/>
              </w:rPr>
              <w:t>TC-05</w:t>
            </w:r>
          </w:p>
        </w:tc>
        <w:tc>
          <w:tcPr>
            <w:tcW w:type="dxa" w:w="2074"/>
            <w:shd w:fill="F8FAFC"/>
            <w:tcMar>
              <w:top w:w="50" w:type="dxa"/>
              <w:bottom w:w="50" w:type="dxa"/>
              <w:left w:w="70" w:type="dxa"/>
              <w:right w:w="70" w:type="dxa"/>
            </w:tcMar>
          </w:tcPr>
          <w:p>
            <w:r>
              <w:rPr>
                <w:rFonts w:ascii="Calibri" w:hAnsi="Calibri"/>
                <w:color w:val="1E293B"/>
                <w:sz w:val="18"/>
              </w:rPr>
              <w:t>Invalid Input</w:t>
            </w:r>
          </w:p>
        </w:tc>
        <w:tc>
          <w:tcPr>
            <w:tcW w:type="dxa" w:w="2074"/>
            <w:shd w:fill="F8FAFC"/>
            <w:tcMar>
              <w:top w:w="50" w:type="dxa"/>
              <w:bottom w:w="50" w:type="dxa"/>
              <w:left w:w="70" w:type="dxa"/>
              <w:right w:w="70" w:type="dxa"/>
            </w:tcMar>
          </w:tcPr>
          <w:p>
            <w:r>
              <w:rPr>
                <w:rFonts w:ascii="Calibri" w:hAnsi="Calibri"/>
                <w:color w:val="1E293B"/>
                <w:sz w:val="18"/>
              </w:rPr>
              <w:t>Issue certificate with duplicate ID</w:t>
            </w:r>
          </w:p>
        </w:tc>
        <w:tc>
          <w:tcPr>
            <w:tcW w:type="dxa" w:w="2074"/>
            <w:shd w:fill="F8FAFC"/>
            <w:tcMar>
              <w:top w:w="50" w:type="dxa"/>
              <w:bottom w:w="50" w:type="dxa"/>
              <w:left w:w="70" w:type="dxa"/>
              <w:right w:w="70" w:type="dxa"/>
            </w:tcMar>
          </w:tcPr>
          <w:p>
            <w:r>
              <w:rPr>
                <w:rFonts w:ascii="Calibri" w:hAnsi="Calibri"/>
                <w:color w:val="DC2626"/>
                <w:sz w:val="18"/>
              </w:rPr>
              <w:t>EVM Revert: 'Certificate with this ID already exists'</w:t>
            </w:r>
          </w:p>
        </w:tc>
        <w:tc>
          <w:tcPr>
            <w:tcW w:type="dxa" w:w="2074"/>
            <w:shd w:fill="F8FAFC"/>
            <w:tcMar>
              <w:top w:w="50" w:type="dxa"/>
              <w:bottom w:w="50" w:type="dxa"/>
              <w:left w:w="70" w:type="dxa"/>
              <w:right w:w="70" w:type="dxa"/>
            </w:tcMar>
          </w:tcPr>
          <w:p>
            <w:r>
              <w:rPr>
                <w:rFonts w:ascii="Calibri" w:hAnsi="Calibri"/>
                <w:b/>
                <w:color w:val="16A34A"/>
                <w:sz w:val="18"/>
              </w:rPr>
              <w:t>PASS</w:t>
            </w:r>
          </w:p>
        </w:tc>
      </w:tr>
      <w:tr>
        <w:tc>
          <w:tcPr>
            <w:tcW w:type="dxa" w:w="2074"/>
            <w:shd w:fill="FFFFFF"/>
            <w:tcMar>
              <w:top w:w="50" w:type="dxa"/>
              <w:bottom w:w="50" w:type="dxa"/>
              <w:left w:w="70" w:type="dxa"/>
              <w:right w:w="70" w:type="dxa"/>
            </w:tcMar>
          </w:tcPr>
          <w:p>
            <w:r>
              <w:rPr>
                <w:rFonts w:ascii="Calibri" w:hAnsi="Calibri"/>
                <w:color w:val="1E293B"/>
                <w:sz w:val="18"/>
              </w:rPr>
              <w:t>TC-06</w:t>
            </w:r>
          </w:p>
        </w:tc>
        <w:tc>
          <w:tcPr>
            <w:tcW w:type="dxa" w:w="2074"/>
            <w:shd w:fill="FFFFFF"/>
            <w:tcMar>
              <w:top w:w="50" w:type="dxa"/>
              <w:bottom w:w="50" w:type="dxa"/>
              <w:left w:w="70" w:type="dxa"/>
              <w:right w:w="70" w:type="dxa"/>
            </w:tcMar>
          </w:tcPr>
          <w:p>
            <w:r>
              <w:rPr>
                <w:rFonts w:ascii="Calibri" w:hAnsi="Calibri"/>
                <w:color w:val="1E293B"/>
                <w:sz w:val="18"/>
              </w:rPr>
              <w:t>Unauthorised</w:t>
            </w:r>
          </w:p>
        </w:tc>
        <w:tc>
          <w:tcPr>
            <w:tcW w:type="dxa" w:w="2074"/>
            <w:shd w:fill="FFFFFF"/>
            <w:tcMar>
              <w:top w:w="50" w:type="dxa"/>
              <w:bottom w:w="50" w:type="dxa"/>
              <w:left w:w="70" w:type="dxa"/>
              <w:right w:w="70" w:type="dxa"/>
            </w:tcMar>
          </w:tcPr>
          <w:p>
            <w:r>
              <w:rPr>
                <w:rFonts w:ascii="Calibri" w:hAnsi="Calibri"/>
                <w:color w:val="1E293B"/>
                <w:sz w:val="18"/>
              </w:rPr>
              <w:t>Non-owner attempts to call addIssuer(...)</w:t>
            </w:r>
          </w:p>
        </w:tc>
        <w:tc>
          <w:tcPr>
            <w:tcW w:type="dxa" w:w="2074"/>
            <w:shd w:fill="FFFFFF"/>
            <w:tcMar>
              <w:top w:w="50" w:type="dxa"/>
              <w:bottom w:w="50" w:type="dxa"/>
              <w:left w:w="70" w:type="dxa"/>
              <w:right w:w="70" w:type="dxa"/>
            </w:tcMar>
          </w:tcPr>
          <w:p>
            <w:r>
              <w:rPr>
                <w:rFonts w:ascii="Calibri" w:hAnsi="Calibri"/>
                <w:color w:val="DC2626"/>
                <w:sz w:val="18"/>
              </w:rPr>
              <w:t>EVM Revert: 'Caller is not the contract owner'</w:t>
            </w:r>
          </w:p>
        </w:tc>
        <w:tc>
          <w:tcPr>
            <w:tcW w:type="dxa" w:w="2074"/>
            <w:shd w:fill="FFFFFF"/>
            <w:tcMar>
              <w:top w:w="50" w:type="dxa"/>
              <w:bottom w:w="50" w:type="dxa"/>
              <w:left w:w="70" w:type="dxa"/>
              <w:right w:w="70" w:type="dxa"/>
            </w:tcMar>
          </w:tcPr>
          <w:p>
            <w:r>
              <w:rPr>
                <w:rFonts w:ascii="Calibri" w:hAnsi="Calibri"/>
                <w:b/>
                <w:color w:val="16A34A"/>
                <w:sz w:val="18"/>
              </w:rPr>
              <w:t>PASS</w:t>
            </w:r>
          </w:p>
        </w:tc>
      </w:tr>
    </w:tbl>
    <w:p>
      <w:r>
        <w:br w:type="page"/>
      </w:r>
    </w:p>
    <w:p>
      <w:pPr>
        <w:pStyle w:val="Heading2"/>
      </w:pPr>
      <w:r>
        <w:t>4. Visual Evidence &amp; Execution Screenshots</w:t>
      </w:r>
    </w:p>
    <w:p>
      <w:r>
        <w:rPr>
          <w:rFonts w:ascii="Calibri" w:hAnsi="Calibri"/>
          <w:b/>
          <w:color w:val="1E293B"/>
          <w:sz w:val="20"/>
        </w:rPr>
        <w:t>Figure 1: Smart Contract Compilation in Remix IDE (Solidity v0.8.20)</w:t>
      </w:r>
    </w:p>
    <w:p>
      <w:pPr>
        <w:jc w:val="center"/>
      </w:pPr>
      <w:r>
        <w:drawing>
          <wp:inline xmlns:a="http://schemas.openxmlformats.org/drawingml/2006/main" xmlns:pic="http://schemas.openxmlformats.org/drawingml/2006/picture">
            <wp:extent cx="5669280" cy="3366135"/>
            <wp:docPr id="1" name="Picture 1"/>
            <wp:cNvGraphicFramePr>
              <a:graphicFrameLocks noChangeAspect="1"/>
            </wp:cNvGraphicFramePr>
            <a:graphic>
              <a:graphicData uri="http://schemas.openxmlformats.org/drawingml/2006/picture">
                <pic:pic>
                  <pic:nvPicPr>
                    <pic:cNvPr id="0" name="01_smart_contract_compilation.png"/>
                    <pic:cNvPicPr/>
                  </pic:nvPicPr>
                  <pic:blipFill>
                    <a:blip r:embed="rId10"/>
                    <a:stretch>
                      <a:fillRect/>
                    </a:stretch>
                  </pic:blipFill>
                  <pic:spPr>
                    <a:xfrm>
                      <a:off x="0" y="0"/>
                      <a:ext cx="5669280" cy="3366135"/>
                    </a:xfrm>
                    <a:prstGeom prst="rect"/>
                  </pic:spPr>
                </pic:pic>
              </a:graphicData>
            </a:graphic>
          </wp:inline>
        </w:drawing>
      </w:r>
    </w:p>
    <w:p/>
    <w:p>
      <w:r>
        <w:rPr>
          <w:rFonts w:ascii="Calibri" w:hAnsi="Calibri"/>
          <w:b/>
          <w:color w:val="1E293B"/>
          <w:sz w:val="20"/>
        </w:rPr>
        <w:t>Figure 2: Smart Contract Deployment on Ganache Local Network</w:t>
      </w:r>
    </w:p>
    <w:p>
      <w:pPr>
        <w:jc w:val="center"/>
      </w:pPr>
      <w:r>
        <w:drawing>
          <wp:inline xmlns:a="http://schemas.openxmlformats.org/drawingml/2006/main" xmlns:pic="http://schemas.openxmlformats.org/drawingml/2006/picture">
            <wp:extent cx="5669280" cy="3366135"/>
            <wp:docPr id="2" name="Picture 2"/>
            <wp:cNvGraphicFramePr>
              <a:graphicFrameLocks noChangeAspect="1"/>
            </wp:cNvGraphicFramePr>
            <a:graphic>
              <a:graphicData uri="http://schemas.openxmlformats.org/drawingml/2006/picture">
                <pic:pic>
                  <pic:nvPicPr>
                    <pic:cNvPr id="0" name="02_smart_contract_deployment.png"/>
                    <pic:cNvPicPr/>
                  </pic:nvPicPr>
                  <pic:blipFill>
                    <a:blip r:embed="rId11"/>
                    <a:stretch>
                      <a:fillRect/>
                    </a:stretch>
                  </pic:blipFill>
                  <pic:spPr>
                    <a:xfrm>
                      <a:off x="0" y="0"/>
                      <a:ext cx="5669280" cy="3366135"/>
                    </a:xfrm>
                    <a:prstGeom prst="rect"/>
                  </pic:spPr>
                </pic:pic>
              </a:graphicData>
            </a:graphic>
          </wp:inline>
        </w:drawing>
      </w:r>
    </w:p>
    <w:p/>
    <w:p>
      <w:r>
        <w:rPr>
          <w:rFonts w:ascii="Calibri" w:hAnsi="Calibri"/>
          <w:b/>
          <w:color w:val="1E293B"/>
          <w:sz w:val="20"/>
        </w:rPr>
        <w:t>Figure 3: MetaMask Wallet Connection &amp; User Role Detection</w:t>
      </w:r>
    </w:p>
    <w:p>
      <w:pPr>
        <w:jc w:val="center"/>
      </w:pPr>
      <w:r>
        <w:drawing>
          <wp:inline xmlns:a="http://schemas.openxmlformats.org/drawingml/2006/main" xmlns:pic="http://schemas.openxmlformats.org/drawingml/2006/picture">
            <wp:extent cx="5669280" cy="3366135"/>
            <wp:docPr id="3" name="Picture 3"/>
            <wp:cNvGraphicFramePr>
              <a:graphicFrameLocks noChangeAspect="1"/>
            </wp:cNvGraphicFramePr>
            <a:graphic>
              <a:graphicData uri="http://schemas.openxmlformats.org/drawingml/2006/picture">
                <pic:pic>
                  <pic:nvPicPr>
                    <pic:cNvPr id="0" name="03_metamask_wallet_connection.png"/>
                    <pic:cNvPicPr/>
                  </pic:nvPicPr>
                  <pic:blipFill>
                    <a:blip r:embed="rId12"/>
                    <a:stretch>
                      <a:fillRect/>
                    </a:stretch>
                  </pic:blipFill>
                  <pic:spPr>
                    <a:xfrm>
                      <a:off x="0" y="0"/>
                      <a:ext cx="5669280" cy="3366135"/>
                    </a:xfrm>
                    <a:prstGeom prst="rect"/>
                  </pic:spPr>
                </pic:pic>
              </a:graphicData>
            </a:graphic>
          </wp:inline>
        </w:drawing>
      </w:r>
    </w:p>
    <w:p/>
    <w:p>
      <w:r>
        <w:rPr>
          <w:rFonts w:ascii="Calibri" w:hAnsi="Calibri"/>
          <w:b/>
          <w:color w:val="1E293B"/>
          <w:sz w:val="20"/>
        </w:rPr>
        <w:t>Figure 4: Successful Credential Issuance Transaction Execution</w:t>
      </w:r>
    </w:p>
    <w:p>
      <w:pPr>
        <w:jc w:val="center"/>
      </w:pPr>
      <w:r>
        <w:drawing>
          <wp:inline xmlns:a="http://schemas.openxmlformats.org/drawingml/2006/main" xmlns:pic="http://schemas.openxmlformats.org/drawingml/2006/picture">
            <wp:extent cx="5669280" cy="3366135"/>
            <wp:docPr id="4" name="Picture 4"/>
            <wp:cNvGraphicFramePr>
              <a:graphicFrameLocks noChangeAspect="1"/>
            </wp:cNvGraphicFramePr>
            <a:graphic>
              <a:graphicData uri="http://schemas.openxmlformats.org/drawingml/2006/picture">
                <pic:pic>
                  <pic:nvPicPr>
                    <pic:cNvPr id="0" name="04_successful_transaction.png"/>
                    <pic:cNvPicPr/>
                  </pic:nvPicPr>
                  <pic:blipFill>
                    <a:blip r:embed="rId13"/>
                    <a:stretch>
                      <a:fillRect/>
                    </a:stretch>
                  </pic:blipFill>
                  <pic:spPr>
                    <a:xfrm>
                      <a:off x="0" y="0"/>
                      <a:ext cx="5669280" cy="3366135"/>
                    </a:xfrm>
                    <a:prstGeom prst="rect"/>
                  </pic:spPr>
                </pic:pic>
              </a:graphicData>
            </a:graphic>
          </wp:inline>
        </w:drawing>
      </w:r>
    </w:p>
    <w:p/>
    <w:p>
      <w:r>
        <w:rPr>
          <w:rFonts w:ascii="Calibri" w:hAnsi="Calibri"/>
          <w:b/>
          <w:color w:val="1E293B"/>
          <w:sz w:val="20"/>
        </w:rPr>
        <w:t>Figure 5: Transaction Revert Handling (Invalid Input &amp; Unauthorised Call)</w:t>
      </w:r>
    </w:p>
    <w:p>
      <w:pPr>
        <w:jc w:val="center"/>
      </w:pPr>
      <w:r>
        <w:drawing>
          <wp:inline xmlns:a="http://schemas.openxmlformats.org/drawingml/2006/main" xmlns:pic="http://schemas.openxmlformats.org/drawingml/2006/picture">
            <wp:extent cx="5669280" cy="3366135"/>
            <wp:docPr id="5" name="Picture 5"/>
            <wp:cNvGraphicFramePr>
              <a:graphicFrameLocks noChangeAspect="1"/>
            </wp:cNvGraphicFramePr>
            <a:graphic>
              <a:graphicData uri="http://schemas.openxmlformats.org/drawingml/2006/picture">
                <pic:pic>
                  <pic:nvPicPr>
                    <pic:cNvPr id="0" name="05_failed_transaction.png"/>
                    <pic:cNvPicPr/>
                  </pic:nvPicPr>
                  <pic:blipFill>
                    <a:blip r:embed="rId14"/>
                    <a:stretch>
                      <a:fillRect/>
                    </a:stretch>
                  </pic:blipFill>
                  <pic:spPr>
                    <a:xfrm>
                      <a:off x="0" y="0"/>
                      <a:ext cx="5669280" cy="3366135"/>
                    </a:xfrm>
                    <a:prstGeom prst="rect"/>
                  </pic:spPr>
                </pic:pic>
              </a:graphicData>
            </a:graphic>
          </wp:inline>
        </w:drawing>
      </w:r>
    </w:p>
    <w:p/>
    <w:p>
      <w:r>
        <w:rPr>
          <w:rFonts w:ascii="Calibri" w:hAnsi="Calibri"/>
          <w:b/>
          <w:color w:val="1E293B"/>
          <w:sz w:val="20"/>
        </w:rPr>
        <w:t>Figure 6: Blockchain Data Query &amp; Certificate Verification Interface</w:t>
      </w:r>
    </w:p>
    <w:p>
      <w:pPr>
        <w:jc w:val="center"/>
      </w:pPr>
      <w:r>
        <w:drawing>
          <wp:inline xmlns:a="http://schemas.openxmlformats.org/drawingml/2006/main" xmlns:pic="http://schemas.openxmlformats.org/drawingml/2006/picture">
            <wp:extent cx="5669280" cy="3366135"/>
            <wp:docPr id="6" name="Picture 6"/>
            <wp:cNvGraphicFramePr>
              <a:graphicFrameLocks noChangeAspect="1"/>
            </wp:cNvGraphicFramePr>
            <a:graphic>
              <a:graphicData uri="http://schemas.openxmlformats.org/drawingml/2006/picture">
                <pic:pic>
                  <pic:nvPicPr>
                    <pic:cNvPr id="0" name="06_blockchain_data_displayed_ui.png"/>
                    <pic:cNvPicPr/>
                  </pic:nvPicPr>
                  <pic:blipFill>
                    <a:blip r:embed="rId15"/>
                    <a:stretch>
                      <a:fillRect/>
                    </a:stretch>
                  </pic:blipFill>
                  <pic:spPr>
                    <a:xfrm>
                      <a:off x="0" y="0"/>
                      <a:ext cx="5669280" cy="3366135"/>
                    </a:xfrm>
                    <a:prstGeom prst="rect"/>
                  </pic:spPr>
                </pic:pic>
              </a:graphicData>
            </a:graphic>
          </wp:inline>
        </w:drawing>
      </w:r>
    </w:p>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oh4mpawar/academic-credential-verification-dapp"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