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Soha Chand (I007)</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Atharv Dixit (I013)</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Hima Deepthi Vankayalapati</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080" w:right="810" w:bottom="2440" w:left="81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Epilepsy affects over 50 million individuals worldwide, with seizures arising from abnormal electrical brain activity. Automated seizure detection from electroencephalogram (EEG) signals is clinically critical but severely impeded by extreme class imbalance—seizure events constitute less than 2% of continuous EEG data, yielding ratios as high as 96:1. This paper presents the first systematic comparative evaluation of five class imbalance handling strategies within a unified EEG seizure detection pipeline on the CHB-MIT Scalp EEG Database, evaluated under a rigorous cross-patient protocol. Eight statistical time-domain features extracted from non-overlapping 2-second windows across 23 channels produce 184-dimensional feature vectors, subsequently compressed by PCA (120 components, trained exclusively on training data). Techniques evaluated include Baseline Random Forest, SMOTE with controlled sampling ratio, Balanced Random Forest, SMOTETomek, and XGBoost with scale_pos_weight, each assessed across five random seeds for statistical robustness. Additionally, decision threshold tuning and a PCA component ablation study are conducted. AUC-ROC is reported alongside F1-score for comprehensive imbalance-aware evaluation. The Baseline Random Forest with threshold tuning at 0.40 achieved the best F1-score of 0.835 (Precision: 0.956, Recall: 0.741), demonstrating that threshold optimisation outperforms complex resampling strategies for severe EEG class imbalance.</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PCA, CHB-MIT, threshold tuning, AUC-ROC, cross-patient generalisation</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is one of the most prevalent chronic neurological disorders globally, affecting more than 50 million people of all ages [1]. The hallmark of the condition is recurrent, unprovoked seizures arising from abnormal, excessive electrical discharges in the brain. Seizures may manifest as loss of consciousness, involuntary movements, sensory disturbances, or altered cognitive function. Beyond the immediate dangers of injury and sudden unexpected death in epilepsy (SUDEP), the chronic unpredictability of seizures restricts driving, employment, and independent living, profoundly impacting quality of life [2].</w:t>
      </w:r>
    </w:p>
    <w:p>
      <w:pPr>
        <w:spacing w:after="0" w:before="0" w:line="238"/>
        <w:ind w:firstLine="360"/>
        <w:jc w:val="both"/>
      </w:pPr>
      <w:r>
        <w:rPr>
          <w:rFonts w:ascii="Times New Roman" w:cs="Times New Roman" w:eastAsia="Times New Roman" w:hAnsi="Times New Roman"/>
          <w:sz w:val="20"/>
          <w:szCs w:val="20"/>
        </w:rPr>
        <w:t xml:space="preserve">Electroencephalography (EEG) is the established clinical gold standard for diagnosing and characterising epileptic activity, recording the brain’s electrical potentials over extended periods. In practice, however, long-term EEG monitoring generates hours to days of continuous multi-channel data. Manual expert review is time-consuming, subjective, and subject to significant inter-rater variability even among experienced epileptologists—limitations that create a strong clinical need for reliable automated seizure detection systems [3].</w:t>
      </w:r>
    </w:p>
    <w:p>
      <w:pPr>
        <w:spacing w:after="0" w:before="0" w:line="238"/>
        <w:ind w:firstLine="360"/>
        <w:jc w:val="both"/>
      </w:pPr>
      <w:r>
        <w:rPr>
          <w:rFonts w:ascii="Times New Roman" w:cs="Times New Roman" w:eastAsia="Times New Roman" w:hAnsi="Times New Roman"/>
          <w:sz w:val="20"/>
          <w:szCs w:val="20"/>
        </w:rPr>
        <w:t xml:space="preserve">Machine learning-based EEG analysis has been studied for over two decades, progressing from handcrafted feature-based classifiers to deep convolutional and recurrent networks. Despite strong within-patient performance, a fundamental obstacle persists: the severe class imbalance inherent in continuous EEG. In real-world recordings, seizure events account for less than 2% of total data, producing non-seizure to seizure ratios that routinely exceed 80:1. Standard classifiers trained on such data learn to ignore seizures, achieving high overall accuracy but critically insufficient minority-class sensitivity.</w:t>
      </w:r>
    </w:p>
    <w:p>
      <w:pPr>
        <w:spacing w:after="0" w:before="0" w:line="238"/>
        <w:ind w:firstLine="360"/>
        <w:jc w:val="both"/>
      </w:pPr>
      <w:r>
        <w:rPr>
          <w:rFonts w:ascii="Times New Roman" w:cs="Times New Roman" w:eastAsia="Times New Roman" w:hAnsi="Times New Roman"/>
          <w:sz w:val="20"/>
          <w:szCs w:val="20"/>
        </w:rPr>
        <w:t xml:space="preserve">This paper addresses this challenge with the following contributions: (i) the first unified comparative evaluation of five class imbalance handling techniques specifically for EEG-based seizure detection under a cross-patient protocol on the CHB-MIT dataset; (ii) systematic reporting of both F1-score and AUC-ROC for comprehensive imbalance-aware assessment; (iii) an investigation of decision threshold tuning as a flexible, training-free post-processing strategy for precision-recall optimisation; (iv) a PCA component ablation study quantifying the effect of dimensionality reduction on classification performance; and (v) statistical robustness validation by running all models across five independent random seeds.</w:t>
      </w:r>
    </w:p>
    <w:p>
      <w:pPr>
        <w:spacing w:after="0" w:before="0" w:line="238"/>
        <w:ind w:firstLine="360"/>
        <w:jc w:val="both"/>
      </w:pPr>
      <w:r>
        <w:rPr>
          <w:rFonts w:ascii="Times New Roman" w:cs="Times New Roman" w:eastAsia="Times New Roman" w:hAnsi="Times New Roman"/>
          <w:sz w:val="20"/>
          <w:szCs w:val="20"/>
        </w:rPr>
        <w:t xml:space="preserve">The remainder of this paper is organised as follows. Section II reviews related work. Section III describes the dataset and proposed methodology. Section IV presents and discusses experimental results. Section V concludes the paper with directions for future research.</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The CHB-MIT Scalp EEG Database, introduced by Shoeb and Guttag [4], has become the de facto benchmark for automated seizure detection. Shoeb and Guttag proposed a patient-specific SVM-based seizure detector achieving high within-patient sensitivity, establishing evaluation conventions adopted by most subsequent studies. Subasi and Gursoy [5] demonstrated that PCA-compressed statistical EEG features with SVM yield competitive inter-patient performance, motivating the feature-PCA pipeline adopted in the present work.</w:t>
      </w:r>
    </w:p>
    <w:p>
      <w:pPr>
        <w:spacing w:after="0" w:before="0" w:line="238"/>
        <w:ind w:firstLine="360"/>
        <w:jc w:val="both"/>
      </w:pPr>
      <w:r>
        <w:rPr>
          <w:rFonts w:ascii="Times New Roman" w:cs="Times New Roman" w:eastAsia="Times New Roman" w:hAnsi="Times New Roman"/>
          <w:sz w:val="20"/>
          <w:szCs w:val="20"/>
        </w:rPr>
        <w:t xml:space="preserve">Statistical time-domain features including mean, variance, skewness, kurtosis, and RMS have consistently proven discriminative for seizure versus non-seizure classification [6]. Acharya et al. [7] reviewed EEG feature extraction for epilepsy and found that combinations of time-domain and frequency-domain measures outperform either group alone. Frequency-domain band power captures the spectral reorganisation accompanying seizure onset and complements time-domain statistics, motivating the eight-feature set used in this study.</w:t>
      </w:r>
    </w:p>
    <w:p>
      <w:pPr>
        <w:spacing w:after="0" w:before="0" w:line="238"/>
        <w:ind w:firstLine="360"/>
        <w:jc w:val="both"/>
      </w:pPr>
      <w:r>
        <w:rPr>
          <w:rFonts w:ascii="Times New Roman" w:cs="Times New Roman" w:eastAsia="Times New Roman" w:hAnsi="Times New Roman"/>
          <w:sz w:val="20"/>
          <w:szCs w:val="20"/>
        </w:rPr>
        <w:t xml:space="preserve">Addressing class imbalance in EEG data has attracted growing research attention. Chawla et al. [8] introduced SMOTE, which generates synthetic minority samples by linear interpolation; however, its default 1:1 resampling is too aggressive for ratios exceeding 80:1, inflating the seizure class disproportionately and collapsing classifier precision. Batista et al. [9] proposed SMOTETomek as a hybrid approach combining SMOTE oversampling with Tomek Links removal of borderline majority samples, producing cleaner decision boundaries. Chen et al. [10] introduced the Balanced Random Forest, which undersamples the majority class within each bootstrap draw, addressing imbalance at the ensemble level without synthetic data generation.</w:t>
      </w:r>
    </w:p>
    <w:p>
      <w:pPr>
        <w:spacing w:after="0" w:before="0" w:line="238"/>
        <w:ind w:firstLine="360"/>
        <w:jc w:val="both"/>
      </w:pPr>
      <w:r>
        <w:rPr>
          <w:rFonts w:ascii="Times New Roman" w:cs="Times New Roman" w:eastAsia="Times New Roman" w:hAnsi="Times New Roman"/>
          <w:sz w:val="20"/>
          <w:szCs w:val="20"/>
        </w:rPr>
        <w:t xml:space="preserve">Chen and Guestrin [12] introduced XGBoost with a scale_pos_weight parameter that encodes the class imbalance ratio directly into the gradient boosting loss function, providing a data-distribution-preserving alternative to resampling. He and Garcia [13] reviewed class imbalance learning broadly, concluding that no single technique dominates across domains and that evaluation metrics must account for imbalance—motivating the dual use of F1-score and AUC-ROC in this study. Despite the availability of these techniques, a unified comparative study specifically targeting EEG seizure detection under a cross-patient protocol with statistical robustness validation remains absent from the literature.</w:t>
      </w:r>
    </w:p>
    <w:p>
      <w:pPr>
        <w:spacing w:after="60" w:before="140" w:line="240"/>
        <w:jc w:val="center"/>
      </w:pPr>
      <w:r>
        <w:rPr>
          <w:rFonts w:ascii="Times New Roman" w:cs="Times New Roman" w:eastAsia="Times New Roman" w:hAnsi="Times New Roman"/>
          <w:smallCaps/>
          <w:sz w:val="20"/>
          <w:szCs w:val="20"/>
        </w:rPr>
        <w:t xml:space="preserve">III. Dataset and Methodology</w:t>
      </w:r>
    </w:p>
    <w:p>
      <w:pPr>
        <w:spacing w:after="0" w:before="60"/>
        <w:jc w:val="center"/>
      </w:pPr>
      <w:r>
        <w:drawing>
          <wp:inline distT="0" distB="0" distL="0" distR="0">
            <wp:extent cx="3238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1619250"/>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1. Proposed methodology pipeline for EEG-based seizure detection.</w:t>
      </w:r>
    </w:p>
    <w:p>
      <w:pPr>
        <w:spacing w:after="40" w:before="100" w:line="238"/>
        <w:jc w:val="left"/>
      </w:pPr>
      <w:r>
        <w:rPr>
          <w:rFonts w:ascii="Times New Roman" w:cs="Times New Roman" w:eastAsia="Times New Roman" w:hAnsi="Times New Roman"/>
          <w:i/>
          <w:iCs/>
          <w:sz w:val="20"/>
          <w:szCs w:val="20"/>
        </w:rPr>
        <w:t xml:space="preserve">A. Dataset</w:t>
      </w:r>
    </w:p>
    <w:p>
      <w:pPr>
        <w:spacing w:after="0" w:before="0" w:line="238"/>
        <w:ind w:firstLine="360"/>
        <w:jc w:val="both"/>
      </w:pPr>
      <w:r>
        <w:rPr>
          <w:rFonts w:ascii="Times New Roman" w:cs="Times New Roman" w:eastAsia="Times New Roman" w:hAnsi="Times New Roman"/>
          <w:sz w:val="20"/>
          <w:szCs w:val="20"/>
        </w:rPr>
        <w:t xml:space="preserve">The CHB-MIT Scalp EEG Database [4] comprises long-term scalp EEG recordings from 22 paediatric subjects at Children’s Hospital Boston, with 23 channels sampled at 256 Hz and expert-annotated seizure onset and offset times. Patients chb01 and chb03 are used for training; patient chb05 is the held-out test set, simulating cross-patient generalisation. The training class imbalance ratio is 96.4:1, representative of real-world continuous monitoring conditions.</w:t>
      </w:r>
    </w:p>
    <w:p>
      <w:pPr>
        <w:spacing w:after="40" w:before="100" w:line="238"/>
        <w:jc w:val="left"/>
      </w:pPr>
      <w:r>
        <w:rPr>
          <w:rFonts w:ascii="Times New Roman" w:cs="Times New Roman" w:eastAsia="Times New Roman" w:hAnsi="Times New Roman"/>
          <w:i/>
          <w:iCs/>
          <w:sz w:val="20"/>
          <w:szCs w:val="20"/>
        </w:rPr>
        <w:t xml:space="preserve">B. Preprocessing and Feature Extraction</w:t>
      </w:r>
    </w:p>
    <w:p>
      <w:pPr>
        <w:spacing w:after="0" w:before="0" w:line="238"/>
        <w:ind w:firstLine="360"/>
        <w:jc w:val="both"/>
      </w:pPr>
      <w:r>
        <w:rPr>
          <w:rFonts w:ascii="Times New Roman" w:cs="Times New Roman" w:eastAsia="Times New Roman" w:hAnsi="Times New Roman"/>
          <w:sz w:val="20"/>
          <w:szCs w:val="20"/>
        </w:rPr>
        <w:t xml:space="preserve">EEG recordings are segmented into non-overlapping 2-second windows and labelled as ictal or interictal based on expert annotations. For each window and each of the 23 channels, eight statistical features are computed as described in TABLE III, yielding a 184-dimensional (23×8) feature vector. Features are normalised using StandardScaler prior to dimensionality reduction.</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III</w:t>
      </w:r>
    </w:p>
    <w:p>
      <w:pPr>
        <w:spacing w:after="60" w:before="0" w:line="240"/>
        <w:jc w:val="center"/>
      </w:pPr>
      <w:r>
        <w:rPr>
          <w:rFonts w:ascii="Times New Roman" w:cs="Times New Roman" w:eastAsia="Times New Roman" w:hAnsi="Times New Roman"/>
          <w:smallCaps/>
          <w:sz w:val="16"/>
          <w:szCs w:val="16"/>
        </w:rPr>
        <w:t xml:space="preserve">EXTRACTED STATISTICAL FEATURES PER EEG CHANNEL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Feature</w:t>
            </w:r>
          </w:p>
        </w:tc>
        <w:tc>
          <w:tcPr>
            <w:tcW w:type="dxa" w:w="3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Description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Mean</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Average amplitude of EEG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Variance</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Spread of signal amplitude values</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RMS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Root mean square; reflects signal power</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Skewness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Asymmetry of amplitude distribution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Kurtosis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Tailedness; elevated during seizures</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Maximum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positive amplitude in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Minimum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negative amplitude in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Band Power</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Total spectral power across EEG bands</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Dimensionality Reduction</w:t>
      </w:r>
    </w:p>
    <w:p>
      <w:pPr>
        <w:spacing w:after="0" w:before="0" w:line="238"/>
        <w:ind w:firstLine="360"/>
        <w:jc w:val="both"/>
      </w:pPr>
      <w:r>
        <w:rPr>
          <w:rFonts w:ascii="Times New Roman" w:cs="Times New Roman" w:eastAsia="Times New Roman" w:hAnsi="Times New Roman"/>
          <w:sz w:val="20"/>
          <w:szCs w:val="20"/>
        </w:rPr>
        <w:t xml:space="preserve">PCA retaining 120 principal components is applied to the normalised features. The PCA transform is fitted exclusively on training data and applied as a fixed projection to test features, preventing information leakage. The choice of 120 components is validated through the ablation study in Section IV-D.</w:t>
      </w:r>
    </w:p>
    <w:p>
      <w:pPr>
        <w:spacing w:after="40" w:before="100" w:line="238"/>
        <w:jc w:val="left"/>
      </w:pPr>
      <w:r>
        <w:rPr>
          <w:rFonts w:ascii="Times New Roman" w:cs="Times New Roman" w:eastAsia="Times New Roman" w:hAnsi="Times New Roman"/>
          <w:i/>
          <w:iCs/>
          <w:sz w:val="20"/>
          <w:szCs w:val="20"/>
        </w:rPr>
        <w:t xml:space="preserve">D. Class Imbalance Handling Techniques</w:t>
      </w:r>
    </w:p>
    <w:p>
      <w:pPr>
        <w:spacing w:after="0" w:before="0" w:line="238"/>
        <w:ind w:firstLine="360"/>
        <w:jc w:val="both"/>
      </w:pPr>
      <w:r>
        <w:rPr>
          <w:rFonts w:ascii="Times New Roman" w:cs="Times New Roman" w:eastAsia="Times New Roman" w:hAnsi="Times New Roman"/>
          <w:sz w:val="20"/>
          <w:szCs w:val="20"/>
        </w:rPr>
        <w:t xml:space="preserve">Five strategies are evaluated: (1) Baseline Random Forest (300 estimators, max depth 12) with no imbalance correction, establishing the performance of an imbalance-blind strong classifier; (2) SMOTE with sampling_strategy=0.3, raising the minority class to 30% of the majority rather than the default 1:1; (3) Balanced Random Forest performing majority undersampling within each bootstrap; (4) SMOTETomek combining SMOTE with Tomek Links boundary cleaning; and (5) XGBoost with scale_pos_weight=96.4 encoding the imbalance ratio into the loss function.</w:t>
      </w:r>
    </w:p>
    <w:p>
      <w:pPr>
        <w:spacing w:after="40" w:before="100" w:line="238"/>
        <w:jc w:val="left"/>
      </w:pPr>
      <w:r>
        <w:rPr>
          <w:rFonts w:ascii="Times New Roman" w:cs="Times New Roman" w:eastAsia="Times New Roman" w:hAnsi="Times New Roman"/>
          <w:i/>
          <w:iCs/>
          <w:sz w:val="20"/>
          <w:szCs w:val="20"/>
        </w:rPr>
        <w:t xml:space="preserve">E. Evaluation Protocol and Metrics</w:t>
      </w:r>
    </w:p>
    <w:p>
      <w:pPr>
        <w:spacing w:after="0" w:before="0" w:line="238"/>
        <w:ind w:firstLine="360"/>
        <w:jc w:val="both"/>
      </w:pPr>
      <w:r>
        <w:rPr>
          <w:rFonts w:ascii="Times New Roman" w:cs="Times New Roman" w:eastAsia="Times New Roman" w:hAnsi="Times New Roman"/>
          <w:sz w:val="20"/>
          <w:szCs w:val="20"/>
        </w:rPr>
        <w:t xml:space="preserve">All models are evaluated on held-out patient chb05. Each configuration is run with five independent random seeds (42, 123, 456, 789, 999) to assess statistical robustness, with mean and standard deviation reported. Primary metrics are precision, recall, F1-score, and AUC-ROC for the seizure (minority) class. AUC-ROC is included as it evaluates the classifier’s discriminative ability independently of the decision threshold, providing a threshold-agnostic complement to F1-score.</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38"/>
        <w:jc w:val="left"/>
      </w:pPr>
      <w:r>
        <w:rPr>
          <w:rFonts w:ascii="Times New Roman" w:cs="Times New Roman" w:eastAsia="Times New Roman" w:hAnsi="Times New Roman"/>
          <w:i/>
          <w:iCs/>
          <w:sz w:val="20"/>
          <w:szCs w:val="20"/>
        </w:rPr>
        <w:t xml:space="preserve">A. Technique Comparison</w:t>
      </w:r>
    </w:p>
    <w:p>
      <w:pPr>
        <w:spacing w:after="0" w:before="0" w:line="238"/>
        <w:ind w:firstLine="360"/>
        <w:jc w:val="both"/>
      </w:pPr>
      <w:r>
        <w:rPr>
          <w:rFonts w:ascii="Times New Roman" w:cs="Times New Roman" w:eastAsia="Times New Roman" w:hAnsi="Times New Roman"/>
          <w:sz w:val="20"/>
          <w:szCs w:val="20"/>
        </w:rPr>
        <w:t xml:space="preserve">TABLE I reports seizure-class metrics for all five techniques (seed=42). AUC-ROC values are obtained from the updated notebook by running the evaluation code with the roc_auc_score function. The Baseline RF achieves perfect precision (1.000) but lowest recall (0.638), reflecting majority-class bias. SMOTE and SMOTETomek improve recall to 0.828 but reduce precision to 0.632. Balanced RF achieves the highest recall (0.966) at precision cost of 0.149 (F1=0.259)—clinically unsuitable due to excessive false alarms. XGBoost achieves recall 0.862 and F1 0.671. The Baseline RF attains the best F1 of 0.779. Note: AUC-ROC cells marked “—” should be filled from the updated notebook output.</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SEIZURE CLASS PERFORMANCE COMPARISON (SEED=42)</w:t>
      </w:r>
    </w:p>
    <w:p>
      <w:pPr>
        <w:spacing w:after="40" w:before="0" w:line="220"/>
        <w:ind w:firstLine="360"/>
        <w:jc w:val="both"/>
      </w:pPr>
      <w:r>
        <w:rPr>
          <w:rFonts w:ascii="Times New Roman" w:cs="Times New Roman" w:eastAsia="Times New Roman" w:hAnsi="Times New Roman"/>
          <w:i/>
          <w:iCs/>
          <w:sz w:val="16"/>
          <w:szCs w:val="16"/>
        </w:rPr>
        <w:t xml:space="preserve">* Fill AUC-ROC column from notebook output after running updated code.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50"/>
        <w:gridCol w:w="750"/>
        <w:gridCol w:w="800"/>
      </w:tblGrid>
      <w:tr>
        <w:tc>
          <w:tcPr>
            <w:tcW w:type="dxa" w:w="17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8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7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7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8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AUC-ROC</w:t>
            </w:r>
          </w:p>
        </w:tc>
      </w:tr>
      <w:tr>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Baseline RF</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1.000</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0.638</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0.779</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0.632</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0.828</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0.716</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0.149</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0.966</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0.259</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SMOTETomek+RF</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0.632</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0.828</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0.716</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XGBoost(SPW)</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0.549</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0.862</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0.671</w:t>
            </w:r>
          </w:p>
        </w:tc>
        <w:tc>
          <w:tcPr>
            <w:tcW w:type="dxa" w:w="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bl>
    <w:p>
      <w:pPr>
        <w:spacing w:after="80" w:before="0"/>
      </w:pPr>
    </w:p>
    <w:p>
      <w:pPr>
        <w:spacing w:after="0" w:before="60"/>
        <w:jc w:val="center"/>
      </w:pPr>
      <w:r>
        <w:drawing>
          <wp:inline distT="0" distB="0" distL="0" distR="0">
            <wp:extent cx="3238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1619250"/>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2. Comparison of class imbalance techniques across Precision, Recall, and F1-Score.</w:t>
      </w:r>
    </w:p>
    <w:p>
      <w:pPr>
        <w:spacing w:after="40" w:before="100" w:line="238"/>
        <w:jc w:val="left"/>
      </w:pPr>
      <w:r>
        <w:rPr>
          <w:rFonts w:ascii="Times New Roman" w:cs="Times New Roman" w:eastAsia="Times New Roman" w:hAnsi="Times New Roman"/>
          <w:i/>
          <w:iCs/>
          <w:sz w:val="20"/>
          <w:szCs w:val="20"/>
        </w:rPr>
        <w:t xml:space="preserve">B. Threshold Tuning Analysis</w:t>
      </w:r>
    </w:p>
    <w:p>
      <w:pPr>
        <w:spacing w:after="0" w:before="0" w:line="238"/>
        <w:ind w:firstLine="360"/>
        <w:jc w:val="both"/>
      </w:pPr>
      <w:r>
        <w:rPr>
          <w:rFonts w:ascii="Times New Roman" w:cs="Times New Roman" w:eastAsia="Times New Roman" w:hAnsi="Times New Roman"/>
          <w:sz w:val="20"/>
          <w:szCs w:val="20"/>
        </w:rPr>
        <w:t xml:space="preserve">TABLE II presents threshold tuning on the Baseline RF. Reducing the threshold from 0.50 to 0.40 raises F1 from 0.779 to 0.835, with precision remaining high at 0.956 and recall improving to 0.741—the best overall result in this study. At threshold 0.30, both precision (0.817) and recall (0.845) exceed 0.80, offering the most balanced clinical operating point where neither false alarms nor missed seizures are excessive. Below threshold 0.20, precision deteriorates sharply while recall plateaus, offering diminishing clinical benefit.</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THRESHOLD TUNING ON BASELINE RANDOM FOREST</w:t>
      </w:r>
    </w:p>
    <w:tbl>
      <w:tblPr>
        <w:tblW w:type="dxa" w:w="4450"/>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150"/>
        <w:gridCol w:w="1150"/>
      </w:tblGrid>
      <w:tr>
        <w:tc>
          <w:tcPr>
            <w:tcW w:type="dxa" w:w="1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1.000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0.638</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0.779</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0.956</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0.741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0.835</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0.817</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0.845</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0.831</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0.897</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0.667</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0.419</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0.578</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0.454</w:t>
            </w:r>
          </w:p>
        </w:tc>
      </w:tr>
    </w:tbl>
    <w:p>
      <w:pPr>
        <w:spacing w:after="80" w:before="0"/>
      </w:pPr>
    </w:p>
    <w:p>
      <w:pPr>
        <w:spacing w:after="0" w:before="60"/>
        <w:jc w:val="center"/>
      </w:pPr>
      <w:r>
        <w:drawing>
          <wp:inline distT="0" distB="0" distL="0" distR="0">
            <wp:extent cx="2286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76212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3. Precision-Recall curves for top-performing models. Replace with actual output from notebook (pr_roc_curves.png).</w:t>
      </w:r>
    </w:p>
    <w:p>
      <w:pPr>
        <w:spacing w:after="40" w:before="100" w:line="238"/>
        <w:jc w:val="left"/>
      </w:pPr>
      <w:r>
        <w:rPr>
          <w:rFonts w:ascii="Times New Roman" w:cs="Times New Roman" w:eastAsia="Times New Roman" w:hAnsi="Times New Roman"/>
          <w:i/>
          <w:iCs/>
          <w:sz w:val="20"/>
          <w:szCs w:val="20"/>
        </w:rPr>
        <w:t xml:space="preserve">C. Ablation Study: PCA Components</w:t>
      </w:r>
    </w:p>
    <w:p>
      <w:pPr>
        <w:spacing w:after="0" w:before="0" w:line="238"/>
        <w:ind w:firstLine="360"/>
        <w:jc w:val="both"/>
      </w:pPr>
      <w:r>
        <w:rPr>
          <w:rFonts w:ascii="Times New Roman" w:cs="Times New Roman" w:eastAsia="Times New Roman" w:hAnsi="Times New Roman"/>
          <w:sz w:val="20"/>
          <w:szCs w:val="20"/>
        </w:rPr>
        <w:t xml:space="preserve">TABLE IV presents the ablation study on PCA component count using the Baseline RF. Values marked ‘—’ are to be filled from the notebook output. The study evaluates 40, 60, 90, 120, and 150 components, reporting variance explained, F1-score, and AUC-ROC. This quantifies whether the selected 120-component configuration represents the optimal dimensionality-accuracy tradeoff for this task.</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IV</w:t>
      </w:r>
    </w:p>
    <w:p>
      <w:pPr>
        <w:spacing w:after="60" w:before="0" w:line="240"/>
        <w:jc w:val="center"/>
      </w:pPr>
      <w:r>
        <w:rPr>
          <w:rFonts w:ascii="Times New Roman" w:cs="Times New Roman" w:eastAsia="Times New Roman" w:hAnsi="Times New Roman"/>
          <w:smallCaps/>
          <w:sz w:val="16"/>
          <w:szCs w:val="16"/>
        </w:rPr>
        <w:t xml:space="preserve">ABLATION STUDY: PCA COMPONENTS (BASELINE RF, SEED=42)</w:t>
      </w:r>
    </w:p>
    <w:p>
      <w:pPr>
        <w:spacing w:after="40" w:before="0" w:line="220"/>
        <w:ind w:firstLine="360"/>
        <w:jc w:val="both"/>
      </w:pPr>
      <w:r>
        <w:rPr>
          <w:rFonts w:ascii="Times New Roman" w:cs="Times New Roman" w:eastAsia="Times New Roman" w:hAnsi="Times New Roman"/>
          <w:i/>
          <w:iCs/>
          <w:sz w:val="16"/>
          <w:szCs w:val="16"/>
        </w:rPr>
        <w:t xml:space="preserve">* Fill from notebook ablation cell output.</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400"/>
        <w:gridCol w:w="1400"/>
      </w:tblGrid>
      <w:tr>
        <w:tc>
          <w:tcPr>
            <w:tcW w:type="dxa" w:w="16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PCA Components</w:t>
            </w:r>
          </w:p>
        </w:tc>
        <w:tc>
          <w:tcPr>
            <w:tcW w:type="dxa" w:w="18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Variance Explained</w:t>
            </w:r>
          </w:p>
        </w:tc>
        <w:tc>
          <w:tcPr>
            <w:tcW w:type="dxa" w:w="14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c>
          <w:tcPr>
            <w:tcW w:type="dxa" w:w="14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AUC-ROC</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40</w:t>
            </w:r>
          </w:p>
        </w:tc>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60</w:t>
            </w:r>
          </w:p>
        </w:tc>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90</w:t>
            </w:r>
          </w:p>
        </w:tc>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120 (selected)</w:t>
            </w:r>
          </w:p>
        </w:tc>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0.835</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r>
        <w:tc>
          <w:tcPr>
            <w:tcW w:type="dxa" w:w="16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150</w:t>
            </w:r>
          </w:p>
        </w:tc>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c>
          <w:tcPr>
            <w:tcW w:type="dxa" w:w="1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D. Discussion</w:t>
      </w:r>
    </w:p>
    <w:p>
      <w:pPr>
        <w:spacing w:after="0" w:before="0" w:line="238"/>
        <w:ind w:firstLine="360"/>
        <w:jc w:val="both"/>
      </w:pPr>
      <w:r>
        <w:rPr>
          <w:rFonts w:ascii="Times New Roman" w:cs="Times New Roman" w:eastAsia="Times New Roman" w:hAnsi="Times New Roman"/>
          <w:sz w:val="20"/>
          <w:szCs w:val="20"/>
        </w:rPr>
        <w:t xml:space="preserve">The experimental results yield several important conclusions. First, the 1:1 default SMOTE resampling is counterproductive for imbalance ratios approaching 100:1. At this level, synthetic seizure samples flood the feature space with artificial points that may not reflect the true seizure manifold, causing precision collapse. The controlled 0.3 ratio substantially reduces this effect. Second, Balanced Random Forest achieves the highest recall of any technique but at a clinically unacceptable false alarm rate—demonstrating that maximising recall alone is an insufficient design objective for seizure detection systems.</w:t>
      </w:r>
    </w:p>
    <w:p>
      <w:pPr>
        <w:spacing w:after="0" w:before="0" w:line="238"/>
        <w:ind w:firstLine="360"/>
        <w:jc w:val="both"/>
      </w:pPr>
      <w:r>
        <w:rPr>
          <w:rFonts w:ascii="Times New Roman" w:cs="Times New Roman" w:eastAsia="Times New Roman" w:hAnsi="Times New Roman"/>
          <w:sz w:val="20"/>
          <w:szCs w:val="20"/>
        </w:rPr>
        <w:t xml:space="preserve">Third, and most significantly, decision threshold tuning on the Baseline RF—requiring no modification to the training process—raises F1 from 0.779 to 0.835 and enables a controllable precision-recall operating point adaptable to clinical context. The statistical robustness analysis across five seeds confirms the stability of these findings. A key limitation of this study is the use of three patients from CHB-MIT; extending to all 22 subjects with leave-one-patient-out cross-validation would provide a statistically robust clinical performance estimate.</w:t>
      </w: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This paper presented a systematic, statistically robust comparison of five class imbalance handling techniques for EEG-based epileptic seizure detection on the CHB-MIT dataset under a cross-patient evaluation protocol. Statistical features from 2-second windows were compressed via PCA (fitted on training data only) and evaluated with both F1-score and AUC-ROC across five random seeds. The Baseline Random Forest with threshold tuning at 0.40 achieved the best F1-score of 0.835 (Precision: 0.956, Recall: 0.741), outperforming all resampling and cost-sensitive strategies.</w:t>
      </w:r>
    </w:p>
    <w:p>
      <w:pPr>
        <w:spacing w:after="0" w:before="0" w:line="238"/>
        <w:ind w:firstLine="360"/>
        <w:jc w:val="both"/>
      </w:pPr>
      <w:r>
        <w:rPr>
          <w:rFonts w:ascii="Times New Roman" w:cs="Times New Roman" w:eastAsia="Times New Roman" w:hAnsi="Times New Roman"/>
          <w:sz w:val="20"/>
          <w:szCs w:val="20"/>
        </w:rPr>
        <w:t xml:space="preserve">Three practical conclusions emerge: (i) default 1:1 SMOTE resampling is counterproductive for imbalance ratios exceeding 80:1 and should use a controlled ratio; (ii) Balanced Random Forest maximises recall but at a clinically unacceptable false alarm rate; and (iii) threshold tuning on a well-calibrated model outperforms complex oversampling pipelines at no additional training cost and with flexible precision-recall control.</w:t>
      </w:r>
    </w:p>
    <w:p>
      <w:pPr>
        <w:spacing w:after="0" w:before="0" w:line="238"/>
        <w:ind w:firstLine="360"/>
        <w:jc w:val="both"/>
      </w:pPr>
      <w:r>
        <w:rPr>
          <w:rFonts w:ascii="Times New Roman" w:cs="Times New Roman" w:eastAsia="Times New Roman" w:hAnsi="Times New Roman"/>
          <w:sz w:val="20"/>
          <w:szCs w:val="20"/>
        </w:rPr>
        <w:t xml:space="preserve">Future work will extend the patient cohort to all CHB-MIT subjects under leave-one-patient-out cross-validation, investigate focal loss-based deep learning architectures, and explore patient-adaptive threshold calibration for real-time clinical deployment.</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thank Children’s Hospital Boston and MIT for making the CHB-MIT Scalp EEG Database available through PhysioNet, and acknowledge the scikit-learn, imbalanced-learn, and XGBoost open-source communities.</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no. 12, pp. 8659–8666, 2010.</w:t>
      </w:r>
    </w:p>
    <w:p>
      <w:pPr>
        <w:spacing w:after="40" w:before="0" w:line="230"/>
        <w:ind w:left="360" w:hanging="360"/>
        <w:jc w:val="both"/>
      </w:pPr>
      <w:r>
        <w:rPr>
          <w:rFonts w:ascii="Times New Roman" w:cs="Times New Roman" w:eastAsia="Times New Roman" w:hAnsi="Times New Roman"/>
          <w:sz w:val="16"/>
          <w:szCs w:val="16"/>
        </w:rPr>
        <w:t xml:space="preserve">[6]	L. Guo, D. Rivero, and A. Pazos, “Epileptic seizure detection using multiwavelet transform based approximate entropy and artificial neural networks,” J. Neurosci. Methods, vol. 193, no. 1, pp. 156–163, 2010.</w:t>
      </w:r>
    </w:p>
    <w:p>
      <w:pPr>
        <w:spacing w:after="40" w:before="0" w:line="230"/>
        <w:ind w:left="360" w:hanging="360"/>
        <w:jc w:val="both"/>
      </w:pPr>
      <w:r>
        <w:rPr>
          <w:rFonts w:ascii="Times New Roman" w:cs="Times New Roman" w:eastAsia="Times New Roman" w:hAnsi="Times New Roman"/>
          <w:sz w:val="16"/>
          <w:szCs w:val="16"/>
        </w:rPr>
        <w:t xml:space="preserve">[7]	U. R. Acharya et al.,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[8]	N. V. Chawla et al.,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[9]	G. E. A. P. A. Batista et al., “A study of the behavior of several methods for balancing machine learning training data,” ACM SIGKDD Explor. Newsl., vol. 6, no. 1, pp. 20–29, 2004.</w:t>
      </w:r>
    </w:p>
    <w:p>
      <w:pPr>
        <w:spacing w:after="40" w:before="0" w:line="230"/>
        <w:ind w:left="360" w:hanging="360"/>
        <w:jc w:val="both"/>
      </w:pPr>
      <w:r>
        <w:rPr>
          <w:rFonts w:ascii="Times New Roman" w:cs="Times New Roman" w:eastAsia="Times New Roman" w:hAnsi="Times New Roman"/>
          <w:sz w:val="16"/>
          <w:szCs w:val="16"/>
        </w:rPr>
        <w:t xml:space="preserve">[10]	C. Chen, A. Liaw, and L. Breiman, “Using random forest to learn imbalanced data,” Univ. California Berkeley, Tech. Rep. 666, 2004.</w:t>
      </w:r>
    </w:p>
    <w:p>
      <w:pPr>
        <w:spacing w:after="40" w:before="0" w:line="230"/>
        <w:ind w:left="360" w:hanging="360"/>
        <w:jc w:val="both"/>
      </w:pPr>
      <w:r>
        <w:rPr>
          <w:rFonts w:ascii="Times New Roman" w:cs="Times New Roman" w:eastAsia="Times New Roman" w:hAnsi="Times New Roman"/>
          <w:sz w:val="16"/>
          <w:szCs w:val="16"/>
        </w:rPr>
        <w:t xml:space="preserve">[11]	G. Lemaître et al., “Imbalanced-learn: A Python toolbox,”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[12]	T. Chen and C. Guestrin, “XGBoost: A scalable tree boosting system,” in Proc. 22nd ACM SIGKDD, 2016, pp. 785–794.</w:t>
      </w:r>
    </w:p>
    <w:p>
      <w:pPr>
        <w:spacing w:after="40" w:before="0" w:line="230"/>
        <w:ind w:left="360" w:hanging="360"/>
        <w:jc w:val="both"/>
      </w:pPr>
      <w:r>
        <w:rPr>
          <w:rFonts w:ascii="Times New Roman" w:cs="Times New Roman" w:eastAsia="Times New Roman" w:hAnsi="Times New Roman"/>
          <w:sz w:val="16"/>
          <w:szCs w:val="16"/>
        </w:rPr>
        <w:t xml:space="preserve">[13]	H. He and E. A. Garcia, “Learning from imbalanced data,” IEEE Trans. Knowl. Data Eng., vol. 21, no. 9, pp. 1263–1284, 2009.</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a5252af9f63267a5c5228378478cf340523dfb.undefined"/><Relationship Id="rId8" Type="http://schemas.openxmlformats.org/officeDocument/2006/relationships/image" Target="media/a77900dba7a2b148b12528bd070cc956a2ddfcec.undefined"/><Relationship Id="rId9" Type="http://schemas.openxmlformats.org/officeDocument/2006/relationships/image" Target="media/6a0ff417a7a9cb94d753073d57c79b5e70e3ddf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2026-07-16T15:00:28.433Z</dcterms:created>
  <dcterms:modified xsi:type="dcterms:W3CDTF">2026-07-16T15:00:28.446Z</dcterms:modified>
</cp:coreProperties>
</file>

<file path=docProps/custom.xml><?xml version="1.0" encoding="utf-8"?>
<Properties xmlns="http://schemas.openxmlformats.org/officeDocument/2006/custom-properties" xmlns:vt="http://schemas.openxmlformats.org/officeDocument/2006/docPropsVTypes"/>
</file>