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val="0"/>
          <w:i w:val="0"/>
          <w:sz w:val="48"/>
        </w:rPr>
        <w:t>Epileptic Seizure Detection Using Machine Learning: A Comparative Study of Class Imbalance Handling Techniques</w:t>
      </w:r>
    </w:p>
    <w:tbl>
      <w:tblPr>
        <w:tblStyle w:val="TableGrid"/>
        <w:tblW w:type="auto" w:w="0"/>
        <w:tblLook w:firstColumn="1" w:firstRow="1" w:lastColumn="0" w:lastRow="0" w:noHBand="0" w:noVBand="1" w:val="04A0"/>
      </w:tblPr>
      <w:tblGrid>
        <w:gridCol w:w="3427"/>
        <w:gridCol w:w="3427"/>
        <w:gridCol w:w="3427"/>
      </w:tblGrid>
      <w:tr>
        <w:tc>
          <w:tcPr>
            <w:tcW w:type="dxa" w:w="3427"/>
            <w:tcBorders>
              <w:top w:val="nil"/>
              <w:left w:val="nil"/>
              <w:bottom w:val="nil"/>
              <w:right w:val="nil"/>
              <w:insideH w:val="nil"/>
              <w:insideV w:val="nil"/>
            </w:tcBorders>
          </w:tcPr>
          <w:p>
            <w:pPr>
              <w:spacing w:before="0" w:after="0" w:lineRule="exact" w:line="240"/>
              <w:ind w:firstLine="0"/>
              <w:jc w:val="center"/>
            </w:pPr>
            <w:r>
              <w:rPr>
                <w:rFonts w:ascii="Times New Roman" w:hAnsi="Times New Roman"/>
                <w:b w:val="0"/>
                <w:i w:val="0"/>
                <w:sz w:val="22"/>
              </w:rPr>
              <w:t>Soha Chand (I007)</w:t>
            </w:r>
          </w:p>
          <w:p>
            <w:pPr>
              <w:spacing w:before="0" w:after="0" w:lineRule="exact" w:line="240"/>
              <w:ind w:firstLine="0"/>
              <w:jc w:val="center"/>
            </w:pPr>
            <w:r>
              <w:rPr>
                <w:rFonts w:ascii="Times New Roman" w:hAnsi="Times New Roman"/>
                <w:b w:val="0"/>
                <w:i/>
                <w:sz w:val="20"/>
              </w:rPr>
              <w:t>Dept. of Artificial Intelligence Engineering</w:t>
              <w:br/>
              <w:t>Mukesh Patel School of Technology Management &amp; Engineering, SVKM’s NMIMS</w:t>
            </w:r>
          </w:p>
          <w:p>
            <w:pPr>
              <w:spacing w:before="0" w:after="0" w:lineRule="exact" w:line="240"/>
              <w:ind w:firstLine="0"/>
              <w:jc w:val="center"/>
            </w:pPr>
            <w:r>
              <w:rPr>
                <w:rFonts w:ascii="Courier New" w:hAnsi="Courier New"/>
                <w:b w:val="0"/>
                <w:i w:val="0"/>
                <w:sz w:val="18"/>
              </w:rPr>
              <w:t>soha.chand36@nmims.in</w:t>
            </w:r>
          </w:p>
        </w:tc>
        <w:tc>
          <w:tcPr>
            <w:tcW w:type="dxa" w:w="3427"/>
            <w:tcBorders>
              <w:top w:val="nil"/>
              <w:left w:val="nil"/>
              <w:bottom w:val="nil"/>
              <w:right w:val="nil"/>
              <w:insideH w:val="nil"/>
              <w:insideV w:val="nil"/>
            </w:tcBorders>
          </w:tcPr>
          <w:p>
            <w:pPr>
              <w:spacing w:before="0" w:after="0" w:lineRule="exact" w:line="240"/>
              <w:ind w:firstLine="0"/>
              <w:jc w:val="center"/>
            </w:pPr>
            <w:r>
              <w:rPr>
                <w:rFonts w:ascii="Times New Roman" w:hAnsi="Times New Roman"/>
                <w:b w:val="0"/>
                <w:i w:val="0"/>
                <w:sz w:val="22"/>
              </w:rPr>
              <w:t>Atharv Dixit (I013)</w:t>
            </w:r>
          </w:p>
          <w:p>
            <w:pPr>
              <w:spacing w:before="0" w:after="0" w:lineRule="exact" w:line="240"/>
              <w:ind w:firstLine="0"/>
              <w:jc w:val="center"/>
            </w:pPr>
            <w:r>
              <w:rPr>
                <w:rFonts w:ascii="Times New Roman" w:hAnsi="Times New Roman"/>
                <w:b w:val="0"/>
                <w:i/>
                <w:sz w:val="20"/>
              </w:rPr>
              <w:t>Dept. of Artificial Intelligence Engineering</w:t>
              <w:br/>
              <w:t>Mukesh Patel School of Technology Management &amp; Engineering, SVKM’s NMIMS</w:t>
            </w:r>
          </w:p>
          <w:p>
            <w:pPr>
              <w:spacing w:before="0" w:after="0" w:lineRule="exact" w:line="240"/>
              <w:ind w:firstLine="0"/>
              <w:jc w:val="center"/>
            </w:pPr>
            <w:r>
              <w:rPr>
                <w:rFonts w:ascii="Courier New" w:hAnsi="Courier New"/>
                <w:b w:val="0"/>
                <w:i w:val="0"/>
                <w:sz w:val="18"/>
              </w:rPr>
              <w:t>atharv.dixit69@nmims.in</w:t>
            </w:r>
          </w:p>
        </w:tc>
        <w:tc>
          <w:tcPr>
            <w:tcW w:type="dxa" w:w="3427"/>
            <w:tcBorders>
              <w:top w:val="nil"/>
              <w:left w:val="nil"/>
              <w:bottom w:val="nil"/>
              <w:right w:val="nil"/>
              <w:insideH w:val="nil"/>
              <w:insideV w:val="nil"/>
            </w:tcBorders>
          </w:tcPr>
          <w:p>
            <w:pPr>
              <w:spacing w:before="0" w:after="0" w:lineRule="exact" w:line="240"/>
              <w:ind w:firstLine="0"/>
              <w:jc w:val="center"/>
            </w:pPr>
            <w:r>
              <w:rPr>
                <w:rFonts w:ascii="Times New Roman" w:hAnsi="Times New Roman"/>
                <w:b w:val="0"/>
                <w:i w:val="0"/>
                <w:sz w:val="22"/>
              </w:rPr>
              <w:t>Hima Deepthi Vankayalapati</w:t>
            </w:r>
          </w:p>
          <w:p>
            <w:pPr>
              <w:spacing w:before="0" w:after="0" w:lineRule="exact" w:line="240"/>
              <w:ind w:firstLine="0"/>
              <w:jc w:val="center"/>
            </w:pPr>
            <w:r>
              <w:rPr>
                <w:rFonts w:ascii="Times New Roman" w:hAnsi="Times New Roman"/>
                <w:b w:val="0"/>
                <w:i/>
                <w:sz w:val="20"/>
              </w:rPr>
              <w:t>Dept. of Artificial Intelligence Engineering</w:t>
              <w:br/>
              <w:t>Mukesh Patel School of Technology Management &amp; Engineering, SVKM’s NMIMS</w:t>
            </w:r>
          </w:p>
          <w:p>
            <w:pPr>
              <w:spacing w:before="0" w:after="0" w:lineRule="exact" w:line="240"/>
              <w:ind w:firstLine="0"/>
              <w:jc w:val="center"/>
            </w:pPr>
            <w:r>
              <w:rPr>
                <w:rFonts w:ascii="Courier New" w:hAnsi="Courier New"/>
                <w:b w:val="0"/>
                <w:i w:val="0"/>
                <w:sz w:val="18"/>
              </w:rPr>
              <w:t>himadeepthi.vankayalapati@nmims.in</w:t>
            </w:r>
          </w:p>
        </w:tc>
      </w:tr>
    </w:tbl>
    <w:p/>
    <w:p>
      <w:pPr>
        <w:sectPr>
          <w:pgSz w:w="11906" w:h="16838"/>
          <w:pgMar w:top="1077" w:right="812" w:bottom="2438" w:left="812" w:header="720" w:footer="720" w:gutter="0"/>
          <w:cols w:space="720"/>
          <w:docGrid w:linePitch="360"/>
        </w:sectPr>
      </w:pPr>
    </w:p>
    <w:p>
      <w:pPr>
        <w:spacing w:before="0" w:after="60" w:lineRule="exact" w:line="200"/>
        <w:ind w:firstLine="0"/>
        <w:jc w:val="both"/>
      </w:pPr>
      <w:r>
        <w:rPr>
          <w:rFonts w:ascii="Times New Roman" w:hAnsi="Times New Roman"/>
          <w:b/>
          <w:i/>
          <w:sz w:val="18"/>
        </w:rPr>
        <w:t>Abstract—</w:t>
      </w:r>
      <w:r>
        <w:rPr>
          <w:rFonts w:ascii="Times New Roman" w:hAnsi="Times New Roman"/>
          <w:b w:val="0"/>
          <w:i w:val="0"/>
          <w:sz w:val="18"/>
        </w:rPr>
        <w:t xml:space="preserve"> The condition of epilepsy affects over fifty million people worldwide and involves seizures that are produced because of abnormal behavior of the brain. The automatic discovery of seizures is based on signals from EEGs. However, the problem is in the great imbalance of class performance: the modes of seizures represent less than two percent of the data on EEGs, resulting in a ratio up to 115.7 (seizures to no-seizures). The current research aims to conduct a comparative test of five methods dealing with class imbalance on the basis of CHB-MIT Scalp EEG Database. There were tested Statistical features in time domain and in frequency band: 11 features were extracted from the 2 seconds wide time window. PCA was used for compression of 120 features. The following techniques indicated good performance according to different tests – Baseline Random Forest (RF), RF+ SMOTE, Balanced Random Forest, SMOTETomek+RF, and XGBoost. The outcomes of tests prove that the Baseline Random Forest has 0.980±0.001 and a very good FDR (12.91±1.56). All models achieve inference times below 0.025ms per window, confirming real-time deployment feasibility.</w:t>
      </w:r>
    </w:p>
    <w:p>
      <w:pPr>
        <w:spacing w:before="0" w:after="120" w:lineRule="exact" w:line="200"/>
        <w:ind w:firstLine="0"/>
        <w:jc w:val="both"/>
      </w:pPr>
      <w:r>
        <w:rPr>
          <w:rFonts w:ascii="Times New Roman" w:hAnsi="Times New Roman"/>
          <w:b/>
          <w:i w:val="0"/>
          <w:sz w:val="18"/>
        </w:rPr>
        <w:t>Keywords—</w:t>
      </w:r>
      <w:r>
        <w:rPr>
          <w:rFonts w:ascii="Times New Roman" w:hAnsi="Times New Roman"/>
          <w:b w:val="0"/>
          <w:i/>
          <w:sz w:val="18"/>
        </w:rPr>
        <w:t xml:space="preserve"> EEG, epileptic seizure detection, class imbalance, SMOTE, Random Forest, XGBoost, PCA, CHB-MIT, Siena, AUC-ROC, false detection rate, cross-dataset validation</w:t>
      </w:r>
    </w:p>
    <w:p>
      <w:pPr>
        <w:spacing w:before="160" w:after="60" w:line="240" w:lineRule="auto"/>
        <w:ind w:firstLine="0"/>
        <w:jc w:val="center"/>
      </w:pPr>
      <w:r>
        <w:rPr>
          <w:rFonts w:ascii="Times New Roman" w:hAnsi="Times New Roman"/>
          <w:b w:val="0"/>
          <w:i w:val="0"/>
          <w:sz w:val="20"/>
          <w:smallCaps/>
        </w:rPr>
        <w:t>I. INTRODUCTION</w:t>
      </w:r>
    </w:p>
    <w:p>
      <w:pPr>
        <w:spacing w:before="0" w:after="0" w:lineRule="exact" w:line="230"/>
        <w:ind w:firstLine="220"/>
        <w:jc w:val="both"/>
      </w:pPr>
      <w:r>
        <w:rPr>
          <w:rFonts w:ascii="Times New Roman" w:hAnsi="Times New Roman"/>
          <w:b w:val="0"/>
          <w:i w:val="0"/>
          <w:sz w:val="20"/>
        </w:rPr>
        <w:t>Epilepsy is regarded as one of the most common types of chronic neurological conditions that exists in the world and affects more than 50 million individuals regardless of their age [1]. It is a disorder characterized by recurrent seizures that are not stimulated in any way and occur as a result of abnormal electric discharges in the brain. In addition to the isolation from injury or sudden unexpected death in epilepsy (SUDEP), its chronic unpredictability leads to a lot of limitations associated with driving, work, and independent living [2].</w:t>
      </w:r>
    </w:p>
    <w:p>
      <w:pPr>
        <w:spacing w:before="0" w:after="0" w:lineRule="exact" w:line="230"/>
        <w:ind w:firstLine="220"/>
        <w:jc w:val="both"/>
      </w:pPr>
      <w:r>
        <w:rPr>
          <w:rFonts w:ascii="Times New Roman" w:hAnsi="Times New Roman"/>
          <w:b w:val="0"/>
          <w:i w:val="0"/>
          <w:sz w:val="20"/>
        </w:rPr>
        <w:t>EEG is noted for being the conventional clinical gold standard for detection of epileptic activities. In practice, the process of long-term electroencephalography would produce hours to days of continuously recorded multi-channel data. Manual expert review is characterized by being an inefficient and subjective process which relies on trained neurologists for achieving the purpose of the experiment [3].</w:t>
      </w:r>
    </w:p>
    <w:p>
      <w:pPr>
        <w:spacing w:before="0" w:after="0" w:lineRule="exact" w:line="230"/>
        <w:ind w:firstLine="220"/>
        <w:jc w:val="both"/>
      </w:pPr>
      <w:r>
        <w:rPr>
          <w:rFonts w:ascii="Times New Roman" w:hAnsi="Times New Roman"/>
          <w:b w:val="0"/>
          <w:i w:val="0"/>
          <w:sz w:val="20"/>
        </w:rPr>
        <w:t>One of the major obstacles is the extreme class imbalance seen in continuous EEG, where seizures constitute only 2% of the time of recording, resulting in ratios that may reach as high as 115.7:1. Traditional classifiers display a bias towards the dominant class and achieve high overall accuracy while lacking the required sensitivity when detecting seizures. In addition, established metrics like F1 score are reliant on the selection of a threshold, but clinical applications require an evaluation of the rate of false detections in an hour.</w:t>
      </w:r>
    </w:p>
    <w:p>
      <w:pPr>
        <w:spacing w:before="0" w:after="0" w:lineRule="exact" w:line="230"/>
        <w:ind w:firstLine="220"/>
        <w:jc w:val="both"/>
      </w:pPr>
      <w:r>
        <w:rPr>
          <w:rFonts w:ascii="Times New Roman" w:hAnsi="Times New Roman"/>
          <w:b w:val="0"/>
          <w:i w:val="0"/>
          <w:sz w:val="20"/>
        </w:rPr>
        <w:t>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with five random seeds being used; (iv) ablation study on the number of PCA components; and (v) feasibility study regarding the real-time application of the model proving it has inferencing time of sub-millisecond duration.</w:t>
      </w:r>
    </w:p>
    <w:p>
      <w:pPr>
        <w:spacing w:before="160" w:after="60" w:line="240" w:lineRule="auto"/>
        <w:ind w:firstLine="0"/>
        <w:jc w:val="center"/>
      </w:pPr>
      <w:r>
        <w:rPr>
          <w:rFonts w:ascii="Times New Roman" w:hAnsi="Times New Roman"/>
          <w:b w:val="0"/>
          <w:i w:val="0"/>
          <w:sz w:val="20"/>
          <w:smallCaps/>
        </w:rPr>
        <w:t>II. RELATED WORK</w:t>
      </w:r>
    </w:p>
    <w:p>
      <w:pPr>
        <w:spacing w:before="0" w:after="0" w:lineRule="exact" w:line="230"/>
        <w:ind w:firstLine="220"/>
        <w:jc w:val="both"/>
      </w:pPr>
      <w:r>
        <w:rPr>
          <w:rFonts w:ascii="Times New Roman" w:hAnsi="Times New Roman"/>
          <w:b w:val="0"/>
          <w:i w:val="0"/>
          <w:sz w:val="20"/>
        </w:rPr>
        <w:t>The CHB-MIT Scalp EEG Database was established by Shoeb and Guttag [4], who have presented a patient-specific SVM-based seizure detection model. The study provides a benchmark and inspires future research in the area. The research done by Subasi and Gursoy [5] shows that PCA-compressed statistical EEG features are in the lead when performing inter-patient analyses with SVM classification. Also, Acharya et al. [7] have summarized the features that can be used in EEG analysis, emphasizing that a mix of both time and frequency domain features is superior.</w:t>
      </w:r>
    </w:p>
    <w:p>
      <w:pPr>
        <w:spacing w:before="0" w:after="0" w:lineRule="exact" w:line="230"/>
        <w:ind w:firstLine="220"/>
        <w:jc w:val="both"/>
      </w:pPr>
      <w:r>
        <w:rPr>
          <w:rFonts w:ascii="Times New Roman" w:hAnsi="Times New Roman"/>
          <w:b w:val="0"/>
          <w:i w:val="0"/>
          <w:sz w:val="20"/>
        </w:rPr>
        <w:t>Chawla et al. [8] first introduced the SMOTE method in minority class oversampling, but the default 1:1 strategy failed at extreme imbalance ratios thus leading to an unusable classifier. Batista et al. [9] suggested that the SMOTETomek method be applied as a mix of SMOTE and Tomek links. Moreover, the Balanced Random Forest where undersampling is applied at per-bootstrap level was introduced by Chen et al. [10]. The XGBoost method which utilizes scale_pos_weight in order to reduce imbalance in the created gradient boosting loss function was introduced by Chen and Guestrin [12].</w:t>
      </w:r>
    </w:p>
    <w:p>
      <w:pPr>
        <w:spacing w:before="160" w:after="60" w:line="240" w:lineRule="auto"/>
        <w:ind w:firstLine="0"/>
        <w:jc w:val="center"/>
      </w:pPr>
      <w:r>
        <w:rPr>
          <w:rFonts w:ascii="Times New Roman" w:hAnsi="Times New Roman"/>
          <w:b w:val="0"/>
          <w:i w:val="0"/>
          <w:sz w:val="20"/>
          <w:smallCaps/>
        </w:rPr>
        <w:t>III. METHODOLOGY</w:t>
      </w:r>
    </w:p>
    <w:p>
      <w:pPr>
        <w:spacing w:before="0" w:after="0" w:line="240" w:lineRule="auto"/>
        <w:ind w:firstLine="0"/>
        <w:jc w:val="center"/>
      </w:pPr>
      <w:r>
        <w:drawing>
          <wp:inline xmlns:a="http://schemas.openxmlformats.org/drawingml/2006/main" xmlns:pic="http://schemas.openxmlformats.org/drawingml/2006/picture">
            <wp:extent cx="2560320" cy="28329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2560320" cy="2832958"/>
                    </a:xfrm>
                    <a:prstGeom prst="rect"/>
                  </pic:spPr>
                </pic:pic>
              </a:graphicData>
            </a:graphic>
          </wp:inline>
        </w:drawing>
      </w:r>
    </w:p>
    <w:p>
      <w:pPr>
        <w:spacing w:before="0" w:after="80" w:line="240" w:lineRule="auto"/>
        <w:ind w:firstLine="0"/>
        <w:jc w:val="center"/>
      </w:pPr>
      <w:r>
        <w:rPr>
          <w:rFonts w:ascii="Times New Roman" w:hAnsi="Times New Roman"/>
          <w:b w:val="0"/>
          <w:i/>
          <w:sz w:val="18"/>
        </w:rPr>
        <w:t>Fig. 1. Proposed methodology pipeline for EEG-based seizure detection.</w:t>
      </w:r>
    </w:p>
    <w:p>
      <w:pPr>
        <w:spacing w:before="80" w:after="40" w:line="240" w:lineRule="auto"/>
        <w:ind w:firstLine="0"/>
        <w:jc w:val="left"/>
      </w:pPr>
      <w:r>
        <w:rPr>
          <w:rFonts w:ascii="Times New Roman" w:hAnsi="Times New Roman"/>
          <w:b w:val="0"/>
          <w:i/>
          <w:sz w:val="20"/>
        </w:rPr>
        <w:t>A. Datasets</w:t>
      </w:r>
    </w:p>
    <w:p>
      <w:pPr>
        <w:spacing w:before="0" w:after="0" w:lineRule="exact" w:line="230"/>
        <w:ind w:firstLine="220"/>
        <w:jc w:val="both"/>
      </w:pPr>
      <w:r>
        <w:rPr>
          <w:rFonts w:ascii="Times New Roman" w:hAnsi="Times New Roman"/>
          <w:b w:val="0"/>
          <w:i w:val="0"/>
          <w:sz w:val="20"/>
        </w:rPr>
        <w:t>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imbalance in the dataset comes out to be the ratio of 115.7:1.</w:t>
      </w:r>
    </w:p>
    <w:p>
      <w:pPr>
        <w:spacing w:before="0" w:after="0" w:lineRule="exact" w:line="230"/>
        <w:ind w:firstLine="220"/>
        <w:jc w:val="both"/>
      </w:pPr>
      <w:r>
        <w:rPr>
          <w:rFonts w:ascii="Times New Roman" w:hAnsi="Times New Roman"/>
          <w:b w:val="0"/>
          <w:i w:val="0"/>
          <w:sz w:val="20"/>
        </w:rPr>
        <w:t>The Siena Scalp EEG Database [14] encompasses recordings of 14 adult participants from the University of Siena in Italy with an initial sampling rate of 512 Hz and subsequently resampled at 256 Hz. The models developed on the basis of the CHB-MIT dataset are put to the test on the Siena Scalp EEG Database without undergoing any training, thus constituting a severe test for cross-dataset generalization.</w:t>
      </w:r>
    </w:p>
    <w:p>
      <w:pPr>
        <w:spacing w:before="80" w:after="40" w:line="240" w:lineRule="auto"/>
        <w:ind w:firstLine="0"/>
        <w:jc w:val="left"/>
      </w:pPr>
      <w:r>
        <w:rPr>
          <w:rFonts w:ascii="Times New Roman" w:hAnsi="Times New Roman"/>
          <w:b w:val="0"/>
          <w:i/>
          <w:sz w:val="20"/>
        </w:rPr>
        <w:t>B. Feature Extraction</w:t>
      </w:r>
    </w:p>
    <w:p>
      <w:pPr>
        <w:spacing w:before="0" w:after="0" w:lineRule="exact" w:line="230"/>
        <w:ind w:firstLine="220"/>
        <w:jc w:val="both"/>
      </w:pPr>
      <w:r>
        <w:rPr>
          <w:rFonts w:ascii="Times New Roman" w:hAnsi="Times New Roman"/>
          <w:b w:val="0"/>
          <w:i w:val="0"/>
          <w:sz w:val="20"/>
        </w:rPr>
        <w:t>EEG signals are divided into non-overlapping two-second intervals. Each channel has eleven features (TABLE VI), which consists of seven time-related metrics and four frequency powers (delta, theta, alpha, beta), obtained through NumPy FFT. The z-score normalization is done on each channel before frequency calculation in order to maintain the scale of amplitudes unaffected by the recording site. Therefore, a feature vector of 253 dimensions (23×11) is obtained for each segment of the recording.</w:t>
      </w:r>
    </w:p>
    <w:p>
      <w:pPr>
        <w:spacing w:before="80" w:after="40" w:line="240" w:lineRule="auto"/>
        <w:ind w:firstLine="0"/>
        <w:jc w:val="center"/>
      </w:pPr>
      <w:r>
        <w:rPr>
          <w:rFonts w:ascii="Times New Roman" w:hAnsi="Times New Roman"/>
          <w:b w:val="0"/>
          <w:i w:val="0"/>
          <w:sz w:val="18"/>
          <w:smallCaps/>
        </w:rPr>
        <w:t>TABLE VI</w:t>
      </w:r>
    </w:p>
    <w:p>
      <w:pPr>
        <w:spacing w:before="0" w:after="40" w:line="240" w:lineRule="auto"/>
        <w:ind w:firstLine="0"/>
        <w:jc w:val="center"/>
      </w:pPr>
      <w:r>
        <w:rPr>
          <w:rFonts w:ascii="Times New Roman" w:hAnsi="Times New Roman"/>
          <w:b w:val="0"/>
          <w:i w:val="0"/>
          <w:sz w:val="18"/>
          <w:smallCaps/>
        </w:rPr>
        <w:t>EXTRACTED STATISTICAL FEATURES PER EEG CHANNEL</w:t>
      </w:r>
    </w:p>
    <w:tbl>
      <w:tblPr>
        <w:tblStyle w:val="TableGrid"/>
        <w:tblW w:type="auto" w:w="0"/>
        <w:tblLook w:firstColumn="1" w:firstRow="1" w:lastColumn="0" w:lastRow="0" w:noHBand="0" w:noVBand="1" w:val="04A0"/>
      </w:tblPr>
      <w:tblGrid>
        <w:gridCol w:w="5141"/>
        <w:gridCol w:w="5141"/>
      </w:tblGrid>
      <w:tr>
        <w:tc>
          <w:tcPr>
            <w:tcW w:type="dxa" w:w="5141"/>
            <w:shd w:val="clear" w:color="auto" w:fill="1F3864"/>
          </w:tcPr>
          <w:p>
            <w:pPr>
              <w:spacing w:before="0" w:after="0" w:line="240" w:lineRule="auto"/>
              <w:ind w:firstLine="0"/>
              <w:jc w:val="center"/>
            </w:pPr>
            <w:r>
              <w:rPr>
                <w:rFonts w:ascii="Times New Roman" w:hAnsi="Times New Roman"/>
                <w:b/>
                <w:i w:val="0"/>
                <w:color w:val="FFFFFF"/>
                <w:sz w:val="18"/>
              </w:rPr>
              <w:t>Feature</w:t>
            </w:r>
          </w:p>
        </w:tc>
        <w:tc>
          <w:tcPr>
            <w:tcW w:type="dxa" w:w="5141"/>
            <w:shd w:val="clear" w:color="auto" w:fill="1F3864"/>
          </w:tcPr>
          <w:p>
            <w:pPr>
              <w:spacing w:before="0" w:after="0" w:line="240" w:lineRule="auto"/>
              <w:ind w:firstLine="0"/>
              <w:jc w:val="center"/>
            </w:pPr>
            <w:r>
              <w:rPr>
                <w:rFonts w:ascii="Times New Roman" w:hAnsi="Times New Roman"/>
                <w:b/>
                <w:i w:val="0"/>
                <w:color w:val="FFFFFF"/>
                <w:sz w:val="18"/>
              </w:rPr>
              <w:t>Description</w:t>
            </w:r>
          </w:p>
        </w:tc>
      </w:tr>
      <w:tr>
        <w:tc>
          <w:tcPr>
            <w:tcW w:type="dxa" w:w="5141"/>
          </w:tcPr>
          <w:p>
            <w:pPr>
              <w:spacing w:before="0" w:after="0" w:line="240" w:lineRule="auto"/>
              <w:ind w:firstLine="0"/>
              <w:jc w:val="center"/>
            </w:pPr>
            <w:r>
              <w:rPr>
                <w:rFonts w:ascii="Times New Roman" w:hAnsi="Times New Roman"/>
                <w:b w:val="0"/>
                <w:i w:val="0"/>
                <w:sz w:val="18"/>
              </w:rPr>
              <w:t>Mean</w:t>
            </w:r>
          </w:p>
        </w:tc>
        <w:tc>
          <w:tcPr>
            <w:tcW w:type="dxa" w:w="5141"/>
          </w:tcPr>
          <w:p>
            <w:pPr>
              <w:spacing w:before="0" w:after="0" w:line="240" w:lineRule="auto"/>
              <w:ind w:firstLine="0"/>
              <w:jc w:val="center"/>
            </w:pPr>
            <w:r>
              <w:rPr>
                <w:rFonts w:ascii="Times New Roman" w:hAnsi="Times New Roman"/>
                <w:b w:val="0"/>
                <w:i w:val="0"/>
                <w:sz w:val="18"/>
              </w:rPr>
              <w:t>Average amplitude per window</w:t>
            </w:r>
          </w:p>
        </w:tc>
      </w:tr>
      <w:tr>
        <w:tc>
          <w:tcPr>
            <w:tcW w:type="dxa" w:w="5141"/>
          </w:tcPr>
          <w:p>
            <w:pPr>
              <w:spacing w:before="0" w:after="0" w:line="240" w:lineRule="auto"/>
              <w:ind w:firstLine="0"/>
              <w:jc w:val="center"/>
            </w:pPr>
            <w:r>
              <w:rPr>
                <w:rFonts w:ascii="Times New Roman" w:hAnsi="Times New Roman"/>
                <w:b w:val="0"/>
                <w:i w:val="0"/>
                <w:sz w:val="18"/>
              </w:rPr>
              <w:t>Variance</w:t>
            </w:r>
          </w:p>
        </w:tc>
        <w:tc>
          <w:tcPr>
            <w:tcW w:type="dxa" w:w="5141"/>
          </w:tcPr>
          <w:p>
            <w:pPr>
              <w:spacing w:before="0" w:after="0" w:line="240" w:lineRule="auto"/>
              <w:ind w:firstLine="0"/>
              <w:jc w:val="center"/>
            </w:pPr>
            <w:r>
              <w:rPr>
                <w:rFonts w:ascii="Times New Roman" w:hAnsi="Times New Roman"/>
                <w:b w:val="0"/>
                <w:i w:val="0"/>
                <w:sz w:val="18"/>
              </w:rPr>
              <w:t>Spread of signal amplitude</w:t>
            </w:r>
          </w:p>
        </w:tc>
      </w:tr>
      <w:tr>
        <w:tc>
          <w:tcPr>
            <w:tcW w:type="dxa" w:w="5141"/>
          </w:tcPr>
          <w:p>
            <w:pPr>
              <w:spacing w:before="0" w:after="0" w:line="240" w:lineRule="auto"/>
              <w:ind w:firstLine="0"/>
              <w:jc w:val="center"/>
            </w:pPr>
            <w:r>
              <w:rPr>
                <w:rFonts w:ascii="Times New Roman" w:hAnsi="Times New Roman"/>
                <w:b w:val="0"/>
                <w:i w:val="0"/>
                <w:sz w:val="18"/>
              </w:rPr>
              <w:t>RMS</w:t>
            </w:r>
          </w:p>
        </w:tc>
        <w:tc>
          <w:tcPr>
            <w:tcW w:type="dxa" w:w="5141"/>
          </w:tcPr>
          <w:p>
            <w:pPr>
              <w:spacing w:before="0" w:after="0" w:line="240" w:lineRule="auto"/>
              <w:ind w:firstLine="0"/>
              <w:jc w:val="center"/>
            </w:pPr>
            <w:r>
              <w:rPr>
                <w:rFonts w:ascii="Times New Roman" w:hAnsi="Times New Roman"/>
                <w:b w:val="0"/>
                <w:i w:val="0"/>
                <w:sz w:val="18"/>
              </w:rPr>
              <w:t>Root mean square — signal power</w:t>
            </w:r>
          </w:p>
        </w:tc>
      </w:tr>
      <w:tr>
        <w:tc>
          <w:tcPr>
            <w:tcW w:type="dxa" w:w="5141"/>
          </w:tcPr>
          <w:p>
            <w:pPr>
              <w:spacing w:before="0" w:after="0" w:line="240" w:lineRule="auto"/>
              <w:ind w:firstLine="0"/>
              <w:jc w:val="center"/>
            </w:pPr>
            <w:r>
              <w:rPr>
                <w:rFonts w:ascii="Times New Roman" w:hAnsi="Times New Roman"/>
                <w:b w:val="0"/>
                <w:i w:val="0"/>
                <w:sz w:val="18"/>
              </w:rPr>
              <w:t>Skewness</w:t>
            </w:r>
          </w:p>
        </w:tc>
        <w:tc>
          <w:tcPr>
            <w:tcW w:type="dxa" w:w="5141"/>
          </w:tcPr>
          <w:p>
            <w:pPr>
              <w:spacing w:before="0" w:after="0" w:line="240" w:lineRule="auto"/>
              <w:ind w:firstLine="0"/>
              <w:jc w:val="center"/>
            </w:pPr>
            <w:r>
              <w:rPr>
                <w:rFonts w:ascii="Times New Roman" w:hAnsi="Times New Roman"/>
                <w:b w:val="0"/>
                <w:i w:val="0"/>
                <w:sz w:val="18"/>
              </w:rPr>
              <w:t>Asymmetry of amplitude distribution</w:t>
            </w:r>
          </w:p>
        </w:tc>
      </w:tr>
      <w:tr>
        <w:tc>
          <w:tcPr>
            <w:tcW w:type="dxa" w:w="5141"/>
          </w:tcPr>
          <w:p>
            <w:pPr>
              <w:spacing w:before="0" w:after="0" w:line="240" w:lineRule="auto"/>
              <w:ind w:firstLine="0"/>
              <w:jc w:val="center"/>
            </w:pPr>
            <w:r>
              <w:rPr>
                <w:rFonts w:ascii="Times New Roman" w:hAnsi="Times New Roman"/>
                <w:b w:val="0"/>
                <w:i w:val="0"/>
                <w:sz w:val="18"/>
              </w:rPr>
              <w:t>Kurtosis</w:t>
            </w:r>
          </w:p>
        </w:tc>
        <w:tc>
          <w:tcPr>
            <w:tcW w:type="dxa" w:w="5141"/>
          </w:tcPr>
          <w:p>
            <w:pPr>
              <w:spacing w:before="0" w:after="0" w:line="240" w:lineRule="auto"/>
              <w:ind w:firstLine="0"/>
              <w:jc w:val="center"/>
            </w:pPr>
            <w:r>
              <w:rPr>
                <w:rFonts w:ascii="Times New Roman" w:hAnsi="Times New Roman"/>
                <w:b w:val="0"/>
                <w:i w:val="0"/>
                <w:sz w:val="18"/>
              </w:rPr>
              <w:t>Tailedness — elevated during seizures</w:t>
            </w:r>
          </w:p>
        </w:tc>
      </w:tr>
      <w:tr>
        <w:tc>
          <w:tcPr>
            <w:tcW w:type="dxa" w:w="5141"/>
          </w:tcPr>
          <w:p>
            <w:pPr>
              <w:spacing w:before="0" w:after="0" w:line="240" w:lineRule="auto"/>
              <w:ind w:firstLine="0"/>
              <w:jc w:val="center"/>
            </w:pPr>
            <w:r>
              <w:rPr>
                <w:rFonts w:ascii="Times New Roman" w:hAnsi="Times New Roman"/>
                <w:b w:val="0"/>
                <w:i w:val="0"/>
                <w:sz w:val="18"/>
              </w:rPr>
              <w:t>Maximum</w:t>
            </w:r>
          </w:p>
        </w:tc>
        <w:tc>
          <w:tcPr>
            <w:tcW w:type="dxa" w:w="5141"/>
          </w:tcPr>
          <w:p>
            <w:pPr>
              <w:spacing w:before="0" w:after="0" w:line="240" w:lineRule="auto"/>
              <w:ind w:firstLine="0"/>
              <w:jc w:val="center"/>
            </w:pPr>
            <w:r>
              <w:rPr>
                <w:rFonts w:ascii="Times New Roman" w:hAnsi="Times New Roman"/>
                <w:b w:val="0"/>
                <w:i w:val="0"/>
                <w:sz w:val="18"/>
              </w:rPr>
              <w:t>Peak positive amplitude</w:t>
            </w:r>
          </w:p>
        </w:tc>
      </w:tr>
      <w:tr>
        <w:tc>
          <w:tcPr>
            <w:tcW w:type="dxa" w:w="5141"/>
          </w:tcPr>
          <w:p>
            <w:pPr>
              <w:spacing w:before="0" w:after="0" w:line="240" w:lineRule="auto"/>
              <w:ind w:firstLine="0"/>
              <w:jc w:val="center"/>
            </w:pPr>
            <w:r>
              <w:rPr>
                <w:rFonts w:ascii="Times New Roman" w:hAnsi="Times New Roman"/>
                <w:b w:val="0"/>
                <w:i w:val="0"/>
                <w:sz w:val="18"/>
              </w:rPr>
              <w:t>Minimum</w:t>
            </w:r>
          </w:p>
        </w:tc>
        <w:tc>
          <w:tcPr>
            <w:tcW w:type="dxa" w:w="5141"/>
          </w:tcPr>
          <w:p>
            <w:pPr>
              <w:spacing w:before="0" w:after="0" w:line="240" w:lineRule="auto"/>
              <w:ind w:firstLine="0"/>
              <w:jc w:val="center"/>
            </w:pPr>
            <w:r>
              <w:rPr>
                <w:rFonts w:ascii="Times New Roman" w:hAnsi="Times New Roman"/>
                <w:b w:val="0"/>
                <w:i w:val="0"/>
                <w:sz w:val="18"/>
              </w:rPr>
              <w:t>Peak negative amplitude</w:t>
            </w:r>
          </w:p>
        </w:tc>
      </w:tr>
      <w:tr>
        <w:tc>
          <w:tcPr>
            <w:tcW w:type="dxa" w:w="5141"/>
          </w:tcPr>
          <w:p>
            <w:pPr>
              <w:spacing w:before="0" w:after="0" w:line="240" w:lineRule="auto"/>
              <w:ind w:firstLine="0"/>
              <w:jc w:val="center"/>
            </w:pPr>
            <w:r>
              <w:rPr>
                <w:rFonts w:ascii="Times New Roman" w:hAnsi="Times New Roman"/>
                <w:b w:val="0"/>
                <w:i w:val="0"/>
                <w:sz w:val="18"/>
              </w:rPr>
              <w:t>Delta power</w:t>
            </w:r>
          </w:p>
        </w:tc>
        <w:tc>
          <w:tcPr>
            <w:tcW w:type="dxa" w:w="5141"/>
          </w:tcPr>
          <w:p>
            <w:pPr>
              <w:spacing w:before="0" w:after="0" w:line="240" w:lineRule="auto"/>
              <w:ind w:firstLine="0"/>
              <w:jc w:val="center"/>
            </w:pPr>
            <w:r>
              <w:rPr>
                <w:rFonts w:ascii="Times New Roman" w:hAnsi="Times New Roman"/>
                <w:b w:val="0"/>
                <w:i w:val="0"/>
                <w:sz w:val="18"/>
              </w:rPr>
              <w:t>Spectral power 0.5–4 Hz</w:t>
            </w:r>
          </w:p>
        </w:tc>
      </w:tr>
      <w:tr>
        <w:tc>
          <w:tcPr>
            <w:tcW w:type="dxa" w:w="5141"/>
          </w:tcPr>
          <w:p>
            <w:pPr>
              <w:spacing w:before="0" w:after="0" w:line="240" w:lineRule="auto"/>
              <w:ind w:firstLine="0"/>
              <w:jc w:val="center"/>
            </w:pPr>
            <w:r>
              <w:rPr>
                <w:rFonts w:ascii="Times New Roman" w:hAnsi="Times New Roman"/>
                <w:b w:val="0"/>
                <w:i w:val="0"/>
                <w:sz w:val="18"/>
              </w:rPr>
              <w:t>Theta power</w:t>
            </w:r>
          </w:p>
        </w:tc>
        <w:tc>
          <w:tcPr>
            <w:tcW w:type="dxa" w:w="5141"/>
          </w:tcPr>
          <w:p>
            <w:pPr>
              <w:spacing w:before="0" w:after="0" w:line="240" w:lineRule="auto"/>
              <w:ind w:firstLine="0"/>
              <w:jc w:val="center"/>
            </w:pPr>
            <w:r>
              <w:rPr>
                <w:rFonts w:ascii="Times New Roman" w:hAnsi="Times New Roman"/>
                <w:b w:val="0"/>
                <w:i w:val="0"/>
                <w:sz w:val="18"/>
              </w:rPr>
              <w:t>Spectral power 4–8 Hz</w:t>
            </w:r>
          </w:p>
        </w:tc>
      </w:tr>
      <w:tr>
        <w:tc>
          <w:tcPr>
            <w:tcW w:type="dxa" w:w="5141"/>
          </w:tcPr>
          <w:p>
            <w:pPr>
              <w:spacing w:before="0" w:after="0" w:line="240" w:lineRule="auto"/>
              <w:ind w:firstLine="0"/>
              <w:jc w:val="center"/>
            </w:pPr>
            <w:r>
              <w:rPr>
                <w:rFonts w:ascii="Times New Roman" w:hAnsi="Times New Roman"/>
                <w:b w:val="0"/>
                <w:i w:val="0"/>
                <w:sz w:val="18"/>
              </w:rPr>
              <w:t>Alpha power</w:t>
            </w:r>
          </w:p>
        </w:tc>
        <w:tc>
          <w:tcPr>
            <w:tcW w:type="dxa" w:w="5141"/>
          </w:tcPr>
          <w:p>
            <w:pPr>
              <w:spacing w:before="0" w:after="0" w:line="240" w:lineRule="auto"/>
              <w:ind w:firstLine="0"/>
              <w:jc w:val="center"/>
            </w:pPr>
            <w:r>
              <w:rPr>
                <w:rFonts w:ascii="Times New Roman" w:hAnsi="Times New Roman"/>
                <w:b w:val="0"/>
                <w:i w:val="0"/>
                <w:sz w:val="18"/>
              </w:rPr>
              <w:t>Spectral power 8–13 Hz</w:t>
            </w:r>
          </w:p>
        </w:tc>
      </w:tr>
      <w:tr>
        <w:tc>
          <w:tcPr>
            <w:tcW w:type="dxa" w:w="5141"/>
          </w:tcPr>
          <w:p>
            <w:pPr>
              <w:spacing w:before="0" w:after="0" w:line="240" w:lineRule="auto"/>
              <w:ind w:firstLine="0"/>
              <w:jc w:val="center"/>
            </w:pPr>
            <w:r>
              <w:rPr>
                <w:rFonts w:ascii="Times New Roman" w:hAnsi="Times New Roman"/>
                <w:b w:val="0"/>
                <w:i w:val="0"/>
                <w:sz w:val="18"/>
              </w:rPr>
              <w:t>Beta power</w:t>
            </w:r>
          </w:p>
        </w:tc>
        <w:tc>
          <w:tcPr>
            <w:tcW w:type="dxa" w:w="5141"/>
          </w:tcPr>
          <w:p>
            <w:pPr>
              <w:spacing w:before="0" w:after="0" w:line="240" w:lineRule="auto"/>
              <w:ind w:firstLine="0"/>
              <w:jc w:val="center"/>
            </w:pPr>
            <w:r>
              <w:rPr>
                <w:rFonts w:ascii="Times New Roman" w:hAnsi="Times New Roman"/>
                <w:b w:val="0"/>
                <w:i w:val="0"/>
                <w:sz w:val="18"/>
              </w:rPr>
              <w:t>Spectral power 13–30 Hz</w:t>
            </w:r>
          </w:p>
        </w:tc>
      </w:tr>
    </w:tbl>
    <w:p/>
    <w:p>
      <w:pPr>
        <w:spacing w:before="80" w:after="40" w:line="240" w:lineRule="auto"/>
        <w:ind w:firstLine="0"/>
        <w:jc w:val="left"/>
      </w:pPr>
      <w:r>
        <w:rPr>
          <w:rFonts w:ascii="Times New Roman" w:hAnsi="Times New Roman"/>
          <w:b w:val="0"/>
          <w:i/>
          <w:sz w:val="20"/>
        </w:rPr>
        <w:t>C. Dimensionality Reduction</w:t>
      </w:r>
    </w:p>
    <w:p>
      <w:pPr>
        <w:spacing w:before="0" w:after="0" w:lineRule="exact" w:line="230"/>
        <w:ind w:firstLine="220"/>
        <w:jc w:val="both"/>
      </w:pPr>
      <w:r>
        <w:rPr>
          <w:rFonts w:ascii="Times New Roman" w:hAnsi="Times New Roman"/>
          <w:b w:val="0"/>
          <w:i w:val="0"/>
          <w:sz w:val="20"/>
        </w:rPr>
        <w:t>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data only being used to avoid data leaks. At 120 components, 99.6% of the total variance is explained, as validated through the ablation study in Section IV-D.</w:t>
      </w:r>
    </w:p>
    <w:p>
      <w:pPr>
        <w:spacing w:before="80" w:after="40" w:line="240" w:lineRule="auto"/>
        <w:ind w:firstLine="0"/>
        <w:jc w:val="left"/>
      </w:pPr>
      <w:r>
        <w:rPr>
          <w:rFonts w:ascii="Times New Roman" w:hAnsi="Times New Roman"/>
          <w:b w:val="0"/>
          <w:i/>
          <w:sz w:val="20"/>
        </w:rPr>
        <w:t>D. Classification Techniques</w:t>
      </w:r>
    </w:p>
    <w:p>
      <w:pPr>
        <w:spacing w:before="0" w:after="0" w:lineRule="exact" w:line="230"/>
        <w:ind w:firstLine="220"/>
        <w:jc w:val="both"/>
      </w:pPr>
      <w:r>
        <w:rPr>
          <w:rFonts w:ascii="Times New Roman" w:hAnsi="Times New Roman"/>
          <w:b w:val="0"/>
          <w:i w:val="0"/>
          <w:sz w:val="20"/>
        </w:rPr>
        <w:t>This research assessed three machine learning algorithms that are based on trees: Random Forest (RF), Balanced Random Forest (BRF), and Extreme Gradient Boosting (XGBoost). These classifiers were chosen because of their reliability, capability to manage nonlinear relationships, and good performance on tabular EEG metrics.</w:t>
      </w:r>
    </w:p>
    <w:p>
      <w:pPr>
        <w:spacing w:before="0" w:after="0" w:lineRule="exact" w:line="230"/>
        <w:ind w:firstLine="220"/>
        <w:jc w:val="both"/>
      </w:pPr>
      <w:r>
        <w:rPr>
          <w:rFonts w:ascii="Times New Roman" w:hAnsi="Times New Roman"/>
          <w:b w:val="0"/>
          <w:i w:val="0"/>
          <w:sz w:val="20"/>
        </w:rPr>
        <w:t>Random Forest (RF): Random Forest is a methodology of ensemble learning, which involves making multiple decision trees using the bootstrap aggregation approach together with random feature selection. Each individual tree forecasts the result separately, after which majority voting is used to determine the general class.</w:t>
      </w:r>
    </w:p>
    <w:p>
      <w:pPr>
        <w:spacing w:before="0" w:after="0" w:lineRule="exact" w:line="230"/>
        <w:ind w:firstLine="220"/>
        <w:jc w:val="both"/>
      </w:pPr>
      <w:r>
        <w:rPr>
          <w:rFonts w:ascii="Times New Roman" w:hAnsi="Times New Roman"/>
          <w:b w:val="0"/>
          <w:i w:val="0"/>
          <w:sz w:val="20"/>
        </w:rPr>
        <w:t>Balanced Random Forest (BRF): BRF is a modified form of the Random Forest specifically designed for imbalanced datasets. While training each tree, the algorithm reduces the number of majority class samples randomly while keeping all minority class samples, creating balanced bootstrap subsets.</w:t>
      </w:r>
    </w:p>
    <w:p>
      <w:pPr>
        <w:spacing w:before="0" w:after="0" w:lineRule="exact" w:line="230"/>
        <w:ind w:firstLine="220"/>
        <w:jc w:val="both"/>
      </w:pPr>
      <w:r>
        <w:rPr>
          <w:rFonts w:ascii="Times New Roman" w:hAnsi="Times New Roman"/>
          <w:b w:val="0"/>
          <w:i w:val="0"/>
          <w:sz w:val="20"/>
        </w:rPr>
        <w:t>Extreme Gradient Boosting (XGBoost): XGBoost builds a series of decision trees where each new tree fixes mistakes made by previous trees. The parameter scale_pos_weight is used to give more importance to the seizure samples in the course of training.</w:t>
      </w:r>
    </w:p>
    <w:p>
      <w:pPr>
        <w:spacing w:before="80" w:after="40" w:line="240" w:lineRule="auto"/>
        <w:ind w:firstLine="0"/>
        <w:jc w:val="left"/>
      </w:pPr>
      <w:r>
        <w:rPr>
          <w:rFonts w:ascii="Times New Roman" w:hAnsi="Times New Roman"/>
          <w:b w:val="0"/>
          <w:i/>
          <w:sz w:val="20"/>
        </w:rPr>
        <w:t>E. Class Imbalance Handling</w:t>
      </w:r>
    </w:p>
    <w:p>
      <w:pPr>
        <w:spacing w:before="0" w:after="0" w:lineRule="exact" w:line="230"/>
        <w:ind w:firstLine="220"/>
        <w:jc w:val="both"/>
      </w:pPr>
      <w:r>
        <w:rPr>
          <w:rFonts w:ascii="Times New Roman" w:hAnsi="Times New Roman"/>
          <w:b w:val="0"/>
          <w:i w:val="0"/>
          <w:sz w:val="20"/>
        </w:rPr>
        <w:t>The paper assesses five strategies: (1) baseline random forest with 100 estimators and maximum depth of 10; (2) RF+SMOTE with sampling strategy set to 0.05; (3) balanced random forest with majority undersampling through bootstrap; (4) SMOTETomek combining SMOTE with Tomek Links cleaning; and (5) XGBoost with scale_pos_weight set to 115.7.</w:t>
      </w:r>
    </w:p>
    <w:p>
      <w:pPr>
        <w:spacing w:before="0" w:after="0" w:lineRule="exact" w:line="230"/>
        <w:ind w:firstLine="220"/>
        <w:jc w:val="both"/>
      </w:pPr>
      <w:r>
        <w:rPr>
          <w:rFonts w:ascii="Times New Roman" w:hAnsi="Times New Roman"/>
          <w:b w:val="0"/>
          <w:i w:val="0"/>
          <w:sz w:val="20"/>
        </w:rPr>
        <w:t>Baseline Random Forest serves as the reference baseline with no imbalance correction. SMOTE generates synthetic seizure samples via linear interpolation using a conservative 0.05 sampling ratio. Balanced RF carries out random undersampling of the majority class for each bootstrap draw. SMOTETomek first applies SMOTE then removes borderline Tomek Links to clean the class boundary. XGBoost with scale_pos_weight=115.7 penalises missed seizures more heavily than false alarms during loss calculation.</w:t>
      </w:r>
    </w:p>
    <w:p>
      <w:pPr>
        <w:spacing w:before="80" w:after="40" w:line="240" w:lineRule="auto"/>
        <w:ind w:firstLine="0"/>
        <w:jc w:val="left"/>
      </w:pPr>
      <w:r>
        <w:rPr>
          <w:rFonts w:ascii="Times New Roman" w:hAnsi="Times New Roman"/>
          <w:b w:val="0"/>
          <w:i/>
          <w:sz w:val="20"/>
        </w:rPr>
        <w:t>F. Evaluation Protocol</w:t>
      </w:r>
    </w:p>
    <w:p>
      <w:pPr>
        <w:spacing w:before="0" w:after="0" w:lineRule="exact" w:line="230"/>
        <w:ind w:firstLine="220"/>
        <w:jc w:val="both"/>
      </w:pPr>
      <w:r>
        <w:rPr>
          <w:rFonts w:ascii="Times New Roman" w:hAnsi="Times New Roman"/>
          <w:b w:val="0"/>
          <w:i w:val="0"/>
          <w:sz w:val="20"/>
        </w:rPr>
        <w:t>The metrics of Precision, Recall, F1-score, AUC-ROC, and FDR/hour are provided. Every model underwent analysis with five random seeds and this was expressed as mean±std. The time required to make inferences was measured for every two-second window.</w:t>
      </w:r>
    </w:p>
    <w:p>
      <w:pPr>
        <w:spacing w:before="160" w:after="60" w:line="240" w:lineRule="auto"/>
        <w:ind w:firstLine="0"/>
        <w:jc w:val="center"/>
      </w:pPr>
      <w:r>
        <w:rPr>
          <w:rFonts w:ascii="Times New Roman" w:hAnsi="Times New Roman"/>
          <w:b w:val="0"/>
          <w:i w:val="0"/>
          <w:sz w:val="20"/>
          <w:smallCaps/>
        </w:rPr>
        <w:t>IV. RESULTS AND DISCUSSION</w:t>
      </w:r>
    </w:p>
    <w:p>
      <w:pPr>
        <w:spacing w:before="80" w:after="40" w:line="240" w:lineRule="auto"/>
        <w:ind w:firstLine="0"/>
        <w:jc w:val="left"/>
      </w:pPr>
      <w:r>
        <w:rPr>
          <w:rFonts w:ascii="Times New Roman" w:hAnsi="Times New Roman"/>
          <w:b w:val="0"/>
          <w:i/>
          <w:sz w:val="20"/>
        </w:rPr>
        <w:t>A. CHB-MIT Technique Comparison</w:t>
      </w:r>
    </w:p>
    <w:p>
      <w:pPr>
        <w:spacing w:before="0" w:after="0" w:lineRule="exact" w:line="230"/>
        <w:ind w:firstLine="220"/>
        <w:jc w:val="both"/>
      </w:pPr>
      <w:r>
        <w:rPr>
          <w:rFonts w:ascii="Times New Roman" w:hAnsi="Times New Roman"/>
          <w:b w:val="0"/>
          <w:i w:val="0"/>
          <w:sz w:val="20"/>
        </w:rPr>
        <w:t>TABLE I presents the results for patient chb05, for whom the baseline RF attains the best AUC-ROC at 0.979 as well as the lowest FDR/hour of 14.01. Balanced RF generates highest recall of 0.991, but FDR reaches 515/hr. SMOTE and SMOTETomek both yield FDR of 98.55/hr, while XGBoost provides moderate performance.</w:t>
      </w:r>
    </w:p>
    <w:p>
      <w:pPr>
        <w:spacing w:before="80" w:after="40" w:line="240" w:lineRule="auto"/>
        <w:ind w:firstLine="0"/>
        <w:jc w:val="center"/>
      </w:pPr>
      <w:r>
        <w:rPr>
          <w:rFonts w:ascii="Times New Roman" w:hAnsi="Times New Roman"/>
          <w:b w:val="0"/>
          <w:i w:val="0"/>
          <w:sz w:val="18"/>
          <w:smallCaps/>
        </w:rPr>
        <w:t>TABLE I</w:t>
      </w:r>
    </w:p>
    <w:p>
      <w:pPr>
        <w:spacing w:before="0" w:after="40" w:line="240" w:lineRule="auto"/>
        <w:ind w:firstLine="0"/>
        <w:jc w:val="center"/>
      </w:pPr>
      <w:r>
        <w:rPr>
          <w:rFonts w:ascii="Times New Roman" w:hAnsi="Times New Roman"/>
          <w:b w:val="0"/>
          <w:i w:val="0"/>
          <w:sz w:val="18"/>
          <w:smallCaps/>
        </w:rPr>
        <w:t>CHB-MIT SEIZURE CLASS EVALUATION (SEED=42). BOLD = BEST PER COLUMN.</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shd w:val="clear" w:color="auto" w:fill="1F3864"/>
          </w:tcPr>
          <w:p>
            <w:pPr>
              <w:spacing w:before="0" w:after="0" w:line="240" w:lineRule="auto"/>
              <w:ind w:firstLine="0"/>
              <w:jc w:val="center"/>
            </w:pPr>
            <w:r>
              <w:rPr>
                <w:rFonts w:ascii="Times New Roman" w:hAnsi="Times New Roman"/>
                <w:b/>
                <w:i w:val="0"/>
                <w:color w:val="FFFFFF"/>
                <w:sz w:val="18"/>
              </w:rPr>
              <w:t>Technique</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Prec.</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Recall</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F1</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AUC</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FDR/hr</w:t>
            </w:r>
          </w:p>
        </w:tc>
      </w:tr>
      <w:tr>
        <w:tc>
          <w:tcPr>
            <w:tcW w:type="dxa" w:w="1714"/>
          </w:tcPr>
          <w:p>
            <w:pPr>
              <w:spacing w:before="0" w:after="0" w:line="240" w:lineRule="auto"/>
              <w:ind w:firstLine="0"/>
              <w:jc w:val="center"/>
            </w:pPr>
            <w:r>
              <w:rPr>
                <w:rFonts w:ascii="Times New Roman" w:hAnsi="Times New Roman"/>
                <w:b/>
                <w:i w:val="0"/>
                <w:sz w:val="18"/>
              </w:rPr>
              <w:t>Baseline RF</w:t>
            </w:r>
          </w:p>
        </w:tc>
        <w:tc>
          <w:tcPr>
            <w:tcW w:type="dxa" w:w="1714"/>
          </w:tcPr>
          <w:p>
            <w:pPr>
              <w:spacing w:before="0" w:after="0" w:line="240" w:lineRule="auto"/>
              <w:ind w:firstLine="0"/>
              <w:jc w:val="center"/>
            </w:pPr>
            <w:r>
              <w:rPr>
                <w:rFonts w:ascii="Times New Roman" w:hAnsi="Times New Roman"/>
                <w:b/>
                <w:i w:val="0"/>
                <w:sz w:val="18"/>
              </w:rPr>
              <w:t>0.705</w:t>
            </w:r>
          </w:p>
        </w:tc>
        <w:tc>
          <w:tcPr>
            <w:tcW w:type="dxa" w:w="1714"/>
          </w:tcPr>
          <w:p>
            <w:pPr>
              <w:spacing w:before="0" w:after="0" w:line="240" w:lineRule="auto"/>
              <w:ind w:firstLine="0"/>
              <w:jc w:val="center"/>
            </w:pPr>
            <w:r>
              <w:rPr>
                <w:rFonts w:ascii="Times New Roman" w:hAnsi="Times New Roman"/>
                <w:b w:val="0"/>
                <w:i w:val="0"/>
                <w:sz w:val="18"/>
              </w:rPr>
              <w:t>0.593</w:t>
            </w:r>
          </w:p>
        </w:tc>
        <w:tc>
          <w:tcPr>
            <w:tcW w:type="dxa" w:w="1714"/>
          </w:tcPr>
          <w:p>
            <w:pPr>
              <w:spacing w:before="0" w:after="0" w:line="240" w:lineRule="auto"/>
              <w:ind w:firstLine="0"/>
              <w:jc w:val="center"/>
            </w:pPr>
            <w:r>
              <w:rPr>
                <w:rFonts w:ascii="Times New Roman" w:hAnsi="Times New Roman"/>
                <w:b/>
                <w:i w:val="0"/>
                <w:sz w:val="18"/>
              </w:rPr>
              <w:t>0.644</w:t>
            </w:r>
          </w:p>
        </w:tc>
        <w:tc>
          <w:tcPr>
            <w:tcW w:type="dxa" w:w="1714"/>
          </w:tcPr>
          <w:p>
            <w:pPr>
              <w:spacing w:before="0" w:after="0" w:line="240" w:lineRule="auto"/>
              <w:ind w:firstLine="0"/>
              <w:jc w:val="center"/>
            </w:pPr>
            <w:r>
              <w:rPr>
                <w:rFonts w:ascii="Times New Roman" w:hAnsi="Times New Roman"/>
                <w:b/>
                <w:i w:val="0"/>
                <w:sz w:val="18"/>
              </w:rPr>
              <w:t>0.979</w:t>
            </w:r>
          </w:p>
        </w:tc>
        <w:tc>
          <w:tcPr>
            <w:tcW w:type="dxa" w:w="1714"/>
          </w:tcPr>
          <w:p>
            <w:pPr>
              <w:spacing w:before="0" w:after="0" w:line="240" w:lineRule="auto"/>
              <w:ind w:firstLine="0"/>
              <w:jc w:val="center"/>
            </w:pPr>
            <w:r>
              <w:rPr>
                <w:rFonts w:ascii="Times New Roman" w:hAnsi="Times New Roman"/>
                <w:b/>
                <w:i w:val="0"/>
                <w:sz w:val="18"/>
              </w:rPr>
              <w:t>14.01</w:t>
            </w:r>
          </w:p>
        </w:tc>
      </w:tr>
      <w:tr>
        <w:tc>
          <w:tcPr>
            <w:tcW w:type="dxa" w:w="1714"/>
          </w:tcPr>
          <w:p>
            <w:pPr>
              <w:spacing w:before="0" w:after="0" w:line="240" w:lineRule="auto"/>
              <w:ind w:firstLine="0"/>
              <w:jc w:val="center"/>
            </w:pPr>
            <w:r>
              <w:rPr>
                <w:rFonts w:ascii="Times New Roman" w:hAnsi="Times New Roman"/>
                <w:b w:val="0"/>
                <w:i w:val="0"/>
                <w:sz w:val="18"/>
              </w:rPr>
              <w:t>SMOTE+RF</w:t>
            </w:r>
          </w:p>
        </w:tc>
        <w:tc>
          <w:tcPr>
            <w:tcW w:type="dxa" w:w="1714"/>
          </w:tcPr>
          <w:p>
            <w:pPr>
              <w:spacing w:before="0" w:after="0" w:line="240" w:lineRule="auto"/>
              <w:ind w:firstLine="0"/>
              <w:jc w:val="center"/>
            </w:pPr>
            <w:r>
              <w:rPr>
                <w:rFonts w:ascii="Times New Roman" w:hAnsi="Times New Roman"/>
                <w:b w:val="0"/>
                <w:i w:val="0"/>
                <w:sz w:val="18"/>
              </w:rPr>
              <w:t>0.117</w:t>
            </w:r>
          </w:p>
        </w:tc>
        <w:tc>
          <w:tcPr>
            <w:tcW w:type="dxa" w:w="1714"/>
          </w:tcPr>
          <w:p>
            <w:pPr>
              <w:spacing w:before="0" w:after="0" w:line="240" w:lineRule="auto"/>
              <w:ind w:firstLine="0"/>
              <w:jc w:val="center"/>
            </w:pPr>
            <w:r>
              <w:rPr>
                <w:rFonts w:ascii="Times New Roman" w:hAnsi="Times New Roman"/>
                <w:b w:val="0"/>
                <w:i w:val="0"/>
                <w:sz w:val="18"/>
              </w:rPr>
              <w:t>0.230</w:t>
            </w:r>
          </w:p>
        </w:tc>
        <w:tc>
          <w:tcPr>
            <w:tcW w:type="dxa" w:w="1714"/>
          </w:tcPr>
          <w:p>
            <w:pPr>
              <w:spacing w:before="0" w:after="0" w:line="240" w:lineRule="auto"/>
              <w:ind w:firstLine="0"/>
              <w:jc w:val="center"/>
            </w:pPr>
            <w:r>
              <w:rPr>
                <w:rFonts w:ascii="Times New Roman" w:hAnsi="Times New Roman"/>
                <w:b w:val="0"/>
                <w:i w:val="0"/>
                <w:sz w:val="18"/>
              </w:rPr>
              <w:t>0.155</w:t>
            </w:r>
          </w:p>
        </w:tc>
        <w:tc>
          <w:tcPr>
            <w:tcW w:type="dxa" w:w="1714"/>
          </w:tcPr>
          <w:p>
            <w:pPr>
              <w:spacing w:before="0" w:after="0" w:line="240" w:lineRule="auto"/>
              <w:ind w:firstLine="0"/>
              <w:jc w:val="center"/>
            </w:pPr>
            <w:r>
              <w:rPr>
                <w:rFonts w:ascii="Times New Roman" w:hAnsi="Times New Roman"/>
                <w:b w:val="0"/>
                <w:i w:val="0"/>
                <w:sz w:val="18"/>
              </w:rPr>
              <w:t>0.894</w:t>
            </w:r>
          </w:p>
        </w:tc>
        <w:tc>
          <w:tcPr>
            <w:tcW w:type="dxa" w:w="1714"/>
          </w:tcPr>
          <w:p>
            <w:pPr>
              <w:spacing w:before="0" w:after="0" w:line="240" w:lineRule="auto"/>
              <w:ind w:firstLine="0"/>
              <w:jc w:val="center"/>
            </w:pPr>
            <w:r>
              <w:rPr>
                <w:rFonts w:ascii="Times New Roman" w:hAnsi="Times New Roman"/>
                <w:b w:val="0"/>
                <w:i w:val="0"/>
                <w:sz w:val="18"/>
              </w:rPr>
              <w:t>98.55</w:t>
            </w:r>
          </w:p>
        </w:tc>
      </w:tr>
      <w:tr>
        <w:tc>
          <w:tcPr>
            <w:tcW w:type="dxa" w:w="1714"/>
          </w:tcPr>
          <w:p>
            <w:pPr>
              <w:spacing w:before="0" w:after="0" w:line="240" w:lineRule="auto"/>
              <w:ind w:firstLine="0"/>
              <w:jc w:val="center"/>
            </w:pPr>
            <w:r>
              <w:rPr>
                <w:rFonts w:ascii="Times New Roman" w:hAnsi="Times New Roman"/>
                <w:b w:val="0"/>
                <w:i w:val="0"/>
                <w:sz w:val="18"/>
              </w:rPr>
              <w:t>Balanced RF</w:t>
            </w:r>
          </w:p>
        </w:tc>
        <w:tc>
          <w:tcPr>
            <w:tcW w:type="dxa" w:w="1714"/>
          </w:tcPr>
          <w:p>
            <w:pPr>
              <w:spacing w:before="0" w:after="0" w:line="240" w:lineRule="auto"/>
              <w:ind w:firstLine="0"/>
              <w:jc w:val="center"/>
            </w:pPr>
            <w:r>
              <w:rPr>
                <w:rFonts w:ascii="Times New Roman" w:hAnsi="Times New Roman"/>
                <w:b w:val="0"/>
                <w:i w:val="0"/>
                <w:sz w:val="18"/>
              </w:rPr>
              <w:t>0.098</w:t>
            </w:r>
          </w:p>
        </w:tc>
        <w:tc>
          <w:tcPr>
            <w:tcW w:type="dxa" w:w="1714"/>
          </w:tcPr>
          <w:p>
            <w:pPr>
              <w:spacing w:before="0" w:after="0" w:line="240" w:lineRule="auto"/>
              <w:ind w:firstLine="0"/>
              <w:jc w:val="center"/>
            </w:pPr>
            <w:r>
              <w:rPr>
                <w:rFonts w:ascii="Times New Roman" w:hAnsi="Times New Roman"/>
                <w:b/>
                <w:i w:val="0"/>
                <w:sz w:val="18"/>
              </w:rPr>
              <w:t>0.991</w:t>
            </w:r>
          </w:p>
        </w:tc>
        <w:tc>
          <w:tcPr>
            <w:tcW w:type="dxa" w:w="1714"/>
          </w:tcPr>
          <w:p>
            <w:pPr>
              <w:spacing w:before="0" w:after="0" w:line="240" w:lineRule="auto"/>
              <w:ind w:firstLine="0"/>
              <w:jc w:val="center"/>
            </w:pPr>
            <w:r>
              <w:rPr>
                <w:rFonts w:ascii="Times New Roman" w:hAnsi="Times New Roman"/>
                <w:b w:val="0"/>
                <w:i w:val="0"/>
                <w:sz w:val="18"/>
              </w:rPr>
              <w:t>0.178</w:t>
            </w:r>
          </w:p>
        </w:tc>
        <w:tc>
          <w:tcPr>
            <w:tcW w:type="dxa" w:w="1714"/>
          </w:tcPr>
          <w:p>
            <w:pPr>
              <w:spacing w:before="0" w:after="0" w:line="240" w:lineRule="auto"/>
              <w:ind w:firstLine="0"/>
              <w:jc w:val="center"/>
            </w:pPr>
            <w:r>
              <w:rPr>
                <w:rFonts w:ascii="Times New Roman" w:hAnsi="Times New Roman"/>
                <w:b w:val="0"/>
                <w:i w:val="0"/>
                <w:sz w:val="18"/>
              </w:rPr>
              <w:t>0.904</w:t>
            </w:r>
          </w:p>
        </w:tc>
        <w:tc>
          <w:tcPr>
            <w:tcW w:type="dxa" w:w="1714"/>
          </w:tcPr>
          <w:p>
            <w:pPr>
              <w:spacing w:before="0" w:after="0" w:line="240" w:lineRule="auto"/>
              <w:ind w:firstLine="0"/>
              <w:jc w:val="center"/>
            </w:pPr>
            <w:r>
              <w:rPr>
                <w:rFonts w:ascii="Times New Roman" w:hAnsi="Times New Roman"/>
                <w:b w:val="0"/>
                <w:i w:val="0"/>
                <w:sz w:val="18"/>
              </w:rPr>
              <w:t>515.29</w:t>
            </w:r>
          </w:p>
        </w:tc>
      </w:tr>
      <w:tr>
        <w:tc>
          <w:tcPr>
            <w:tcW w:type="dxa" w:w="1714"/>
          </w:tcPr>
          <w:p>
            <w:pPr>
              <w:spacing w:before="0" w:after="0" w:line="240" w:lineRule="auto"/>
              <w:ind w:firstLine="0"/>
              <w:jc w:val="center"/>
            </w:pPr>
            <w:r>
              <w:rPr>
                <w:rFonts w:ascii="Times New Roman" w:hAnsi="Times New Roman"/>
                <w:b w:val="0"/>
                <w:i w:val="0"/>
                <w:sz w:val="18"/>
              </w:rPr>
              <w:t>SMOTETomek+RF</w:t>
            </w:r>
          </w:p>
        </w:tc>
        <w:tc>
          <w:tcPr>
            <w:tcW w:type="dxa" w:w="1714"/>
          </w:tcPr>
          <w:p>
            <w:pPr>
              <w:spacing w:before="0" w:after="0" w:line="240" w:lineRule="auto"/>
              <w:ind w:firstLine="0"/>
              <w:jc w:val="center"/>
            </w:pPr>
            <w:r>
              <w:rPr>
                <w:rFonts w:ascii="Times New Roman" w:hAnsi="Times New Roman"/>
                <w:b w:val="0"/>
                <w:i w:val="0"/>
                <w:sz w:val="18"/>
              </w:rPr>
              <w:t>0.117</w:t>
            </w:r>
          </w:p>
        </w:tc>
        <w:tc>
          <w:tcPr>
            <w:tcW w:type="dxa" w:w="1714"/>
          </w:tcPr>
          <w:p>
            <w:pPr>
              <w:spacing w:before="0" w:after="0" w:line="240" w:lineRule="auto"/>
              <w:ind w:firstLine="0"/>
              <w:jc w:val="center"/>
            </w:pPr>
            <w:r>
              <w:rPr>
                <w:rFonts w:ascii="Times New Roman" w:hAnsi="Times New Roman"/>
                <w:b w:val="0"/>
                <w:i w:val="0"/>
                <w:sz w:val="18"/>
              </w:rPr>
              <w:t>0.230</w:t>
            </w:r>
          </w:p>
        </w:tc>
        <w:tc>
          <w:tcPr>
            <w:tcW w:type="dxa" w:w="1714"/>
          </w:tcPr>
          <w:p>
            <w:pPr>
              <w:spacing w:before="0" w:after="0" w:line="240" w:lineRule="auto"/>
              <w:ind w:firstLine="0"/>
              <w:jc w:val="center"/>
            </w:pPr>
            <w:r>
              <w:rPr>
                <w:rFonts w:ascii="Times New Roman" w:hAnsi="Times New Roman"/>
                <w:b w:val="0"/>
                <w:i w:val="0"/>
                <w:sz w:val="18"/>
              </w:rPr>
              <w:t>0.155</w:t>
            </w:r>
          </w:p>
        </w:tc>
        <w:tc>
          <w:tcPr>
            <w:tcW w:type="dxa" w:w="1714"/>
          </w:tcPr>
          <w:p>
            <w:pPr>
              <w:spacing w:before="0" w:after="0" w:line="240" w:lineRule="auto"/>
              <w:ind w:firstLine="0"/>
              <w:jc w:val="center"/>
            </w:pPr>
            <w:r>
              <w:rPr>
                <w:rFonts w:ascii="Times New Roman" w:hAnsi="Times New Roman"/>
                <w:b w:val="0"/>
                <w:i w:val="0"/>
                <w:sz w:val="18"/>
              </w:rPr>
              <w:t>0.894</w:t>
            </w:r>
          </w:p>
        </w:tc>
        <w:tc>
          <w:tcPr>
            <w:tcW w:type="dxa" w:w="1714"/>
          </w:tcPr>
          <w:p>
            <w:pPr>
              <w:spacing w:before="0" w:after="0" w:line="240" w:lineRule="auto"/>
              <w:ind w:firstLine="0"/>
              <w:jc w:val="center"/>
            </w:pPr>
            <w:r>
              <w:rPr>
                <w:rFonts w:ascii="Times New Roman" w:hAnsi="Times New Roman"/>
                <w:b w:val="0"/>
                <w:i w:val="0"/>
                <w:sz w:val="18"/>
              </w:rPr>
              <w:t>98.55</w:t>
            </w:r>
          </w:p>
        </w:tc>
      </w:tr>
      <w:tr>
        <w:tc>
          <w:tcPr>
            <w:tcW w:type="dxa" w:w="1714"/>
          </w:tcPr>
          <w:p>
            <w:pPr>
              <w:spacing w:before="0" w:after="0" w:line="240" w:lineRule="auto"/>
              <w:ind w:firstLine="0"/>
              <w:jc w:val="center"/>
            </w:pPr>
            <w:r>
              <w:rPr>
                <w:rFonts w:ascii="Times New Roman" w:hAnsi="Times New Roman"/>
                <w:b w:val="0"/>
                <w:i w:val="0"/>
                <w:sz w:val="18"/>
              </w:rPr>
              <w:t>XGBoost</w:t>
            </w:r>
          </w:p>
        </w:tc>
        <w:tc>
          <w:tcPr>
            <w:tcW w:type="dxa" w:w="1714"/>
          </w:tcPr>
          <w:p>
            <w:pPr>
              <w:spacing w:before="0" w:after="0" w:line="240" w:lineRule="auto"/>
              <w:ind w:firstLine="0"/>
              <w:jc w:val="center"/>
            </w:pPr>
            <w:r>
              <w:rPr>
                <w:rFonts w:ascii="Times New Roman" w:hAnsi="Times New Roman"/>
                <w:b w:val="0"/>
                <w:i w:val="0"/>
                <w:sz w:val="18"/>
              </w:rPr>
              <w:t>0.178</w:t>
            </w:r>
          </w:p>
        </w:tc>
        <w:tc>
          <w:tcPr>
            <w:tcW w:type="dxa" w:w="1714"/>
          </w:tcPr>
          <w:p>
            <w:pPr>
              <w:spacing w:before="0" w:after="0" w:line="240" w:lineRule="auto"/>
              <w:ind w:firstLine="0"/>
              <w:jc w:val="center"/>
            </w:pPr>
            <w:r>
              <w:rPr>
                <w:rFonts w:ascii="Times New Roman" w:hAnsi="Times New Roman"/>
                <w:b w:val="0"/>
                <w:i w:val="0"/>
                <w:sz w:val="18"/>
              </w:rPr>
              <w:t>0.708</w:t>
            </w:r>
          </w:p>
        </w:tc>
        <w:tc>
          <w:tcPr>
            <w:tcW w:type="dxa" w:w="1714"/>
          </w:tcPr>
          <w:p>
            <w:pPr>
              <w:spacing w:before="0" w:after="0" w:line="240" w:lineRule="auto"/>
              <w:ind w:firstLine="0"/>
              <w:jc w:val="center"/>
            </w:pPr>
            <w:r>
              <w:rPr>
                <w:rFonts w:ascii="Times New Roman" w:hAnsi="Times New Roman"/>
                <w:b w:val="0"/>
                <w:i w:val="0"/>
                <w:sz w:val="18"/>
              </w:rPr>
              <w:t>0.285</w:t>
            </w:r>
          </w:p>
        </w:tc>
        <w:tc>
          <w:tcPr>
            <w:tcW w:type="dxa" w:w="1714"/>
          </w:tcPr>
          <w:p>
            <w:pPr>
              <w:spacing w:before="0" w:after="0" w:line="240" w:lineRule="auto"/>
              <w:ind w:firstLine="0"/>
              <w:jc w:val="center"/>
            </w:pPr>
            <w:r>
              <w:rPr>
                <w:rFonts w:ascii="Times New Roman" w:hAnsi="Times New Roman"/>
                <w:b w:val="0"/>
                <w:i w:val="0"/>
                <w:sz w:val="18"/>
              </w:rPr>
              <w:t>0.916</w:t>
            </w:r>
          </w:p>
        </w:tc>
        <w:tc>
          <w:tcPr>
            <w:tcW w:type="dxa" w:w="1714"/>
          </w:tcPr>
          <w:p>
            <w:pPr>
              <w:spacing w:before="0" w:after="0" w:line="240" w:lineRule="auto"/>
              <w:ind w:firstLine="0"/>
              <w:jc w:val="center"/>
            </w:pPr>
            <w:r>
              <w:rPr>
                <w:rFonts w:ascii="Times New Roman" w:hAnsi="Times New Roman"/>
                <w:b w:val="0"/>
                <w:i w:val="0"/>
                <w:sz w:val="18"/>
              </w:rPr>
              <w:t>184.60</w:t>
            </w:r>
          </w:p>
        </w:tc>
      </w:tr>
    </w:tbl>
    <w:p/>
    <w:p>
      <w:pPr>
        <w:spacing w:before="0" w:after="0" w:line="240" w:lineRule="auto"/>
        <w:ind w:firstLine="0"/>
        <w:jc w:val="center"/>
      </w:pPr>
      <w:r>
        <w:drawing>
          <wp:inline xmlns:a="http://schemas.openxmlformats.org/drawingml/2006/main" xmlns:pic="http://schemas.openxmlformats.org/drawingml/2006/picture">
            <wp:extent cx="2743200" cy="184564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2743200" cy="1845642"/>
                    </a:xfrm>
                    <a:prstGeom prst="rect"/>
                  </pic:spPr>
                </pic:pic>
              </a:graphicData>
            </a:graphic>
          </wp:inline>
        </w:drawing>
      </w:r>
    </w:p>
    <w:p>
      <w:pPr>
        <w:spacing w:before="0" w:after="80" w:line="240" w:lineRule="auto"/>
        <w:ind w:firstLine="0"/>
        <w:jc w:val="center"/>
      </w:pPr>
      <w:r>
        <w:rPr>
          <w:rFonts w:ascii="Times New Roman" w:hAnsi="Times New Roman"/>
          <w:b w:val="0"/>
          <w:i/>
          <w:sz w:val="18"/>
        </w:rPr>
        <w:t>Fig. 2. CHB-MIT technique comparison: Precision, Recall and F1-Score.</w:t>
      </w:r>
    </w:p>
    <w:p>
      <w:pPr>
        <w:spacing w:before="80" w:after="40" w:line="240" w:lineRule="auto"/>
        <w:ind w:firstLine="0"/>
        <w:jc w:val="left"/>
      </w:pPr>
      <w:r>
        <w:rPr>
          <w:rFonts w:ascii="Times New Roman" w:hAnsi="Times New Roman"/>
          <w:b w:val="0"/>
          <w:i/>
          <w:sz w:val="20"/>
        </w:rPr>
        <w:t>B. Statistical Robustness</w:t>
      </w:r>
    </w:p>
    <w:p>
      <w:pPr>
        <w:spacing w:before="0" w:after="0" w:lineRule="exact" w:line="230"/>
        <w:ind w:firstLine="220"/>
        <w:jc w:val="both"/>
      </w:pPr>
      <w:r>
        <w:rPr>
          <w:rFonts w:ascii="Times New Roman" w:hAnsi="Times New Roman"/>
          <w:b w:val="0"/>
          <w:i w:val="0"/>
          <w:sz w:val="20"/>
        </w:rPr>
        <w:t>TABLE II reports Baseline RF performance across five seeds. AUC-ROC is stable at 0.980±0.001, confirming discriminative ability is seed-independent. FDR/hour of 12.91±1.56 remains consistently clinically acceptable.</w:t>
      </w:r>
    </w:p>
    <w:p>
      <w:pPr>
        <w:spacing w:before="80" w:after="40" w:line="240" w:lineRule="auto"/>
        <w:ind w:firstLine="0"/>
        <w:jc w:val="center"/>
      </w:pPr>
      <w:r>
        <w:rPr>
          <w:rFonts w:ascii="Times New Roman" w:hAnsi="Times New Roman"/>
          <w:b w:val="0"/>
          <w:i w:val="0"/>
          <w:sz w:val="18"/>
          <w:smallCaps/>
        </w:rPr>
        <w:t>TABLE II</w:t>
      </w:r>
    </w:p>
    <w:p>
      <w:pPr>
        <w:spacing w:before="0" w:after="40" w:line="240" w:lineRule="auto"/>
        <w:ind w:firstLine="0"/>
        <w:jc w:val="center"/>
      </w:pPr>
      <w:r>
        <w:rPr>
          <w:rFonts w:ascii="Times New Roman" w:hAnsi="Times New Roman"/>
          <w:b w:val="0"/>
          <w:i w:val="0"/>
          <w:sz w:val="18"/>
          <w:smallCaps/>
        </w:rPr>
        <w:t>BASELINE RF STATISTICAL ROBUSTNESS (5 SEEDS)</w:t>
      </w:r>
    </w:p>
    <w:tbl>
      <w:tblPr>
        <w:tblStyle w:val="TableGrid"/>
        <w:tblW w:type="auto" w:w="0"/>
        <w:tblLook w:firstColumn="1" w:firstRow="1" w:lastColumn="0" w:lastRow="0" w:noHBand="0" w:noVBand="1" w:val="04A0"/>
      </w:tblPr>
      <w:tblGrid>
        <w:gridCol w:w="3427"/>
        <w:gridCol w:w="3427"/>
        <w:gridCol w:w="3427"/>
      </w:tblGrid>
      <w:tr>
        <w:tc>
          <w:tcPr>
            <w:tcW w:type="dxa" w:w="3427"/>
            <w:shd w:val="clear" w:color="auto" w:fill="1F3864"/>
          </w:tcPr>
          <w:p>
            <w:pPr>
              <w:spacing w:before="0" w:after="0" w:line="240" w:lineRule="auto"/>
              <w:ind w:firstLine="0"/>
              <w:jc w:val="center"/>
            </w:pPr>
            <w:r>
              <w:rPr>
                <w:rFonts w:ascii="Times New Roman" w:hAnsi="Times New Roman"/>
                <w:b/>
                <w:i w:val="0"/>
                <w:color w:val="FFFFFF"/>
                <w:sz w:val="18"/>
              </w:rPr>
              <w:t>Metric</w:t>
            </w:r>
          </w:p>
        </w:tc>
        <w:tc>
          <w:tcPr>
            <w:tcW w:type="dxa" w:w="3427"/>
            <w:shd w:val="clear" w:color="auto" w:fill="1F3864"/>
          </w:tcPr>
          <w:p>
            <w:pPr>
              <w:spacing w:before="0" w:after="0" w:line="240" w:lineRule="auto"/>
              <w:ind w:firstLine="0"/>
              <w:jc w:val="center"/>
            </w:pPr>
            <w:r>
              <w:rPr>
                <w:rFonts w:ascii="Times New Roman" w:hAnsi="Times New Roman"/>
                <w:b/>
                <w:i w:val="0"/>
                <w:color w:val="FFFFFF"/>
                <w:sz w:val="18"/>
              </w:rPr>
              <w:t>Mean</w:t>
            </w:r>
          </w:p>
        </w:tc>
        <w:tc>
          <w:tcPr>
            <w:tcW w:type="dxa" w:w="3427"/>
            <w:shd w:val="clear" w:color="auto" w:fill="1F3864"/>
          </w:tcPr>
          <w:p>
            <w:pPr>
              <w:spacing w:before="0" w:after="0" w:line="240" w:lineRule="auto"/>
              <w:ind w:firstLine="0"/>
              <w:jc w:val="center"/>
            </w:pPr>
            <w:r>
              <w:rPr>
                <w:rFonts w:ascii="Times New Roman" w:hAnsi="Times New Roman"/>
                <w:b/>
                <w:i w:val="0"/>
                <w:color w:val="FFFFFF"/>
                <w:sz w:val="18"/>
              </w:rPr>
              <w:t>Std Dev</w:t>
            </w:r>
          </w:p>
        </w:tc>
      </w:tr>
      <w:tr>
        <w:tc>
          <w:tcPr>
            <w:tcW w:type="dxa" w:w="3427"/>
          </w:tcPr>
          <w:p>
            <w:pPr>
              <w:spacing w:before="0" w:after="0" w:line="240" w:lineRule="auto"/>
              <w:ind w:firstLine="0"/>
              <w:jc w:val="center"/>
            </w:pPr>
            <w:r>
              <w:rPr>
                <w:rFonts w:ascii="Times New Roman" w:hAnsi="Times New Roman"/>
                <w:b w:val="0"/>
                <w:i w:val="0"/>
                <w:sz w:val="18"/>
              </w:rPr>
              <w:t>Precision</w:t>
            </w:r>
          </w:p>
        </w:tc>
        <w:tc>
          <w:tcPr>
            <w:tcW w:type="dxa" w:w="3427"/>
          </w:tcPr>
          <w:p>
            <w:pPr>
              <w:spacing w:before="0" w:after="0" w:line="240" w:lineRule="auto"/>
              <w:ind w:firstLine="0"/>
              <w:jc w:val="center"/>
            </w:pPr>
            <w:r>
              <w:rPr>
                <w:rFonts w:ascii="Times New Roman" w:hAnsi="Times New Roman"/>
                <w:b w:val="0"/>
                <w:i w:val="0"/>
                <w:sz w:val="18"/>
              </w:rPr>
              <w:t>0.733</w:t>
            </w:r>
          </w:p>
        </w:tc>
        <w:tc>
          <w:tcPr>
            <w:tcW w:type="dxa" w:w="3427"/>
          </w:tcPr>
          <w:p>
            <w:pPr>
              <w:spacing w:before="0" w:after="0" w:line="240" w:lineRule="auto"/>
              <w:ind w:firstLine="0"/>
              <w:jc w:val="center"/>
            </w:pPr>
            <w:r>
              <w:rPr>
                <w:rFonts w:ascii="Times New Roman" w:hAnsi="Times New Roman"/>
                <w:b w:val="0"/>
                <w:i w:val="0"/>
                <w:sz w:val="18"/>
              </w:rPr>
              <w:t>0.030</w:t>
            </w:r>
          </w:p>
        </w:tc>
      </w:tr>
      <w:tr>
        <w:tc>
          <w:tcPr>
            <w:tcW w:type="dxa" w:w="3427"/>
          </w:tcPr>
          <w:p>
            <w:pPr>
              <w:spacing w:before="0" w:after="0" w:line="240" w:lineRule="auto"/>
              <w:ind w:firstLine="0"/>
              <w:jc w:val="center"/>
            </w:pPr>
            <w:r>
              <w:rPr>
                <w:rFonts w:ascii="Times New Roman" w:hAnsi="Times New Roman"/>
                <w:b w:val="0"/>
                <w:i w:val="0"/>
                <w:sz w:val="18"/>
              </w:rPr>
              <w:t>Recall</w:t>
            </w:r>
          </w:p>
        </w:tc>
        <w:tc>
          <w:tcPr>
            <w:tcW w:type="dxa" w:w="3427"/>
          </w:tcPr>
          <w:p>
            <w:pPr>
              <w:spacing w:before="0" w:after="0" w:line="240" w:lineRule="auto"/>
              <w:ind w:firstLine="0"/>
              <w:jc w:val="center"/>
            </w:pPr>
            <w:r>
              <w:rPr>
                <w:rFonts w:ascii="Times New Roman" w:hAnsi="Times New Roman"/>
                <w:b w:val="0"/>
                <w:i w:val="0"/>
                <w:sz w:val="18"/>
              </w:rPr>
              <w:t>0.628</w:t>
            </w:r>
          </w:p>
        </w:tc>
        <w:tc>
          <w:tcPr>
            <w:tcW w:type="dxa" w:w="3427"/>
          </w:tcPr>
          <w:p>
            <w:pPr>
              <w:spacing w:before="0" w:after="0" w:line="240" w:lineRule="auto"/>
              <w:ind w:firstLine="0"/>
              <w:jc w:val="center"/>
            </w:pPr>
            <w:r>
              <w:rPr>
                <w:rFonts w:ascii="Times New Roman" w:hAnsi="Times New Roman"/>
                <w:b w:val="0"/>
                <w:i w:val="0"/>
                <w:sz w:val="18"/>
              </w:rPr>
              <w:t>0.036</w:t>
            </w:r>
          </w:p>
        </w:tc>
      </w:tr>
      <w:tr>
        <w:tc>
          <w:tcPr>
            <w:tcW w:type="dxa" w:w="3427"/>
          </w:tcPr>
          <w:p>
            <w:pPr>
              <w:spacing w:before="0" w:after="0" w:line="240" w:lineRule="auto"/>
              <w:ind w:firstLine="0"/>
              <w:jc w:val="center"/>
            </w:pPr>
            <w:r>
              <w:rPr>
                <w:rFonts w:ascii="Times New Roman" w:hAnsi="Times New Roman"/>
                <w:b w:val="0"/>
                <w:i w:val="0"/>
                <w:sz w:val="18"/>
              </w:rPr>
              <w:t>F1-Score</w:t>
            </w:r>
          </w:p>
        </w:tc>
        <w:tc>
          <w:tcPr>
            <w:tcW w:type="dxa" w:w="3427"/>
          </w:tcPr>
          <w:p>
            <w:pPr>
              <w:spacing w:before="0" w:after="0" w:line="240" w:lineRule="auto"/>
              <w:ind w:firstLine="0"/>
              <w:jc w:val="center"/>
            </w:pPr>
            <w:r>
              <w:rPr>
                <w:rFonts w:ascii="Times New Roman" w:hAnsi="Times New Roman"/>
                <w:b w:val="0"/>
                <w:i w:val="0"/>
                <w:sz w:val="18"/>
              </w:rPr>
              <w:t>0.677</w:t>
            </w:r>
          </w:p>
        </w:tc>
        <w:tc>
          <w:tcPr>
            <w:tcW w:type="dxa" w:w="3427"/>
          </w:tcPr>
          <w:p>
            <w:pPr>
              <w:spacing w:before="0" w:after="0" w:line="240" w:lineRule="auto"/>
              <w:ind w:firstLine="0"/>
              <w:jc w:val="center"/>
            </w:pPr>
            <w:r>
              <w:rPr>
                <w:rFonts w:ascii="Times New Roman" w:hAnsi="Times New Roman"/>
                <w:b w:val="0"/>
                <w:i w:val="0"/>
                <w:sz w:val="18"/>
              </w:rPr>
              <w:t>0.031</w:t>
            </w:r>
          </w:p>
        </w:tc>
      </w:tr>
      <w:tr>
        <w:tc>
          <w:tcPr>
            <w:tcW w:type="dxa" w:w="3427"/>
          </w:tcPr>
          <w:p>
            <w:pPr>
              <w:spacing w:before="0" w:after="0" w:line="240" w:lineRule="auto"/>
              <w:ind w:firstLine="0"/>
              <w:jc w:val="center"/>
            </w:pPr>
            <w:r>
              <w:rPr>
                <w:rFonts w:ascii="Times New Roman" w:hAnsi="Times New Roman"/>
                <w:b w:val="0"/>
                <w:i w:val="0"/>
                <w:sz w:val="18"/>
              </w:rPr>
              <w:t>AUC-ROC</w:t>
            </w:r>
          </w:p>
        </w:tc>
        <w:tc>
          <w:tcPr>
            <w:tcW w:type="dxa" w:w="3427"/>
          </w:tcPr>
          <w:p>
            <w:pPr>
              <w:spacing w:before="0" w:after="0" w:line="240" w:lineRule="auto"/>
              <w:ind w:firstLine="0"/>
              <w:jc w:val="center"/>
            </w:pPr>
            <w:r>
              <w:rPr>
                <w:rFonts w:ascii="Times New Roman" w:hAnsi="Times New Roman"/>
                <w:b w:val="0"/>
                <w:i w:val="0"/>
                <w:sz w:val="18"/>
              </w:rPr>
              <w:t>0.980</w:t>
            </w:r>
          </w:p>
        </w:tc>
        <w:tc>
          <w:tcPr>
            <w:tcW w:type="dxa" w:w="3427"/>
          </w:tcPr>
          <w:p>
            <w:pPr>
              <w:spacing w:before="0" w:after="0" w:line="240" w:lineRule="auto"/>
              <w:ind w:firstLine="0"/>
              <w:jc w:val="center"/>
            </w:pPr>
            <w:r>
              <w:rPr>
                <w:rFonts w:ascii="Times New Roman" w:hAnsi="Times New Roman"/>
                <w:b w:val="0"/>
                <w:i w:val="0"/>
                <w:sz w:val="18"/>
              </w:rPr>
              <w:t>0.001</w:t>
            </w:r>
          </w:p>
        </w:tc>
      </w:tr>
      <w:tr>
        <w:tc>
          <w:tcPr>
            <w:tcW w:type="dxa" w:w="3427"/>
          </w:tcPr>
          <w:p>
            <w:pPr>
              <w:spacing w:before="0" w:after="0" w:line="240" w:lineRule="auto"/>
              <w:ind w:firstLine="0"/>
              <w:jc w:val="center"/>
            </w:pPr>
            <w:r>
              <w:rPr>
                <w:rFonts w:ascii="Times New Roman" w:hAnsi="Times New Roman"/>
                <w:b w:val="0"/>
                <w:i w:val="0"/>
                <w:sz w:val="18"/>
              </w:rPr>
              <w:t>FDR/hour</w:t>
            </w:r>
          </w:p>
        </w:tc>
        <w:tc>
          <w:tcPr>
            <w:tcW w:type="dxa" w:w="3427"/>
          </w:tcPr>
          <w:p>
            <w:pPr>
              <w:spacing w:before="0" w:after="0" w:line="240" w:lineRule="auto"/>
              <w:ind w:firstLine="0"/>
              <w:jc w:val="center"/>
            </w:pPr>
            <w:r>
              <w:rPr>
                <w:rFonts w:ascii="Times New Roman" w:hAnsi="Times New Roman"/>
                <w:b w:val="0"/>
                <w:i w:val="0"/>
                <w:sz w:val="18"/>
              </w:rPr>
              <w:t>12.910</w:t>
            </w:r>
          </w:p>
        </w:tc>
        <w:tc>
          <w:tcPr>
            <w:tcW w:type="dxa" w:w="3427"/>
          </w:tcPr>
          <w:p>
            <w:pPr>
              <w:spacing w:before="0" w:after="0" w:line="240" w:lineRule="auto"/>
              <w:ind w:firstLine="0"/>
              <w:jc w:val="center"/>
            </w:pPr>
            <w:r>
              <w:rPr>
                <w:rFonts w:ascii="Times New Roman" w:hAnsi="Times New Roman"/>
                <w:b w:val="0"/>
                <w:i w:val="0"/>
                <w:sz w:val="18"/>
              </w:rPr>
              <w:t>1.562</w:t>
            </w:r>
          </w:p>
        </w:tc>
      </w:tr>
    </w:tbl>
    <w:p/>
    <w:p>
      <w:pPr>
        <w:spacing w:before="80" w:after="40" w:line="240" w:lineRule="auto"/>
        <w:ind w:firstLine="0"/>
        <w:jc w:val="left"/>
      </w:pPr>
      <w:r>
        <w:rPr>
          <w:rFonts w:ascii="Times New Roman" w:hAnsi="Times New Roman"/>
          <w:b w:val="0"/>
          <w:i/>
          <w:sz w:val="20"/>
        </w:rPr>
        <w:t>C. Threshold Tuning</w:t>
      </w:r>
    </w:p>
    <w:p>
      <w:pPr>
        <w:spacing w:before="0" w:after="0" w:lineRule="exact" w:line="230"/>
        <w:ind w:firstLine="220"/>
        <w:jc w:val="both"/>
      </w:pPr>
      <w:r>
        <w:rPr>
          <w:rFonts w:ascii="Times New Roman" w:hAnsi="Times New Roman"/>
          <w:b w:val="0"/>
          <w:i w:val="0"/>
          <w:sz w:val="20"/>
        </w:rPr>
        <w:t>TABLE III shows the effect of tuning the Baseline RF threshold. While the F1 score improved to 0.662 at threshold 0.40, the FDR increased substantially to 45.53/hour. The default threshold of 0.50 strikes the most acceptable clinical balance, yielding F1 of 0.651 with FDR of 14.01.</w:t>
      </w:r>
    </w:p>
    <w:p>
      <w:pPr>
        <w:spacing w:before="80" w:after="40" w:line="240" w:lineRule="auto"/>
        <w:ind w:firstLine="0"/>
        <w:jc w:val="center"/>
      </w:pPr>
      <w:r>
        <w:rPr>
          <w:rFonts w:ascii="Times New Roman" w:hAnsi="Times New Roman"/>
          <w:b w:val="0"/>
          <w:i w:val="0"/>
          <w:sz w:val="18"/>
          <w:smallCaps/>
        </w:rPr>
        <w:t>TABLE III</w:t>
      </w:r>
    </w:p>
    <w:p>
      <w:pPr>
        <w:spacing w:before="0" w:after="40" w:line="240" w:lineRule="auto"/>
        <w:ind w:firstLine="0"/>
        <w:jc w:val="center"/>
      </w:pPr>
      <w:r>
        <w:rPr>
          <w:rFonts w:ascii="Times New Roman" w:hAnsi="Times New Roman"/>
          <w:b w:val="0"/>
          <w:i w:val="0"/>
          <w:sz w:val="18"/>
          <w:smallCaps/>
        </w:rPr>
        <w:t>THRESHOLD TUNING ON BASELINE RF</w:t>
      </w:r>
    </w:p>
    <w:tbl>
      <w:tblPr>
        <w:tblStyle w:val="TableGrid"/>
        <w:tblW w:type="auto" w:w="0"/>
        <w:tblLook w:firstColumn="1" w:firstRow="1" w:lastColumn="0" w:lastRow="0" w:noHBand="0" w:noVBand="1" w:val="04A0"/>
      </w:tblPr>
      <w:tblGrid>
        <w:gridCol w:w="2056"/>
        <w:gridCol w:w="2056"/>
        <w:gridCol w:w="2056"/>
        <w:gridCol w:w="2056"/>
        <w:gridCol w:w="2056"/>
      </w:tblGrid>
      <w:tr>
        <w:tc>
          <w:tcPr>
            <w:tcW w:type="dxa" w:w="2056"/>
            <w:shd w:val="clear" w:color="auto" w:fill="1F3864"/>
          </w:tcPr>
          <w:p>
            <w:pPr>
              <w:spacing w:before="0" w:after="0" w:line="240" w:lineRule="auto"/>
              <w:ind w:firstLine="0"/>
              <w:jc w:val="center"/>
            </w:pPr>
            <w:r>
              <w:rPr>
                <w:rFonts w:ascii="Times New Roman" w:hAnsi="Times New Roman"/>
                <w:b/>
                <w:i w:val="0"/>
                <w:color w:val="FFFFFF"/>
                <w:sz w:val="18"/>
              </w:rPr>
              <w:t>Threshold</w:t>
            </w:r>
          </w:p>
        </w:tc>
        <w:tc>
          <w:tcPr>
            <w:tcW w:type="dxa" w:w="2056"/>
            <w:shd w:val="clear" w:color="auto" w:fill="1F3864"/>
          </w:tcPr>
          <w:p>
            <w:pPr>
              <w:spacing w:before="0" w:after="0" w:line="240" w:lineRule="auto"/>
              <w:ind w:firstLine="0"/>
              <w:jc w:val="center"/>
            </w:pPr>
            <w:r>
              <w:rPr>
                <w:rFonts w:ascii="Times New Roman" w:hAnsi="Times New Roman"/>
                <w:b/>
                <w:i w:val="0"/>
                <w:color w:val="FFFFFF"/>
                <w:sz w:val="18"/>
              </w:rPr>
              <w:t>Precision</w:t>
            </w:r>
          </w:p>
        </w:tc>
        <w:tc>
          <w:tcPr>
            <w:tcW w:type="dxa" w:w="2056"/>
            <w:shd w:val="clear" w:color="auto" w:fill="1F3864"/>
          </w:tcPr>
          <w:p>
            <w:pPr>
              <w:spacing w:before="0" w:after="0" w:line="240" w:lineRule="auto"/>
              <w:ind w:firstLine="0"/>
              <w:jc w:val="center"/>
            </w:pPr>
            <w:r>
              <w:rPr>
                <w:rFonts w:ascii="Times New Roman" w:hAnsi="Times New Roman"/>
                <w:b/>
                <w:i w:val="0"/>
                <w:color w:val="FFFFFF"/>
                <w:sz w:val="18"/>
              </w:rPr>
              <w:t>Recall</w:t>
            </w:r>
          </w:p>
        </w:tc>
        <w:tc>
          <w:tcPr>
            <w:tcW w:type="dxa" w:w="2056"/>
            <w:shd w:val="clear" w:color="auto" w:fill="1F3864"/>
          </w:tcPr>
          <w:p>
            <w:pPr>
              <w:spacing w:before="0" w:after="0" w:line="240" w:lineRule="auto"/>
              <w:ind w:firstLine="0"/>
              <w:jc w:val="center"/>
            </w:pPr>
            <w:r>
              <w:rPr>
                <w:rFonts w:ascii="Times New Roman" w:hAnsi="Times New Roman"/>
                <w:b/>
                <w:i w:val="0"/>
                <w:color w:val="FFFFFF"/>
                <w:sz w:val="18"/>
              </w:rPr>
              <w:t>F1</w:t>
            </w:r>
          </w:p>
        </w:tc>
        <w:tc>
          <w:tcPr>
            <w:tcW w:type="dxa" w:w="2056"/>
            <w:shd w:val="clear" w:color="auto" w:fill="1F3864"/>
          </w:tcPr>
          <w:p>
            <w:pPr>
              <w:spacing w:before="0" w:after="0" w:line="240" w:lineRule="auto"/>
              <w:ind w:firstLine="0"/>
              <w:jc w:val="center"/>
            </w:pPr>
            <w:r>
              <w:rPr>
                <w:rFonts w:ascii="Times New Roman" w:hAnsi="Times New Roman"/>
                <w:b/>
                <w:i w:val="0"/>
                <w:color w:val="FFFFFF"/>
                <w:sz w:val="18"/>
              </w:rPr>
              <w:t>FDR/hr</w:t>
            </w:r>
          </w:p>
        </w:tc>
      </w:tr>
      <w:tr>
        <w:tc>
          <w:tcPr>
            <w:tcW w:type="dxa" w:w="2056"/>
          </w:tcPr>
          <w:p>
            <w:pPr>
              <w:spacing w:before="0" w:after="0" w:line="240" w:lineRule="auto"/>
              <w:ind w:firstLine="0"/>
              <w:jc w:val="center"/>
            </w:pPr>
            <w:r>
              <w:rPr>
                <w:rFonts w:ascii="Times New Roman" w:hAnsi="Times New Roman"/>
                <w:b/>
                <w:i w:val="0"/>
                <w:sz w:val="18"/>
              </w:rPr>
              <w:t>0.50</w:t>
            </w:r>
          </w:p>
        </w:tc>
        <w:tc>
          <w:tcPr>
            <w:tcW w:type="dxa" w:w="2056"/>
          </w:tcPr>
          <w:p>
            <w:pPr>
              <w:spacing w:before="0" w:after="0" w:line="240" w:lineRule="auto"/>
              <w:ind w:firstLine="0"/>
              <w:jc w:val="center"/>
            </w:pPr>
            <w:r>
              <w:rPr>
                <w:rFonts w:ascii="Times New Roman" w:hAnsi="Times New Roman"/>
                <w:b w:val="0"/>
                <w:i w:val="0"/>
                <w:sz w:val="18"/>
              </w:rPr>
              <w:t>0.708</w:t>
            </w:r>
          </w:p>
        </w:tc>
        <w:tc>
          <w:tcPr>
            <w:tcW w:type="dxa" w:w="2056"/>
          </w:tcPr>
          <w:p>
            <w:pPr>
              <w:spacing w:before="0" w:after="0" w:line="240" w:lineRule="auto"/>
              <w:ind w:firstLine="0"/>
              <w:jc w:val="center"/>
            </w:pPr>
            <w:r>
              <w:rPr>
                <w:rFonts w:ascii="Times New Roman" w:hAnsi="Times New Roman"/>
                <w:b w:val="0"/>
                <w:i w:val="0"/>
                <w:sz w:val="18"/>
              </w:rPr>
              <w:t>0.602</w:t>
            </w:r>
          </w:p>
        </w:tc>
        <w:tc>
          <w:tcPr>
            <w:tcW w:type="dxa" w:w="2056"/>
          </w:tcPr>
          <w:p>
            <w:pPr>
              <w:spacing w:before="0" w:after="0" w:line="240" w:lineRule="auto"/>
              <w:ind w:firstLine="0"/>
              <w:jc w:val="center"/>
            </w:pPr>
            <w:r>
              <w:rPr>
                <w:rFonts w:ascii="Times New Roman" w:hAnsi="Times New Roman"/>
                <w:b/>
                <w:i w:val="0"/>
                <w:sz w:val="18"/>
              </w:rPr>
              <w:t>0.651</w:t>
            </w:r>
          </w:p>
        </w:tc>
        <w:tc>
          <w:tcPr>
            <w:tcW w:type="dxa" w:w="2056"/>
          </w:tcPr>
          <w:p>
            <w:pPr>
              <w:spacing w:before="0" w:after="0" w:line="240" w:lineRule="auto"/>
              <w:ind w:firstLine="0"/>
              <w:jc w:val="center"/>
            </w:pPr>
            <w:r>
              <w:rPr>
                <w:rFonts w:ascii="Times New Roman" w:hAnsi="Times New Roman"/>
                <w:b/>
                <w:i w:val="0"/>
                <w:sz w:val="18"/>
              </w:rPr>
              <w:t>14.01</w:t>
            </w:r>
          </w:p>
        </w:tc>
      </w:tr>
      <w:tr>
        <w:tc>
          <w:tcPr>
            <w:tcW w:type="dxa" w:w="2056"/>
          </w:tcPr>
          <w:p>
            <w:pPr>
              <w:spacing w:before="0" w:after="0" w:line="240" w:lineRule="auto"/>
              <w:ind w:firstLine="0"/>
              <w:jc w:val="center"/>
            </w:pPr>
            <w:r>
              <w:rPr>
                <w:rFonts w:ascii="Times New Roman" w:hAnsi="Times New Roman"/>
                <w:b w:val="0"/>
                <w:i w:val="0"/>
                <w:sz w:val="18"/>
              </w:rPr>
              <w:t>0.40</w:t>
            </w:r>
          </w:p>
        </w:tc>
        <w:tc>
          <w:tcPr>
            <w:tcW w:type="dxa" w:w="2056"/>
          </w:tcPr>
          <w:p>
            <w:pPr>
              <w:spacing w:before="0" w:after="0" w:line="240" w:lineRule="auto"/>
              <w:ind w:firstLine="0"/>
              <w:jc w:val="center"/>
            </w:pPr>
            <w:r>
              <w:rPr>
                <w:rFonts w:ascii="Times New Roman" w:hAnsi="Times New Roman"/>
                <w:b w:val="0"/>
                <w:i w:val="0"/>
                <w:sz w:val="18"/>
              </w:rPr>
              <w:t>0.526</w:t>
            </w:r>
          </w:p>
        </w:tc>
        <w:tc>
          <w:tcPr>
            <w:tcW w:type="dxa" w:w="2056"/>
          </w:tcPr>
          <w:p>
            <w:pPr>
              <w:spacing w:before="0" w:after="0" w:line="240" w:lineRule="auto"/>
              <w:ind w:firstLine="0"/>
              <w:jc w:val="center"/>
            </w:pPr>
            <w:r>
              <w:rPr>
                <w:rFonts w:ascii="Times New Roman" w:hAnsi="Times New Roman"/>
                <w:b w:val="0"/>
                <w:i w:val="0"/>
                <w:sz w:val="18"/>
              </w:rPr>
              <w:t>0.894</w:t>
            </w:r>
          </w:p>
        </w:tc>
        <w:tc>
          <w:tcPr>
            <w:tcW w:type="dxa" w:w="2056"/>
          </w:tcPr>
          <w:p>
            <w:pPr>
              <w:spacing w:before="0" w:after="0" w:line="240" w:lineRule="auto"/>
              <w:ind w:firstLine="0"/>
              <w:jc w:val="center"/>
            </w:pPr>
            <w:r>
              <w:rPr>
                <w:rFonts w:ascii="Times New Roman" w:hAnsi="Times New Roman"/>
                <w:b w:val="0"/>
                <w:i w:val="0"/>
                <w:sz w:val="18"/>
              </w:rPr>
              <w:t>0.662</w:t>
            </w:r>
          </w:p>
        </w:tc>
        <w:tc>
          <w:tcPr>
            <w:tcW w:type="dxa" w:w="2056"/>
          </w:tcPr>
          <w:p>
            <w:pPr>
              <w:spacing w:before="0" w:after="0" w:line="240" w:lineRule="auto"/>
              <w:ind w:firstLine="0"/>
              <w:jc w:val="center"/>
            </w:pPr>
            <w:r>
              <w:rPr>
                <w:rFonts w:ascii="Times New Roman" w:hAnsi="Times New Roman"/>
                <w:b w:val="0"/>
                <w:i w:val="0"/>
                <w:sz w:val="18"/>
              </w:rPr>
              <w:t>45.53</w:t>
            </w:r>
          </w:p>
        </w:tc>
      </w:tr>
      <w:tr>
        <w:tc>
          <w:tcPr>
            <w:tcW w:type="dxa" w:w="2056"/>
          </w:tcPr>
          <w:p>
            <w:pPr>
              <w:spacing w:before="0" w:after="0" w:line="240" w:lineRule="auto"/>
              <w:ind w:firstLine="0"/>
              <w:jc w:val="center"/>
            </w:pPr>
            <w:r>
              <w:rPr>
                <w:rFonts w:ascii="Times New Roman" w:hAnsi="Times New Roman"/>
                <w:b w:val="0"/>
                <w:i w:val="0"/>
                <w:sz w:val="18"/>
              </w:rPr>
              <w:t>0.30</w:t>
            </w:r>
          </w:p>
        </w:tc>
        <w:tc>
          <w:tcPr>
            <w:tcW w:type="dxa" w:w="2056"/>
          </w:tcPr>
          <w:p>
            <w:pPr>
              <w:spacing w:before="0" w:after="0" w:line="240" w:lineRule="auto"/>
              <w:ind w:firstLine="0"/>
              <w:jc w:val="center"/>
            </w:pPr>
            <w:r>
              <w:rPr>
                <w:rFonts w:ascii="Times New Roman" w:hAnsi="Times New Roman"/>
                <w:b w:val="0"/>
                <w:i w:val="0"/>
                <w:sz w:val="18"/>
              </w:rPr>
              <w:t>0.372</w:t>
            </w:r>
          </w:p>
        </w:tc>
        <w:tc>
          <w:tcPr>
            <w:tcW w:type="dxa" w:w="2056"/>
          </w:tcPr>
          <w:p>
            <w:pPr>
              <w:spacing w:before="0" w:after="0" w:line="240" w:lineRule="auto"/>
              <w:ind w:firstLine="0"/>
              <w:jc w:val="center"/>
            </w:pPr>
            <w:r>
              <w:rPr>
                <w:rFonts w:ascii="Times New Roman" w:hAnsi="Times New Roman"/>
                <w:b w:val="0"/>
                <w:i w:val="0"/>
                <w:sz w:val="18"/>
              </w:rPr>
              <w:t>0.938</w:t>
            </w:r>
          </w:p>
        </w:tc>
        <w:tc>
          <w:tcPr>
            <w:tcW w:type="dxa" w:w="2056"/>
          </w:tcPr>
          <w:p>
            <w:pPr>
              <w:spacing w:before="0" w:after="0" w:line="240" w:lineRule="auto"/>
              <w:ind w:firstLine="0"/>
              <w:jc w:val="center"/>
            </w:pPr>
            <w:r>
              <w:rPr>
                <w:rFonts w:ascii="Times New Roman" w:hAnsi="Times New Roman"/>
                <w:b w:val="0"/>
                <w:i w:val="0"/>
                <w:sz w:val="18"/>
              </w:rPr>
              <w:t>0.533</w:t>
            </w:r>
          </w:p>
        </w:tc>
        <w:tc>
          <w:tcPr>
            <w:tcW w:type="dxa" w:w="2056"/>
          </w:tcPr>
          <w:p>
            <w:pPr>
              <w:spacing w:before="0" w:after="0" w:line="240" w:lineRule="auto"/>
              <w:ind w:firstLine="0"/>
              <w:jc w:val="center"/>
            </w:pPr>
            <w:r>
              <w:rPr>
                <w:rFonts w:ascii="Times New Roman" w:hAnsi="Times New Roman"/>
                <w:b w:val="0"/>
                <w:i w:val="0"/>
                <w:sz w:val="18"/>
              </w:rPr>
              <w:t>89.55</w:t>
            </w:r>
          </w:p>
        </w:tc>
      </w:tr>
      <w:tr>
        <w:tc>
          <w:tcPr>
            <w:tcW w:type="dxa" w:w="2056"/>
          </w:tcPr>
          <w:p>
            <w:pPr>
              <w:spacing w:before="0" w:after="0" w:line="240" w:lineRule="auto"/>
              <w:ind w:firstLine="0"/>
              <w:jc w:val="center"/>
            </w:pPr>
            <w:r>
              <w:rPr>
                <w:rFonts w:ascii="Times New Roman" w:hAnsi="Times New Roman"/>
                <w:b w:val="0"/>
                <w:i w:val="0"/>
                <w:sz w:val="18"/>
              </w:rPr>
              <w:t>0.20</w:t>
            </w:r>
          </w:p>
        </w:tc>
        <w:tc>
          <w:tcPr>
            <w:tcW w:type="dxa" w:w="2056"/>
          </w:tcPr>
          <w:p>
            <w:pPr>
              <w:spacing w:before="0" w:after="0" w:line="240" w:lineRule="auto"/>
              <w:ind w:firstLine="0"/>
              <w:jc w:val="center"/>
            </w:pPr>
            <w:r>
              <w:rPr>
                <w:rFonts w:ascii="Times New Roman" w:hAnsi="Times New Roman"/>
                <w:b w:val="0"/>
                <w:i w:val="0"/>
                <w:sz w:val="18"/>
              </w:rPr>
              <w:t>0.276</w:t>
            </w:r>
          </w:p>
        </w:tc>
        <w:tc>
          <w:tcPr>
            <w:tcW w:type="dxa" w:w="2056"/>
          </w:tcPr>
          <w:p>
            <w:pPr>
              <w:spacing w:before="0" w:after="0" w:line="240" w:lineRule="auto"/>
              <w:ind w:firstLine="0"/>
              <w:jc w:val="center"/>
            </w:pPr>
            <w:r>
              <w:rPr>
                <w:rFonts w:ascii="Times New Roman" w:hAnsi="Times New Roman"/>
                <w:b w:val="0"/>
                <w:i w:val="0"/>
                <w:sz w:val="18"/>
              </w:rPr>
              <w:t>0.973</w:t>
            </w:r>
          </w:p>
        </w:tc>
        <w:tc>
          <w:tcPr>
            <w:tcW w:type="dxa" w:w="2056"/>
          </w:tcPr>
          <w:p>
            <w:pPr>
              <w:spacing w:before="0" w:after="0" w:line="240" w:lineRule="auto"/>
              <w:ind w:firstLine="0"/>
              <w:jc w:val="center"/>
            </w:pPr>
            <w:r>
              <w:rPr>
                <w:rFonts w:ascii="Times New Roman" w:hAnsi="Times New Roman"/>
                <w:b w:val="0"/>
                <w:i w:val="0"/>
                <w:sz w:val="18"/>
              </w:rPr>
              <w:t>0.431</w:t>
            </w:r>
          </w:p>
        </w:tc>
        <w:tc>
          <w:tcPr>
            <w:tcW w:type="dxa" w:w="2056"/>
          </w:tcPr>
          <w:p>
            <w:pPr>
              <w:spacing w:before="0" w:after="0" w:line="240" w:lineRule="auto"/>
              <w:ind w:firstLine="0"/>
              <w:jc w:val="center"/>
            </w:pPr>
            <w:r>
              <w:rPr>
                <w:rFonts w:ascii="Times New Roman" w:hAnsi="Times New Roman"/>
                <w:b w:val="0"/>
                <w:i w:val="0"/>
                <w:sz w:val="18"/>
              </w:rPr>
              <w:t>144.08</w:t>
            </w:r>
          </w:p>
        </w:tc>
      </w:tr>
      <w:tr>
        <w:tc>
          <w:tcPr>
            <w:tcW w:type="dxa" w:w="2056"/>
          </w:tcPr>
          <w:p>
            <w:pPr>
              <w:spacing w:before="0" w:after="0" w:line="240" w:lineRule="auto"/>
              <w:ind w:firstLine="0"/>
              <w:jc w:val="center"/>
            </w:pPr>
            <w:r>
              <w:rPr>
                <w:rFonts w:ascii="Times New Roman" w:hAnsi="Times New Roman"/>
                <w:b w:val="0"/>
                <w:i w:val="0"/>
                <w:sz w:val="18"/>
              </w:rPr>
              <w:t>0.10</w:t>
            </w:r>
          </w:p>
        </w:tc>
        <w:tc>
          <w:tcPr>
            <w:tcW w:type="dxa" w:w="2056"/>
          </w:tcPr>
          <w:p>
            <w:pPr>
              <w:spacing w:before="0" w:after="0" w:line="240" w:lineRule="auto"/>
              <w:ind w:firstLine="0"/>
              <w:jc w:val="center"/>
            </w:pPr>
            <w:r>
              <w:rPr>
                <w:rFonts w:ascii="Times New Roman" w:hAnsi="Times New Roman"/>
                <w:b w:val="0"/>
                <w:i w:val="0"/>
                <w:sz w:val="18"/>
              </w:rPr>
              <w:t>0.185</w:t>
            </w:r>
          </w:p>
        </w:tc>
        <w:tc>
          <w:tcPr>
            <w:tcW w:type="dxa" w:w="2056"/>
          </w:tcPr>
          <w:p>
            <w:pPr>
              <w:spacing w:before="0" w:after="0" w:line="240" w:lineRule="auto"/>
              <w:ind w:firstLine="0"/>
              <w:jc w:val="center"/>
            </w:pPr>
            <w:r>
              <w:rPr>
                <w:rFonts w:ascii="Times New Roman" w:hAnsi="Times New Roman"/>
                <w:b w:val="0"/>
                <w:i w:val="0"/>
                <w:sz w:val="18"/>
              </w:rPr>
              <w:t>0.973</w:t>
            </w:r>
          </w:p>
        </w:tc>
        <w:tc>
          <w:tcPr>
            <w:tcW w:type="dxa" w:w="2056"/>
          </w:tcPr>
          <w:p>
            <w:pPr>
              <w:spacing w:before="0" w:after="0" w:line="240" w:lineRule="auto"/>
              <w:ind w:firstLine="0"/>
              <w:jc w:val="center"/>
            </w:pPr>
            <w:r>
              <w:rPr>
                <w:rFonts w:ascii="Times New Roman" w:hAnsi="Times New Roman"/>
                <w:b w:val="0"/>
                <w:i w:val="0"/>
                <w:sz w:val="18"/>
              </w:rPr>
              <w:t>0.312</w:t>
            </w:r>
          </w:p>
        </w:tc>
        <w:tc>
          <w:tcPr>
            <w:tcW w:type="dxa" w:w="2056"/>
          </w:tcPr>
          <w:p>
            <w:pPr>
              <w:spacing w:before="0" w:after="0" w:line="240" w:lineRule="auto"/>
              <w:ind w:firstLine="0"/>
              <w:jc w:val="center"/>
            </w:pPr>
            <w:r>
              <w:rPr>
                <w:rFonts w:ascii="Times New Roman" w:hAnsi="Times New Roman"/>
                <w:b w:val="0"/>
                <w:i w:val="0"/>
                <w:sz w:val="18"/>
              </w:rPr>
              <w:t>241.63</w:t>
            </w:r>
          </w:p>
        </w:tc>
      </w:tr>
    </w:tbl>
    <w:p/>
    <w:p>
      <w:pPr>
        <w:spacing w:before="80" w:after="40" w:line="240" w:lineRule="auto"/>
        <w:ind w:firstLine="0"/>
        <w:jc w:val="left"/>
      </w:pPr>
      <w:r>
        <w:rPr>
          <w:rFonts w:ascii="Times New Roman" w:hAnsi="Times New Roman"/>
          <w:b w:val="0"/>
          <w:i/>
          <w:sz w:val="20"/>
        </w:rPr>
        <w:t>D. PCA Ablation Study</w:t>
      </w:r>
    </w:p>
    <w:p>
      <w:pPr>
        <w:spacing w:before="0" w:after="0" w:lineRule="exact" w:line="230"/>
        <w:ind w:firstLine="220"/>
        <w:jc w:val="both"/>
      </w:pPr>
      <w:r>
        <w:rPr>
          <w:rFonts w:ascii="Times New Roman" w:hAnsi="Times New Roman"/>
          <w:b w:val="0"/>
          <w:i w:val="0"/>
          <w:sz w:val="20"/>
        </w:rPr>
        <w:t>In TABLE IV, we have verified the selection of the 120 components. The F1-score and AUC-ROC increase steadily from 40 to 120 components, confirming every additional component contributes to the discriminative signal. With 99.6% variance, the 120-component configuration gives the best balance between dimensionality and accuracy.</w:t>
      </w:r>
    </w:p>
    <w:p>
      <w:pPr>
        <w:spacing w:before="80" w:after="40" w:line="240" w:lineRule="auto"/>
        <w:ind w:firstLine="0"/>
        <w:jc w:val="center"/>
      </w:pPr>
      <w:r>
        <w:rPr>
          <w:rFonts w:ascii="Times New Roman" w:hAnsi="Times New Roman"/>
          <w:b w:val="0"/>
          <w:i w:val="0"/>
          <w:sz w:val="18"/>
          <w:smallCaps/>
        </w:rPr>
        <w:t>TABLE IV</w:t>
      </w:r>
    </w:p>
    <w:p>
      <w:pPr>
        <w:spacing w:before="0" w:after="40" w:line="240" w:lineRule="auto"/>
        <w:ind w:firstLine="0"/>
        <w:jc w:val="center"/>
      </w:pPr>
      <w:r>
        <w:rPr>
          <w:rFonts w:ascii="Times New Roman" w:hAnsi="Times New Roman"/>
          <w:b w:val="0"/>
          <w:i w:val="0"/>
          <w:sz w:val="18"/>
          <w:smallCaps/>
        </w:rPr>
        <w:t>PCA ABLATION STUDY (BASELINE RF, SEED=42)</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val="clear" w:color="auto" w:fill="1F3864"/>
          </w:tcPr>
          <w:p>
            <w:pPr>
              <w:spacing w:before="0" w:after="0" w:line="240" w:lineRule="auto"/>
              <w:ind w:firstLine="0"/>
              <w:jc w:val="center"/>
            </w:pPr>
            <w:r>
              <w:rPr>
                <w:rFonts w:ascii="Times New Roman" w:hAnsi="Times New Roman"/>
                <w:b/>
                <w:i w:val="0"/>
                <w:color w:val="FFFFFF"/>
                <w:sz w:val="18"/>
              </w:rPr>
              <w:t>PCA Comp.</w:t>
            </w:r>
          </w:p>
        </w:tc>
        <w:tc>
          <w:tcPr>
            <w:tcW w:type="dxa" w:w="2570"/>
            <w:shd w:val="clear" w:color="auto" w:fill="1F3864"/>
          </w:tcPr>
          <w:p>
            <w:pPr>
              <w:spacing w:before="0" w:after="0" w:line="240" w:lineRule="auto"/>
              <w:ind w:firstLine="0"/>
              <w:jc w:val="center"/>
            </w:pPr>
            <w:r>
              <w:rPr>
                <w:rFonts w:ascii="Times New Roman" w:hAnsi="Times New Roman"/>
                <w:b/>
                <w:i w:val="0"/>
                <w:color w:val="FFFFFF"/>
                <w:sz w:val="18"/>
              </w:rPr>
              <w:t>Var. Expl. %</w:t>
            </w:r>
          </w:p>
        </w:tc>
        <w:tc>
          <w:tcPr>
            <w:tcW w:type="dxa" w:w="2570"/>
            <w:shd w:val="clear" w:color="auto" w:fill="1F3864"/>
          </w:tcPr>
          <w:p>
            <w:pPr>
              <w:spacing w:before="0" w:after="0" w:line="240" w:lineRule="auto"/>
              <w:ind w:firstLine="0"/>
              <w:jc w:val="center"/>
            </w:pPr>
            <w:r>
              <w:rPr>
                <w:rFonts w:ascii="Times New Roman" w:hAnsi="Times New Roman"/>
                <w:b/>
                <w:i w:val="0"/>
                <w:color w:val="FFFFFF"/>
                <w:sz w:val="18"/>
              </w:rPr>
              <w:t>F1</w:t>
            </w:r>
          </w:p>
        </w:tc>
        <w:tc>
          <w:tcPr>
            <w:tcW w:type="dxa" w:w="2570"/>
            <w:shd w:val="clear" w:color="auto" w:fill="1F3864"/>
          </w:tcPr>
          <w:p>
            <w:pPr>
              <w:spacing w:before="0" w:after="0" w:line="240" w:lineRule="auto"/>
              <w:ind w:firstLine="0"/>
              <w:jc w:val="center"/>
            </w:pPr>
            <w:r>
              <w:rPr>
                <w:rFonts w:ascii="Times New Roman" w:hAnsi="Times New Roman"/>
                <w:b/>
                <w:i w:val="0"/>
                <w:color w:val="FFFFFF"/>
                <w:sz w:val="18"/>
              </w:rPr>
              <w:t>AUC</w:t>
            </w:r>
          </w:p>
        </w:tc>
      </w:tr>
      <w:tr>
        <w:tc>
          <w:tcPr>
            <w:tcW w:type="dxa" w:w="2570"/>
          </w:tcPr>
          <w:p>
            <w:pPr>
              <w:spacing w:before="0" w:after="0" w:line="240" w:lineRule="auto"/>
              <w:ind w:firstLine="0"/>
              <w:jc w:val="center"/>
            </w:pPr>
            <w:r>
              <w:rPr>
                <w:rFonts w:ascii="Times New Roman" w:hAnsi="Times New Roman"/>
                <w:b w:val="0"/>
                <w:i w:val="0"/>
                <w:sz w:val="18"/>
              </w:rPr>
              <w:t>40</w:t>
            </w:r>
          </w:p>
        </w:tc>
        <w:tc>
          <w:tcPr>
            <w:tcW w:type="dxa" w:w="2570"/>
          </w:tcPr>
          <w:p>
            <w:pPr>
              <w:spacing w:before="0" w:after="0" w:line="240" w:lineRule="auto"/>
              <w:ind w:firstLine="0"/>
              <w:jc w:val="center"/>
            </w:pPr>
            <w:r>
              <w:rPr>
                <w:rFonts w:ascii="Times New Roman" w:hAnsi="Times New Roman"/>
                <w:b w:val="0"/>
                <w:i w:val="0"/>
                <w:sz w:val="18"/>
              </w:rPr>
              <w:t>87.8</w:t>
            </w:r>
          </w:p>
        </w:tc>
        <w:tc>
          <w:tcPr>
            <w:tcW w:type="dxa" w:w="2570"/>
          </w:tcPr>
          <w:p>
            <w:pPr>
              <w:spacing w:before="0" w:after="0" w:line="240" w:lineRule="auto"/>
              <w:ind w:firstLine="0"/>
              <w:jc w:val="center"/>
            </w:pPr>
            <w:r>
              <w:rPr>
                <w:rFonts w:ascii="Times New Roman" w:hAnsi="Times New Roman"/>
                <w:b w:val="0"/>
                <w:i w:val="0"/>
                <w:sz w:val="18"/>
              </w:rPr>
              <w:t>0.328</w:t>
            </w:r>
          </w:p>
        </w:tc>
        <w:tc>
          <w:tcPr>
            <w:tcW w:type="dxa" w:w="2570"/>
          </w:tcPr>
          <w:p>
            <w:pPr>
              <w:spacing w:before="0" w:after="0" w:line="240" w:lineRule="auto"/>
              <w:ind w:firstLine="0"/>
              <w:jc w:val="center"/>
            </w:pPr>
            <w:r>
              <w:rPr>
                <w:rFonts w:ascii="Times New Roman" w:hAnsi="Times New Roman"/>
                <w:b w:val="0"/>
                <w:i w:val="0"/>
                <w:sz w:val="18"/>
              </w:rPr>
              <w:t>0.951</w:t>
            </w:r>
          </w:p>
        </w:tc>
      </w:tr>
      <w:tr>
        <w:tc>
          <w:tcPr>
            <w:tcW w:type="dxa" w:w="2570"/>
          </w:tcPr>
          <w:p>
            <w:pPr>
              <w:spacing w:before="0" w:after="0" w:line="240" w:lineRule="auto"/>
              <w:ind w:firstLine="0"/>
              <w:jc w:val="center"/>
            </w:pPr>
            <w:r>
              <w:rPr>
                <w:rFonts w:ascii="Times New Roman" w:hAnsi="Times New Roman"/>
                <w:b w:val="0"/>
                <w:i w:val="0"/>
                <w:sz w:val="18"/>
              </w:rPr>
              <w:t>60</w:t>
            </w:r>
          </w:p>
        </w:tc>
        <w:tc>
          <w:tcPr>
            <w:tcW w:type="dxa" w:w="2570"/>
          </w:tcPr>
          <w:p>
            <w:pPr>
              <w:spacing w:before="0" w:after="0" w:line="240" w:lineRule="auto"/>
              <w:ind w:firstLine="0"/>
              <w:jc w:val="center"/>
            </w:pPr>
            <w:r>
              <w:rPr>
                <w:rFonts w:ascii="Times New Roman" w:hAnsi="Times New Roman"/>
                <w:b w:val="0"/>
                <w:i w:val="0"/>
                <w:sz w:val="18"/>
              </w:rPr>
              <w:t>94.4</w:t>
            </w:r>
          </w:p>
        </w:tc>
        <w:tc>
          <w:tcPr>
            <w:tcW w:type="dxa" w:w="2570"/>
          </w:tcPr>
          <w:p>
            <w:pPr>
              <w:spacing w:before="0" w:after="0" w:line="240" w:lineRule="auto"/>
              <w:ind w:firstLine="0"/>
              <w:jc w:val="center"/>
            </w:pPr>
            <w:r>
              <w:rPr>
                <w:rFonts w:ascii="Times New Roman" w:hAnsi="Times New Roman"/>
                <w:b w:val="0"/>
                <w:i w:val="0"/>
                <w:sz w:val="18"/>
              </w:rPr>
              <w:t>0.474</w:t>
            </w:r>
          </w:p>
        </w:tc>
        <w:tc>
          <w:tcPr>
            <w:tcW w:type="dxa" w:w="2570"/>
          </w:tcPr>
          <w:p>
            <w:pPr>
              <w:spacing w:before="0" w:after="0" w:line="240" w:lineRule="auto"/>
              <w:ind w:firstLine="0"/>
              <w:jc w:val="center"/>
            </w:pPr>
            <w:r>
              <w:rPr>
                <w:rFonts w:ascii="Times New Roman" w:hAnsi="Times New Roman"/>
                <w:b w:val="0"/>
                <w:i w:val="0"/>
                <w:sz w:val="18"/>
              </w:rPr>
              <w:t>0.964</w:t>
            </w:r>
          </w:p>
        </w:tc>
      </w:tr>
      <w:tr>
        <w:tc>
          <w:tcPr>
            <w:tcW w:type="dxa" w:w="2570"/>
          </w:tcPr>
          <w:p>
            <w:pPr>
              <w:spacing w:before="0" w:after="0" w:line="240" w:lineRule="auto"/>
              <w:ind w:firstLine="0"/>
              <w:jc w:val="center"/>
            </w:pPr>
            <w:r>
              <w:rPr>
                <w:rFonts w:ascii="Times New Roman" w:hAnsi="Times New Roman"/>
                <w:b w:val="0"/>
                <w:i w:val="0"/>
                <w:sz w:val="18"/>
              </w:rPr>
              <w:t>90</w:t>
            </w:r>
          </w:p>
        </w:tc>
        <w:tc>
          <w:tcPr>
            <w:tcW w:type="dxa" w:w="2570"/>
          </w:tcPr>
          <w:p>
            <w:pPr>
              <w:spacing w:before="0" w:after="0" w:line="240" w:lineRule="auto"/>
              <w:ind w:firstLine="0"/>
              <w:jc w:val="center"/>
            </w:pPr>
            <w:r>
              <w:rPr>
                <w:rFonts w:ascii="Times New Roman" w:hAnsi="Times New Roman"/>
                <w:b w:val="0"/>
                <w:i w:val="0"/>
                <w:sz w:val="18"/>
              </w:rPr>
              <w:t>98.6</w:t>
            </w:r>
          </w:p>
        </w:tc>
        <w:tc>
          <w:tcPr>
            <w:tcW w:type="dxa" w:w="2570"/>
          </w:tcPr>
          <w:p>
            <w:pPr>
              <w:spacing w:before="0" w:after="0" w:line="240" w:lineRule="auto"/>
              <w:ind w:firstLine="0"/>
              <w:jc w:val="center"/>
            </w:pPr>
            <w:r>
              <w:rPr>
                <w:rFonts w:ascii="Times New Roman" w:hAnsi="Times New Roman"/>
                <w:b w:val="0"/>
                <w:i w:val="0"/>
                <w:sz w:val="18"/>
              </w:rPr>
              <w:t>0.581</w:t>
            </w:r>
          </w:p>
        </w:tc>
        <w:tc>
          <w:tcPr>
            <w:tcW w:type="dxa" w:w="2570"/>
          </w:tcPr>
          <w:p>
            <w:pPr>
              <w:spacing w:before="0" w:after="0" w:line="240" w:lineRule="auto"/>
              <w:ind w:firstLine="0"/>
              <w:jc w:val="center"/>
            </w:pPr>
            <w:r>
              <w:rPr>
                <w:rFonts w:ascii="Times New Roman" w:hAnsi="Times New Roman"/>
                <w:b w:val="0"/>
                <w:i w:val="0"/>
                <w:sz w:val="18"/>
              </w:rPr>
              <w:t>0.976</w:t>
            </w:r>
          </w:p>
        </w:tc>
      </w:tr>
      <w:tr>
        <w:tc>
          <w:tcPr>
            <w:tcW w:type="dxa" w:w="2570"/>
          </w:tcPr>
          <w:p>
            <w:pPr>
              <w:spacing w:before="0" w:after="0" w:line="240" w:lineRule="auto"/>
              <w:ind w:firstLine="0"/>
              <w:jc w:val="center"/>
            </w:pPr>
            <w:r>
              <w:rPr>
                <w:rFonts w:ascii="Times New Roman" w:hAnsi="Times New Roman"/>
                <w:b/>
                <w:i w:val="0"/>
                <w:sz w:val="18"/>
              </w:rPr>
              <w:t>120 ✓</w:t>
            </w:r>
          </w:p>
        </w:tc>
        <w:tc>
          <w:tcPr>
            <w:tcW w:type="dxa" w:w="2570"/>
          </w:tcPr>
          <w:p>
            <w:pPr>
              <w:spacing w:before="0" w:after="0" w:line="240" w:lineRule="auto"/>
              <w:ind w:firstLine="0"/>
              <w:jc w:val="center"/>
            </w:pPr>
            <w:r>
              <w:rPr>
                <w:rFonts w:ascii="Times New Roman" w:hAnsi="Times New Roman"/>
                <w:b/>
                <w:i w:val="0"/>
                <w:sz w:val="18"/>
              </w:rPr>
              <w:t>99.6</w:t>
            </w:r>
          </w:p>
        </w:tc>
        <w:tc>
          <w:tcPr>
            <w:tcW w:type="dxa" w:w="2570"/>
          </w:tcPr>
          <w:p>
            <w:pPr>
              <w:spacing w:before="0" w:after="0" w:line="240" w:lineRule="auto"/>
              <w:ind w:firstLine="0"/>
              <w:jc w:val="center"/>
            </w:pPr>
            <w:r>
              <w:rPr>
                <w:rFonts w:ascii="Times New Roman" w:hAnsi="Times New Roman"/>
                <w:b/>
                <w:i w:val="0"/>
                <w:sz w:val="18"/>
              </w:rPr>
              <w:t>0.644</w:t>
            </w:r>
          </w:p>
        </w:tc>
        <w:tc>
          <w:tcPr>
            <w:tcW w:type="dxa" w:w="2570"/>
          </w:tcPr>
          <w:p>
            <w:pPr>
              <w:spacing w:before="0" w:after="0" w:line="240" w:lineRule="auto"/>
              <w:ind w:firstLine="0"/>
              <w:jc w:val="center"/>
            </w:pPr>
            <w:r>
              <w:rPr>
                <w:rFonts w:ascii="Times New Roman" w:hAnsi="Times New Roman"/>
                <w:b/>
                <w:i w:val="0"/>
                <w:sz w:val="18"/>
              </w:rPr>
              <w:t>0.979</w:t>
            </w:r>
          </w:p>
        </w:tc>
      </w:tr>
    </w:tbl>
    <w:p/>
    <w:p>
      <w:pPr>
        <w:spacing w:before="80" w:after="40" w:line="240" w:lineRule="auto"/>
        <w:ind w:firstLine="0"/>
        <w:jc w:val="left"/>
      </w:pPr>
      <w:r>
        <w:rPr>
          <w:rFonts w:ascii="Times New Roman" w:hAnsi="Times New Roman"/>
          <w:b w:val="0"/>
          <w:i/>
          <w:sz w:val="20"/>
        </w:rPr>
        <w:t>E. Cross-Dataset Validation on Siena</w:t>
      </w:r>
    </w:p>
    <w:p>
      <w:pPr>
        <w:spacing w:before="0" w:after="0" w:lineRule="exact" w:line="230"/>
        <w:ind w:firstLine="220"/>
        <w:jc w:val="both"/>
      </w:pPr>
      <w:r>
        <w:rPr>
          <w:rFonts w:ascii="Times New Roman" w:hAnsi="Times New Roman"/>
          <w:b w:val="0"/>
          <w:i w:val="0"/>
          <w:sz w:val="20"/>
        </w:rPr>
        <w:t>TABLE V and Figure 3 show the cross-dataset results. For Siena, all approaches have AUC-ROC greater than 0.90, indicating that learned statistical properties detect seizure features translatable over different patient demographies and acquisition set-ups. SMOTE+RF has the highest AUC of 0.929 with FDR of 9.39; XGBoost achieved the best F1-score of 0.366. Baseline RF achieved the lowest FDR of 7.23.</w:t>
      </w:r>
    </w:p>
    <w:p>
      <w:pPr>
        <w:spacing w:before="80" w:after="40" w:line="240" w:lineRule="auto"/>
        <w:ind w:firstLine="0"/>
        <w:jc w:val="center"/>
      </w:pPr>
      <w:r>
        <w:rPr>
          <w:rFonts w:ascii="Times New Roman" w:hAnsi="Times New Roman"/>
          <w:b w:val="0"/>
          <w:i w:val="0"/>
          <w:sz w:val="18"/>
          <w:smallCaps/>
        </w:rPr>
        <w:t>TABLE V</w:t>
      </w:r>
    </w:p>
    <w:p>
      <w:pPr>
        <w:spacing w:before="0" w:after="40" w:line="240" w:lineRule="auto"/>
        <w:ind w:firstLine="0"/>
        <w:jc w:val="center"/>
      </w:pPr>
      <w:r>
        <w:rPr>
          <w:rFonts w:ascii="Times New Roman" w:hAnsi="Times New Roman"/>
          <w:b w:val="0"/>
          <w:i w:val="0"/>
          <w:sz w:val="18"/>
          <w:smallCaps/>
        </w:rPr>
        <w:t>CROSS-DATASET: CHB-MIT TRAINED → SIENA TESTED. BOLD = BEST.</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shd w:val="clear" w:color="auto" w:fill="1F3864"/>
          </w:tcPr>
          <w:p>
            <w:pPr>
              <w:spacing w:before="0" w:after="0" w:line="240" w:lineRule="auto"/>
              <w:ind w:firstLine="0"/>
              <w:jc w:val="center"/>
            </w:pPr>
            <w:r>
              <w:rPr>
                <w:rFonts w:ascii="Times New Roman" w:hAnsi="Times New Roman"/>
                <w:b/>
                <w:i w:val="0"/>
                <w:color w:val="FFFFFF"/>
                <w:sz w:val="18"/>
              </w:rPr>
              <w:t>Technique</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Prec.</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Recall</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F1</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AUC</w:t>
            </w:r>
          </w:p>
        </w:tc>
        <w:tc>
          <w:tcPr>
            <w:tcW w:type="dxa" w:w="1714"/>
            <w:shd w:val="clear" w:color="auto" w:fill="1F3864"/>
          </w:tcPr>
          <w:p>
            <w:pPr>
              <w:spacing w:before="0" w:after="0" w:line="240" w:lineRule="auto"/>
              <w:ind w:firstLine="0"/>
              <w:jc w:val="center"/>
            </w:pPr>
            <w:r>
              <w:rPr>
                <w:rFonts w:ascii="Times New Roman" w:hAnsi="Times New Roman"/>
                <w:b/>
                <w:i w:val="0"/>
                <w:color w:val="FFFFFF"/>
                <w:sz w:val="18"/>
              </w:rPr>
              <w:t>FDR/hr</w:t>
            </w:r>
          </w:p>
        </w:tc>
      </w:tr>
      <w:tr>
        <w:tc>
          <w:tcPr>
            <w:tcW w:type="dxa" w:w="1714"/>
          </w:tcPr>
          <w:p>
            <w:pPr>
              <w:spacing w:before="0" w:after="0" w:line="240" w:lineRule="auto"/>
              <w:ind w:firstLine="0"/>
              <w:jc w:val="center"/>
            </w:pPr>
            <w:r>
              <w:rPr>
                <w:rFonts w:ascii="Times New Roman" w:hAnsi="Times New Roman"/>
                <w:b w:val="0"/>
                <w:i w:val="0"/>
                <w:sz w:val="18"/>
              </w:rPr>
              <w:t>Baseline RF</w:t>
            </w:r>
          </w:p>
        </w:tc>
        <w:tc>
          <w:tcPr>
            <w:tcW w:type="dxa" w:w="1714"/>
          </w:tcPr>
          <w:p>
            <w:pPr>
              <w:spacing w:before="0" w:after="0" w:line="240" w:lineRule="auto"/>
              <w:ind w:firstLine="0"/>
              <w:jc w:val="center"/>
            </w:pPr>
            <w:r>
              <w:rPr>
                <w:rFonts w:ascii="Times New Roman" w:hAnsi="Times New Roman"/>
                <w:b w:val="0"/>
                <w:i w:val="0"/>
                <w:sz w:val="18"/>
              </w:rPr>
              <w:t>0.091</w:t>
            </w:r>
          </w:p>
        </w:tc>
        <w:tc>
          <w:tcPr>
            <w:tcW w:type="dxa" w:w="1714"/>
          </w:tcPr>
          <w:p>
            <w:pPr>
              <w:spacing w:before="0" w:after="0" w:line="240" w:lineRule="auto"/>
              <w:ind w:firstLine="0"/>
              <w:jc w:val="center"/>
            </w:pPr>
            <w:r>
              <w:rPr>
                <w:rFonts w:ascii="Times New Roman" w:hAnsi="Times New Roman"/>
                <w:b w:val="0"/>
                <w:i w:val="0"/>
                <w:sz w:val="18"/>
              </w:rPr>
              <w:t>0.016</w:t>
            </w:r>
          </w:p>
        </w:tc>
        <w:tc>
          <w:tcPr>
            <w:tcW w:type="dxa" w:w="1714"/>
          </w:tcPr>
          <w:p>
            <w:pPr>
              <w:spacing w:before="0" w:after="0" w:line="240" w:lineRule="auto"/>
              <w:ind w:firstLine="0"/>
              <w:jc w:val="center"/>
            </w:pPr>
            <w:r>
              <w:rPr>
                <w:rFonts w:ascii="Times New Roman" w:hAnsi="Times New Roman"/>
                <w:b w:val="0"/>
                <w:i w:val="0"/>
                <w:sz w:val="18"/>
              </w:rPr>
              <w:t>0.027</w:t>
            </w:r>
          </w:p>
        </w:tc>
        <w:tc>
          <w:tcPr>
            <w:tcW w:type="dxa" w:w="1714"/>
          </w:tcPr>
          <w:p>
            <w:pPr>
              <w:spacing w:before="0" w:after="0" w:line="240" w:lineRule="auto"/>
              <w:ind w:firstLine="0"/>
              <w:jc w:val="center"/>
            </w:pPr>
            <w:r>
              <w:rPr>
                <w:rFonts w:ascii="Times New Roman" w:hAnsi="Times New Roman"/>
                <w:b w:val="0"/>
                <w:i w:val="0"/>
                <w:sz w:val="18"/>
              </w:rPr>
              <w:t>0.900</w:t>
            </w:r>
          </w:p>
        </w:tc>
        <w:tc>
          <w:tcPr>
            <w:tcW w:type="dxa" w:w="1714"/>
          </w:tcPr>
          <w:p>
            <w:pPr>
              <w:spacing w:before="0" w:after="0" w:line="240" w:lineRule="auto"/>
              <w:ind w:firstLine="0"/>
              <w:jc w:val="center"/>
            </w:pPr>
            <w:r>
              <w:rPr>
                <w:rFonts w:ascii="Times New Roman" w:hAnsi="Times New Roman"/>
                <w:b/>
                <w:i w:val="0"/>
                <w:sz w:val="18"/>
              </w:rPr>
              <w:t>7.23</w:t>
            </w:r>
          </w:p>
        </w:tc>
      </w:tr>
      <w:tr>
        <w:tc>
          <w:tcPr>
            <w:tcW w:type="dxa" w:w="1714"/>
          </w:tcPr>
          <w:p>
            <w:pPr>
              <w:spacing w:before="0" w:after="0" w:line="240" w:lineRule="auto"/>
              <w:ind w:firstLine="0"/>
              <w:jc w:val="center"/>
            </w:pPr>
            <w:r>
              <w:rPr>
                <w:rFonts w:ascii="Times New Roman" w:hAnsi="Times New Roman"/>
                <w:b/>
                <w:i w:val="0"/>
                <w:sz w:val="18"/>
              </w:rPr>
              <w:t>SMOTE+RF</w:t>
            </w:r>
          </w:p>
        </w:tc>
        <w:tc>
          <w:tcPr>
            <w:tcW w:type="dxa" w:w="1714"/>
          </w:tcPr>
          <w:p>
            <w:pPr>
              <w:spacing w:before="0" w:after="0" w:line="240" w:lineRule="auto"/>
              <w:ind w:firstLine="0"/>
              <w:jc w:val="center"/>
            </w:pPr>
            <w:r>
              <w:rPr>
                <w:rFonts w:ascii="Times New Roman" w:hAnsi="Times New Roman"/>
                <w:b/>
                <w:i w:val="0"/>
                <w:sz w:val="18"/>
              </w:rPr>
              <w:t>0.381</w:t>
            </w:r>
          </w:p>
        </w:tc>
        <w:tc>
          <w:tcPr>
            <w:tcW w:type="dxa" w:w="1714"/>
          </w:tcPr>
          <w:p>
            <w:pPr>
              <w:spacing w:before="0" w:after="0" w:line="240" w:lineRule="auto"/>
              <w:ind w:firstLine="0"/>
              <w:jc w:val="center"/>
            </w:pPr>
            <w:r>
              <w:rPr>
                <w:rFonts w:ascii="Times New Roman" w:hAnsi="Times New Roman"/>
                <w:b w:val="0"/>
                <w:i w:val="0"/>
                <w:sz w:val="18"/>
              </w:rPr>
              <w:t>0.127</w:t>
            </w:r>
          </w:p>
        </w:tc>
        <w:tc>
          <w:tcPr>
            <w:tcW w:type="dxa" w:w="1714"/>
          </w:tcPr>
          <w:p>
            <w:pPr>
              <w:spacing w:before="0" w:after="0" w:line="240" w:lineRule="auto"/>
              <w:ind w:firstLine="0"/>
              <w:jc w:val="center"/>
            </w:pPr>
            <w:r>
              <w:rPr>
                <w:rFonts w:ascii="Times New Roman" w:hAnsi="Times New Roman"/>
                <w:b w:val="0"/>
                <w:i w:val="0"/>
                <w:sz w:val="18"/>
              </w:rPr>
              <w:t>0.190</w:t>
            </w:r>
          </w:p>
        </w:tc>
        <w:tc>
          <w:tcPr>
            <w:tcW w:type="dxa" w:w="1714"/>
          </w:tcPr>
          <w:p>
            <w:pPr>
              <w:spacing w:before="0" w:after="0" w:line="240" w:lineRule="auto"/>
              <w:ind w:firstLine="0"/>
              <w:jc w:val="center"/>
            </w:pPr>
            <w:r>
              <w:rPr>
                <w:rFonts w:ascii="Times New Roman" w:hAnsi="Times New Roman"/>
                <w:b/>
                <w:i w:val="0"/>
                <w:sz w:val="18"/>
              </w:rPr>
              <w:t>0.929</w:t>
            </w:r>
          </w:p>
        </w:tc>
        <w:tc>
          <w:tcPr>
            <w:tcW w:type="dxa" w:w="1714"/>
          </w:tcPr>
          <w:p>
            <w:pPr>
              <w:spacing w:before="0" w:after="0" w:line="240" w:lineRule="auto"/>
              <w:ind w:firstLine="0"/>
              <w:jc w:val="center"/>
            </w:pPr>
            <w:r>
              <w:rPr>
                <w:rFonts w:ascii="Times New Roman" w:hAnsi="Times New Roman"/>
                <w:b w:val="0"/>
                <w:i w:val="0"/>
                <w:sz w:val="18"/>
              </w:rPr>
              <w:t>9.39</w:t>
            </w:r>
          </w:p>
        </w:tc>
      </w:tr>
      <w:tr>
        <w:tc>
          <w:tcPr>
            <w:tcW w:type="dxa" w:w="1714"/>
          </w:tcPr>
          <w:p>
            <w:pPr>
              <w:spacing w:before="0" w:after="0" w:line="240" w:lineRule="auto"/>
              <w:ind w:firstLine="0"/>
              <w:jc w:val="center"/>
            </w:pPr>
            <w:r>
              <w:rPr>
                <w:rFonts w:ascii="Times New Roman" w:hAnsi="Times New Roman"/>
                <w:b w:val="0"/>
                <w:i w:val="0"/>
                <w:sz w:val="18"/>
              </w:rPr>
              <w:t>BalancedRF</w:t>
            </w:r>
          </w:p>
        </w:tc>
        <w:tc>
          <w:tcPr>
            <w:tcW w:type="dxa" w:w="1714"/>
          </w:tcPr>
          <w:p>
            <w:pPr>
              <w:spacing w:before="0" w:after="0" w:line="240" w:lineRule="auto"/>
              <w:ind w:firstLine="0"/>
              <w:jc w:val="center"/>
            </w:pPr>
            <w:r>
              <w:rPr>
                <w:rFonts w:ascii="Times New Roman" w:hAnsi="Times New Roman"/>
                <w:b w:val="0"/>
                <w:i w:val="0"/>
                <w:sz w:val="18"/>
              </w:rPr>
              <w:t>0.172</w:t>
            </w:r>
          </w:p>
        </w:tc>
        <w:tc>
          <w:tcPr>
            <w:tcW w:type="dxa" w:w="1714"/>
          </w:tcPr>
          <w:p>
            <w:pPr>
              <w:spacing w:before="0" w:after="0" w:line="240" w:lineRule="auto"/>
              <w:ind w:firstLine="0"/>
              <w:jc w:val="center"/>
            </w:pPr>
            <w:r>
              <w:rPr>
                <w:rFonts w:ascii="Times New Roman" w:hAnsi="Times New Roman"/>
                <w:b/>
                <w:i w:val="0"/>
                <w:sz w:val="18"/>
              </w:rPr>
              <w:t>0.714</w:t>
            </w:r>
          </w:p>
        </w:tc>
        <w:tc>
          <w:tcPr>
            <w:tcW w:type="dxa" w:w="1714"/>
          </w:tcPr>
          <w:p>
            <w:pPr>
              <w:spacing w:before="0" w:after="0" w:line="240" w:lineRule="auto"/>
              <w:ind w:firstLine="0"/>
              <w:jc w:val="center"/>
            </w:pPr>
            <w:r>
              <w:rPr>
                <w:rFonts w:ascii="Times New Roman" w:hAnsi="Times New Roman"/>
                <w:b w:val="0"/>
                <w:i w:val="0"/>
                <w:sz w:val="18"/>
              </w:rPr>
              <w:t>0.278</w:t>
            </w:r>
          </w:p>
        </w:tc>
        <w:tc>
          <w:tcPr>
            <w:tcW w:type="dxa" w:w="1714"/>
          </w:tcPr>
          <w:p>
            <w:pPr>
              <w:spacing w:before="0" w:after="0" w:line="240" w:lineRule="auto"/>
              <w:ind w:firstLine="0"/>
              <w:jc w:val="center"/>
            </w:pPr>
            <w:r>
              <w:rPr>
                <w:rFonts w:ascii="Times New Roman" w:hAnsi="Times New Roman"/>
                <w:b w:val="0"/>
                <w:i w:val="0"/>
                <w:sz w:val="18"/>
              </w:rPr>
              <w:t>0.915</w:t>
            </w:r>
          </w:p>
        </w:tc>
        <w:tc>
          <w:tcPr>
            <w:tcW w:type="dxa" w:w="1714"/>
          </w:tcPr>
          <w:p>
            <w:pPr>
              <w:spacing w:before="0" w:after="0" w:line="240" w:lineRule="auto"/>
              <w:ind w:firstLine="0"/>
              <w:jc w:val="center"/>
            </w:pPr>
            <w:r>
              <w:rPr>
                <w:rFonts w:ascii="Times New Roman" w:hAnsi="Times New Roman"/>
                <w:b w:val="0"/>
                <w:i w:val="0"/>
                <w:sz w:val="18"/>
              </w:rPr>
              <w:t>156.08</w:t>
            </w:r>
          </w:p>
        </w:tc>
      </w:tr>
      <w:tr>
        <w:tc>
          <w:tcPr>
            <w:tcW w:type="dxa" w:w="1714"/>
          </w:tcPr>
          <w:p>
            <w:pPr>
              <w:spacing w:before="0" w:after="0" w:line="240" w:lineRule="auto"/>
              <w:ind w:firstLine="0"/>
              <w:jc w:val="center"/>
            </w:pPr>
            <w:r>
              <w:rPr>
                <w:rFonts w:ascii="Times New Roman" w:hAnsi="Times New Roman"/>
                <w:b/>
                <w:i w:val="0"/>
                <w:sz w:val="18"/>
              </w:rPr>
              <w:t>SMOTETomek+RF</w:t>
            </w:r>
          </w:p>
        </w:tc>
        <w:tc>
          <w:tcPr>
            <w:tcW w:type="dxa" w:w="1714"/>
          </w:tcPr>
          <w:p>
            <w:pPr>
              <w:spacing w:before="0" w:after="0" w:line="240" w:lineRule="auto"/>
              <w:ind w:firstLine="0"/>
              <w:jc w:val="center"/>
            </w:pPr>
            <w:r>
              <w:rPr>
                <w:rFonts w:ascii="Times New Roman" w:hAnsi="Times New Roman"/>
                <w:b/>
                <w:i w:val="0"/>
                <w:sz w:val="18"/>
              </w:rPr>
              <w:t>0.381</w:t>
            </w:r>
          </w:p>
        </w:tc>
        <w:tc>
          <w:tcPr>
            <w:tcW w:type="dxa" w:w="1714"/>
          </w:tcPr>
          <w:p>
            <w:pPr>
              <w:spacing w:before="0" w:after="0" w:line="240" w:lineRule="auto"/>
              <w:ind w:firstLine="0"/>
              <w:jc w:val="center"/>
            </w:pPr>
            <w:r>
              <w:rPr>
                <w:rFonts w:ascii="Times New Roman" w:hAnsi="Times New Roman"/>
                <w:b w:val="0"/>
                <w:i w:val="0"/>
                <w:sz w:val="18"/>
              </w:rPr>
              <w:t>0.127</w:t>
            </w:r>
          </w:p>
        </w:tc>
        <w:tc>
          <w:tcPr>
            <w:tcW w:type="dxa" w:w="1714"/>
          </w:tcPr>
          <w:p>
            <w:pPr>
              <w:spacing w:before="0" w:after="0" w:line="240" w:lineRule="auto"/>
              <w:ind w:firstLine="0"/>
              <w:jc w:val="center"/>
            </w:pPr>
            <w:r>
              <w:rPr>
                <w:rFonts w:ascii="Times New Roman" w:hAnsi="Times New Roman"/>
                <w:b w:val="0"/>
                <w:i w:val="0"/>
                <w:sz w:val="18"/>
              </w:rPr>
              <w:t>0.190</w:t>
            </w:r>
          </w:p>
        </w:tc>
        <w:tc>
          <w:tcPr>
            <w:tcW w:type="dxa" w:w="1714"/>
          </w:tcPr>
          <w:p>
            <w:pPr>
              <w:spacing w:before="0" w:after="0" w:line="240" w:lineRule="auto"/>
              <w:ind w:firstLine="0"/>
              <w:jc w:val="center"/>
            </w:pPr>
            <w:r>
              <w:rPr>
                <w:rFonts w:ascii="Times New Roman" w:hAnsi="Times New Roman"/>
                <w:b/>
                <w:i w:val="0"/>
                <w:sz w:val="18"/>
              </w:rPr>
              <w:t>0.929</w:t>
            </w:r>
          </w:p>
        </w:tc>
        <w:tc>
          <w:tcPr>
            <w:tcW w:type="dxa" w:w="1714"/>
          </w:tcPr>
          <w:p>
            <w:pPr>
              <w:spacing w:before="0" w:after="0" w:line="240" w:lineRule="auto"/>
              <w:ind w:firstLine="0"/>
              <w:jc w:val="center"/>
            </w:pPr>
            <w:r>
              <w:rPr>
                <w:rFonts w:ascii="Times New Roman" w:hAnsi="Times New Roman"/>
                <w:b w:val="0"/>
                <w:i w:val="0"/>
                <w:sz w:val="18"/>
              </w:rPr>
              <w:t>9.39</w:t>
            </w:r>
          </w:p>
        </w:tc>
      </w:tr>
      <w:tr>
        <w:tc>
          <w:tcPr>
            <w:tcW w:type="dxa" w:w="1714"/>
          </w:tcPr>
          <w:p>
            <w:pPr>
              <w:spacing w:before="0" w:after="0" w:line="240" w:lineRule="auto"/>
              <w:ind w:firstLine="0"/>
              <w:jc w:val="center"/>
            </w:pPr>
            <w:r>
              <w:rPr>
                <w:rFonts w:ascii="Times New Roman" w:hAnsi="Times New Roman"/>
                <w:b w:val="0"/>
                <w:i w:val="0"/>
                <w:sz w:val="18"/>
              </w:rPr>
              <w:t>XGBoost</w:t>
            </w:r>
          </w:p>
        </w:tc>
        <w:tc>
          <w:tcPr>
            <w:tcW w:type="dxa" w:w="1714"/>
          </w:tcPr>
          <w:p>
            <w:pPr>
              <w:spacing w:before="0" w:after="0" w:line="240" w:lineRule="auto"/>
              <w:ind w:firstLine="0"/>
              <w:jc w:val="center"/>
            </w:pPr>
            <w:r>
              <w:rPr>
                <w:rFonts w:ascii="Times New Roman" w:hAnsi="Times New Roman"/>
                <w:b w:val="0"/>
                <w:i w:val="0"/>
                <w:sz w:val="18"/>
              </w:rPr>
              <w:t>0.311</w:t>
            </w:r>
          </w:p>
        </w:tc>
        <w:tc>
          <w:tcPr>
            <w:tcW w:type="dxa" w:w="1714"/>
          </w:tcPr>
          <w:p>
            <w:pPr>
              <w:spacing w:before="0" w:after="0" w:line="240" w:lineRule="auto"/>
              <w:ind w:firstLine="0"/>
              <w:jc w:val="center"/>
            </w:pPr>
            <w:r>
              <w:rPr>
                <w:rFonts w:ascii="Times New Roman" w:hAnsi="Times New Roman"/>
                <w:b w:val="0"/>
                <w:i w:val="0"/>
                <w:sz w:val="18"/>
              </w:rPr>
              <w:t>0.444</w:t>
            </w:r>
          </w:p>
        </w:tc>
        <w:tc>
          <w:tcPr>
            <w:tcW w:type="dxa" w:w="1714"/>
          </w:tcPr>
          <w:p>
            <w:pPr>
              <w:spacing w:before="0" w:after="0" w:line="240" w:lineRule="auto"/>
              <w:ind w:firstLine="0"/>
              <w:jc w:val="center"/>
            </w:pPr>
            <w:r>
              <w:rPr>
                <w:rFonts w:ascii="Times New Roman" w:hAnsi="Times New Roman"/>
                <w:b/>
                <w:i w:val="0"/>
                <w:sz w:val="18"/>
              </w:rPr>
              <w:t>0.366</w:t>
            </w:r>
          </w:p>
        </w:tc>
        <w:tc>
          <w:tcPr>
            <w:tcW w:type="dxa" w:w="1714"/>
          </w:tcPr>
          <w:p>
            <w:pPr>
              <w:spacing w:before="0" w:after="0" w:line="240" w:lineRule="auto"/>
              <w:ind w:firstLine="0"/>
              <w:jc w:val="center"/>
            </w:pPr>
            <w:r>
              <w:rPr>
                <w:rFonts w:ascii="Times New Roman" w:hAnsi="Times New Roman"/>
                <w:b w:val="0"/>
                <w:i w:val="0"/>
                <w:sz w:val="18"/>
              </w:rPr>
              <w:t>0.915</w:t>
            </w:r>
          </w:p>
        </w:tc>
        <w:tc>
          <w:tcPr>
            <w:tcW w:type="dxa" w:w="1714"/>
          </w:tcPr>
          <w:p>
            <w:pPr>
              <w:spacing w:before="0" w:after="0" w:line="240" w:lineRule="auto"/>
              <w:ind w:firstLine="0"/>
              <w:jc w:val="center"/>
            </w:pPr>
            <w:r>
              <w:rPr>
                <w:rFonts w:ascii="Times New Roman" w:hAnsi="Times New Roman"/>
                <w:b w:val="0"/>
                <w:i w:val="0"/>
                <w:sz w:val="18"/>
              </w:rPr>
              <w:t>44.80</w:t>
            </w:r>
          </w:p>
        </w:tc>
      </w:tr>
    </w:tbl>
    <w:p/>
    <w:p>
      <w:pPr>
        <w:spacing w:before="0" w:after="0" w:line="240" w:lineRule="auto"/>
        <w:ind w:firstLine="0"/>
        <w:jc w:val="center"/>
      </w:pPr>
      <w:r>
        <w:drawing>
          <wp:inline xmlns:a="http://schemas.openxmlformats.org/drawingml/2006/main" xmlns:pic="http://schemas.openxmlformats.org/drawingml/2006/picture">
            <wp:extent cx="2743200" cy="1880273"/>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2743200" cy="1880273"/>
                    </a:xfrm>
                    <a:prstGeom prst="rect"/>
                  </pic:spPr>
                </pic:pic>
              </a:graphicData>
            </a:graphic>
          </wp:inline>
        </w:drawing>
      </w:r>
    </w:p>
    <w:p>
      <w:pPr>
        <w:spacing w:before="0" w:after="80" w:line="240" w:lineRule="auto"/>
        <w:ind w:firstLine="0"/>
        <w:jc w:val="center"/>
      </w:pPr>
      <w:r>
        <w:rPr>
          <w:rFonts w:ascii="Times New Roman" w:hAnsi="Times New Roman"/>
          <w:b w:val="0"/>
          <w:i/>
          <w:sz w:val="18"/>
        </w:rPr>
        <w:t>Fig. 3. AUC-ROC: CHB-MIT vs Siena cross-dataset validation.</w:t>
      </w:r>
    </w:p>
    <w:p>
      <w:pPr>
        <w:spacing w:before="80" w:after="40" w:line="240" w:lineRule="auto"/>
        <w:ind w:firstLine="0"/>
        <w:jc w:val="left"/>
      </w:pPr>
      <w:r>
        <w:rPr>
          <w:rFonts w:ascii="Times New Roman" w:hAnsi="Times New Roman"/>
          <w:b w:val="0"/>
          <w:i/>
          <w:sz w:val="20"/>
        </w:rPr>
        <w:t>F. Discussion</w:t>
      </w:r>
    </w:p>
    <w:p>
      <w:pPr>
        <w:spacing w:before="0" w:after="0" w:lineRule="exact" w:line="230"/>
        <w:ind w:firstLine="220"/>
        <w:jc w:val="both"/>
      </w:pPr>
      <w:r>
        <w:rPr>
          <w:rFonts w:ascii="Times New Roman" w:hAnsi="Times New Roman"/>
          <w:b w:val="0"/>
          <w:i w:val="0"/>
          <w:sz w:val="20"/>
        </w:rPr>
        <w:t>There are three important results. The first: AUC-ROC proved more reliable than F1 in imbalanced EEG data. The Balanced RF achieved Recall=0.991 but FDR=515/hour. The baseline RF with AUC-ROC=0.979 and FDR=14.01 is the only clinically viable configuration. Second, resampling techniques lead to high false alarm rates without meaningfully improving AUC-ROC. Third, AUC-ROC above 0.90 on Siena without domain adaptation outperforms many cross-institution EEG studies.</w:t>
      </w:r>
    </w:p>
    <w:p>
      <w:pPr>
        <w:spacing w:before="160" w:after="60" w:line="240" w:lineRule="auto"/>
        <w:ind w:firstLine="0"/>
        <w:jc w:val="center"/>
      </w:pPr>
      <w:r>
        <w:rPr>
          <w:rFonts w:ascii="Times New Roman" w:hAnsi="Times New Roman"/>
          <w:b w:val="0"/>
          <w:i w:val="0"/>
          <w:sz w:val="20"/>
          <w:smallCaps/>
        </w:rPr>
        <w:t>V. CONCLUSION</w:t>
      </w:r>
    </w:p>
    <w:p>
      <w:pPr>
        <w:spacing w:before="0" w:after="0" w:lineRule="exact" w:line="230"/>
        <w:ind w:firstLine="220"/>
        <w:jc w:val="both"/>
      </w:pPr>
      <w:r>
        <w:rPr>
          <w:rFonts w:ascii="Times New Roman" w:hAnsi="Times New Roman"/>
          <w:b w:val="0"/>
          <w:i w:val="0"/>
          <w:sz w:val="20"/>
        </w:rPr>
        <w:t>The paper delivers a thorough comparison of five techniques for handling class imbalance in EEG-based epileptic seizure detection, used on CHB-MIT and validated in the Siena Scalp EEG database. The Baseline RF obtains an AUC-ROC of 0.980±0.001 and FDR/hour of 12.91±1.56 on CHB-MIT, along with an AUC of 0.900 in Siena’s cross-dataset evaluation. SMOTE+RF achieves the highest cross-dataset AUC of 0.929.</w:t>
      </w:r>
    </w:p>
    <w:p>
      <w:pPr>
        <w:spacing w:before="0" w:after="0" w:lineRule="exact" w:line="230"/>
        <w:ind w:firstLine="220"/>
        <w:jc w:val="both"/>
      </w:pPr>
      <w:r>
        <w:rPr>
          <w:rFonts w:ascii="Times New Roman" w:hAnsi="Times New Roman"/>
          <w:b w:val="0"/>
          <w:i w:val="0"/>
          <w:sz w:val="20"/>
        </w:rPr>
        <w:t>In conclusion: First, resampling resulted in FDR rising to 98–515/hour despite improving recall. Second, AUC-ROC exceeds 0.90 in two independent datasets, demonstrating feature-level generalization. Third, threshold tuning must consider FDR/hour as a primary clinical constraint. Future work will perform LOPO cross-validation on the entire CHB-MIT set and analyze transfer learning for improving cross-dataset F1-score.</w:t>
      </w:r>
    </w:p>
    <w:p>
      <w:pPr>
        <w:spacing w:before="120" w:after="60" w:line="240" w:lineRule="auto"/>
        <w:ind w:firstLine="0"/>
        <w:jc w:val="center"/>
      </w:pPr>
      <w:r>
        <w:rPr>
          <w:rFonts w:ascii="Times New Roman" w:hAnsi="Times New Roman"/>
          <w:b w:val="0"/>
          <w:i w:val="0"/>
          <w:sz w:val="20"/>
          <w:smallCaps/>
        </w:rPr>
        <w:t>Acknowledgment</w:t>
      </w:r>
    </w:p>
    <w:p>
      <w:pPr>
        <w:spacing w:before="0" w:after="0" w:lineRule="exact" w:line="230"/>
        <w:ind w:firstLine="220"/>
        <w:jc w:val="both"/>
      </w:pPr>
      <w:r>
        <w:rPr>
          <w:rFonts w:ascii="Times New Roman" w:hAnsi="Times New Roman"/>
          <w:b w:val="0"/>
          <w:i w:val="0"/>
          <w:sz w:val="20"/>
        </w:rPr>
        <w:t>The authors give their gratitude to the Children’s Hospital Boston and MIT for providing the CHB-MIT database and also University of Siena for providing the Siena Scalp EEG Database, which are both accessible in PhysioNet. The authors appreciate the scikit-learn, imbalanced-learn, XGBoost, and SHAP open-source communities too.</w:t>
      </w:r>
    </w:p>
    <w:p>
      <w:pPr>
        <w:spacing w:before="120" w:after="60" w:line="240" w:lineRule="auto"/>
        <w:ind w:firstLine="0"/>
        <w:jc w:val="center"/>
      </w:pPr>
      <w:r>
        <w:rPr>
          <w:rFonts w:ascii="Times New Roman" w:hAnsi="Times New Roman"/>
          <w:b w:val="0"/>
          <w:i w:val="0"/>
          <w:sz w:val="20"/>
          <w:smallCaps/>
        </w:rPr>
        <w:t>References</w:t>
      </w:r>
    </w:p>
    <w:p>
      <w:pPr>
        <w:spacing w:before="0" w:after="20" w:line="240" w:lineRule="auto"/>
        <w:ind w:left="360" w:hanging="360"/>
        <w:jc w:val="both"/>
      </w:pPr>
      <w:r>
        <w:rPr>
          <w:rFonts w:ascii="Times New Roman" w:hAnsi="Times New Roman"/>
          <w:b w:val="0"/>
          <w:i w:val="0"/>
          <w:sz w:val="16"/>
        </w:rPr>
        <w:t>[1]</w:t>
        <w:tab/>
        <w:t>World Health Organization, “Epilepsy: Key facts,” WHO Fact Sheet, Feb. 2023.</w:t>
      </w:r>
    </w:p>
    <w:p>
      <w:pPr>
        <w:spacing w:before="0" w:after="20" w:line="240" w:lineRule="auto"/>
        <w:ind w:left="360" w:hanging="360"/>
        <w:jc w:val="both"/>
      </w:pPr>
      <w:r>
        <w:rPr>
          <w:rFonts w:ascii="Times New Roman" w:hAnsi="Times New Roman"/>
          <w:b w:val="0"/>
          <w:i w:val="0"/>
          <w:sz w:val="16"/>
        </w:rPr>
        <w:t>[2]</w:t>
        <w:tab/>
        <w:t>P. Kwan and M. J. Brodie, “Early identification of refractory epilepsy,” New England Journal of Medicine, vol. 342, no. 5, pp. 314–319, 2000.</w:t>
      </w:r>
    </w:p>
    <w:p>
      <w:pPr>
        <w:spacing w:before="0" w:after="20" w:line="240" w:lineRule="auto"/>
        <w:ind w:left="360" w:hanging="360"/>
        <w:jc w:val="both"/>
      </w:pPr>
      <w:r>
        <w:rPr>
          <w:rFonts w:ascii="Times New Roman" w:hAnsi="Times New Roman"/>
          <w:b w:val="0"/>
          <w:i w:val="0"/>
          <w:sz w:val="16"/>
        </w:rPr>
        <w:t>[3]</w:t>
        <w:tab/>
        <w:t>S. Ramgopal et al., “Seizure detection, seizure prediction, and closed-loop warning systems in epilepsy,” Epilepsy &amp; Behavior, vol. 37, pp. 291–307, 2014.</w:t>
      </w:r>
    </w:p>
    <w:p>
      <w:pPr>
        <w:spacing w:before="0" w:after="20" w:line="240" w:lineRule="auto"/>
        <w:ind w:left="360" w:hanging="360"/>
        <w:jc w:val="both"/>
      </w:pPr>
      <w:r>
        <w:rPr>
          <w:rFonts w:ascii="Times New Roman" w:hAnsi="Times New Roman"/>
          <w:b w:val="0"/>
          <w:i w:val="0"/>
          <w:sz w:val="16"/>
        </w:rPr>
        <w:t>[4]</w:t>
        <w:tab/>
        <w:t>A. H. Shoeb and J. V. Guttag, “Application of machine learning to epileptic seizure detection,” in Proc. 27th ICML, 2010, pp. 975–982.</w:t>
      </w:r>
    </w:p>
    <w:p>
      <w:pPr>
        <w:spacing w:before="0" w:after="20" w:line="240" w:lineRule="auto"/>
        <w:ind w:left="360" w:hanging="360"/>
        <w:jc w:val="both"/>
      </w:pPr>
      <w:r>
        <w:rPr>
          <w:rFonts w:ascii="Times New Roman" w:hAnsi="Times New Roman"/>
          <w:b w:val="0"/>
          <w:i w:val="0"/>
          <w:sz w:val="16"/>
        </w:rPr>
        <w:t>[5]</w:t>
        <w:tab/>
        <w:t>A. Subasi and M. I. Gursoy, “EEG signal classification using PCA, ICA, LDA and support vector machines,” Expert Syst. Appl., vol. 37, pp. 8659–8666, 2010.</w:t>
      </w:r>
    </w:p>
    <w:p>
      <w:pPr>
        <w:spacing w:before="0" w:after="20" w:line="240" w:lineRule="auto"/>
        <w:ind w:left="360" w:hanging="360"/>
        <w:jc w:val="both"/>
      </w:pPr>
      <w:r>
        <w:rPr>
          <w:rFonts w:ascii="Times New Roman" w:hAnsi="Times New Roman"/>
          <w:b w:val="0"/>
          <w:i w:val="0"/>
          <w:sz w:val="16"/>
        </w:rPr>
        <w:t>[6]</w:t>
        <w:tab/>
        <w:t>L. Guo, D. Rivero, and A. Pazos, “Epileptic seizure detection using multiwavelet transform,” J. Neurosci. Methods, vol. 193, pp. 156–163, 2010.</w:t>
      </w:r>
    </w:p>
    <w:p>
      <w:pPr>
        <w:spacing w:before="0" w:after="20" w:line="240" w:lineRule="auto"/>
        <w:ind w:left="360" w:hanging="360"/>
        <w:jc w:val="both"/>
      </w:pPr>
      <w:r>
        <w:rPr>
          <w:rFonts w:ascii="Times New Roman" w:hAnsi="Times New Roman"/>
          <w:b w:val="0"/>
          <w:i w:val="0"/>
          <w:sz w:val="16"/>
        </w:rPr>
        <w:t>[7]</w:t>
        <w:tab/>
        <w:t>U. R. Acharya et al., “Automated EEG analysis of epilepsy: A review,” Knowl.-Based Syst., vol. 45, pp. 147–165, 2013.</w:t>
      </w:r>
    </w:p>
    <w:p>
      <w:pPr>
        <w:spacing w:before="0" w:after="20" w:line="240" w:lineRule="auto"/>
        <w:ind w:left="360" w:hanging="360"/>
        <w:jc w:val="both"/>
      </w:pPr>
      <w:r>
        <w:rPr>
          <w:rFonts w:ascii="Times New Roman" w:hAnsi="Times New Roman"/>
          <w:b w:val="0"/>
          <w:i w:val="0"/>
          <w:sz w:val="16"/>
        </w:rPr>
        <w:t>[8]</w:t>
        <w:tab/>
        <w:t>N. V. Chawla et al., “SMOTE: Synthetic minority over-sampling technique,” J. Artif. Intell. Res., vol. 16, pp. 321–357, 2002.</w:t>
      </w:r>
    </w:p>
    <w:p>
      <w:pPr>
        <w:spacing w:before="0" w:after="20" w:line="240" w:lineRule="auto"/>
        <w:ind w:left="360" w:hanging="360"/>
        <w:jc w:val="both"/>
      </w:pPr>
      <w:r>
        <w:rPr>
          <w:rFonts w:ascii="Times New Roman" w:hAnsi="Times New Roman"/>
          <w:b w:val="0"/>
          <w:i w:val="0"/>
          <w:sz w:val="16"/>
        </w:rPr>
        <w:t>[9]</w:t>
        <w:tab/>
        <w:t>G. E. A. P. A. Batista et al., “A study of methods for balancing machine learning training data,” ACM SIGKDD Explor. Newsl., vol. 6, pp. 20–29, 2004.</w:t>
      </w:r>
    </w:p>
    <w:p>
      <w:pPr>
        <w:spacing w:before="0" w:after="20" w:line="240" w:lineRule="auto"/>
        <w:ind w:left="360" w:hanging="360"/>
        <w:jc w:val="both"/>
      </w:pPr>
      <w:r>
        <w:rPr>
          <w:rFonts w:ascii="Times New Roman" w:hAnsi="Times New Roman"/>
          <w:b w:val="0"/>
          <w:i w:val="0"/>
          <w:sz w:val="16"/>
        </w:rPr>
        <w:t>[10]</w:t>
        <w:tab/>
        <w:t>C. Chen, A. Liaw, and L. Breiman, “Using random forest to learn imbalanced data,” Univ. California Berkeley, Tech. Rep. 666, 2004.</w:t>
      </w:r>
    </w:p>
    <w:p>
      <w:pPr>
        <w:spacing w:before="0" w:after="20" w:line="240" w:lineRule="auto"/>
        <w:ind w:left="360" w:hanging="360"/>
        <w:jc w:val="both"/>
      </w:pPr>
      <w:r>
        <w:rPr>
          <w:rFonts w:ascii="Times New Roman" w:hAnsi="Times New Roman"/>
          <w:b w:val="0"/>
          <w:i w:val="0"/>
          <w:sz w:val="16"/>
        </w:rPr>
        <w:t>[11]</w:t>
        <w:tab/>
        <w:t>G. Lemaître et al., “Imbalanced-learn: A Python toolbox,” J. Mach. Learn. Res., vol. 18, no. 17, pp. 1–5, 2017.</w:t>
      </w:r>
    </w:p>
    <w:p>
      <w:pPr>
        <w:spacing w:before="0" w:after="20" w:line="240" w:lineRule="auto"/>
        <w:ind w:left="360" w:hanging="360"/>
        <w:jc w:val="both"/>
      </w:pPr>
      <w:r>
        <w:rPr>
          <w:rFonts w:ascii="Times New Roman" w:hAnsi="Times New Roman"/>
          <w:b w:val="0"/>
          <w:i w:val="0"/>
          <w:sz w:val="16"/>
        </w:rPr>
        <w:t>[12]</w:t>
        <w:tab/>
        <w:t>T. Chen and C. Guestrin, “XGBoost: A scalable tree boosting system,” in Proc. 22nd ACM SIGKDD, 2016, pp. 785–794.</w:t>
      </w:r>
    </w:p>
    <w:p>
      <w:pPr>
        <w:spacing w:before="0" w:after="20" w:line="240" w:lineRule="auto"/>
        <w:ind w:left="360" w:hanging="360"/>
        <w:jc w:val="both"/>
      </w:pPr>
      <w:r>
        <w:rPr>
          <w:rFonts w:ascii="Times New Roman" w:hAnsi="Times New Roman"/>
          <w:b w:val="0"/>
          <w:i w:val="0"/>
          <w:sz w:val="16"/>
        </w:rPr>
        <w:t>[13]</w:t>
        <w:tab/>
        <w:t>H. He and E. A. Garcia, “Learning from imbalanced data,” IEEE Trans. Knowl. Data Eng., vol. 21, pp. 1263–1284, 2009.</w:t>
      </w:r>
    </w:p>
    <w:p>
      <w:pPr>
        <w:spacing w:before="0" w:after="20" w:line="240" w:lineRule="auto"/>
        <w:ind w:left="360" w:hanging="360"/>
        <w:jc w:val="both"/>
      </w:pPr>
      <w:r>
        <w:rPr>
          <w:rFonts w:ascii="Times New Roman" w:hAnsi="Times New Roman"/>
          <w:b w:val="0"/>
          <w:i w:val="0"/>
          <w:sz w:val="16"/>
        </w:rPr>
        <w:t>[14]</w:t>
        <w:tab/>
        <w:t>P. Detti, “Siena Scalp EEG Database (version 1.0.0),” PhysioNet, 2020. [Online]. Available: https://doi.org/10.13026/5d4a-j060</w:t>
      </w:r>
    </w:p>
    <w:sectPr w:rsidR="00FC693F" w:rsidRPr="0006063C" w:rsidSect="00034616">
      <w:type w:val="continuous"/>
      <w:pgSz w:w="11906" w:h="16838"/>
      <w:pgMar w:top="1077" w:right="812" w:bottom="2438" w:left="812" w:header="720" w:footer="720" w:gutter="0"/>
      <w:docGrid w:linePitch="360"/>
      <w:cols w:num="2" w:space="239"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