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5.png" ContentType="image/png"/>
  <Override PartName="/word/media/rId29.png" ContentType="image/png"/>
  <Override PartName="/word/media/rId4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90.png" ContentType="image/png"/>
  <Override PartName="/word/media/rId94.png" ContentType="image/png"/>
  <Override PartName="/word/media/rId21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1" w:name="X654ed4de5947934c1e68c439b0b9f186f8892ed"/>
    <w:p>
      <w:pPr>
        <w:pStyle w:val="Heading1"/>
      </w:pPr>
      <w:r>
        <w:t xml:space="preserve">Water Potability Prediction Using Machine Learning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Sohaib Farooq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sohaib.farooq@bigacademy.com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2026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report presents a comprehensive machine learning approach to predict water potability based on physicochemical properties. We implement and compare four classification algorithms: Logistic Regression, Random Forest, XGBoost, and LightGBM. The study includes detailed exploratory data analysis, feature engineering, model training, evaluation, and deployment of a web application for real-time predictions.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01176fba7f2b3669a51aa31db0b656106fcbca2">
        <w:r>
          <w:rPr>
            <w:rStyle w:val="Hyperlink"/>
          </w:rPr>
          <w:t xml:space="preserve">Dataset Description</w:t>
        </w:r>
      </w:hyperlink>
    </w:p>
    <w:p>
      <w:pPr>
        <w:pStyle w:val="Compact"/>
        <w:numPr>
          <w:ilvl w:val="0"/>
          <w:numId w:val="1001"/>
        </w:numPr>
      </w:pPr>
      <w:hyperlink w:anchor="X81ab50f5b89f19977143ce71e05a145febfffe3">
        <w:r>
          <w:rPr>
            <w:rStyle w:val="Hyperlink"/>
          </w:rPr>
          <w:t xml:space="preserve">Exploratory Data Analysis</w:t>
        </w:r>
      </w:hyperlink>
    </w:p>
    <w:p>
      <w:pPr>
        <w:pStyle w:val="Compact"/>
        <w:numPr>
          <w:ilvl w:val="0"/>
          <w:numId w:val="1001"/>
        </w:numPr>
      </w:pPr>
      <w:hyperlink w:anchor="X2802c3031710166398f47aed0d1e714604936de">
        <w:r>
          <w:rPr>
            <w:rStyle w:val="Hyperlink"/>
          </w:rPr>
          <w:t xml:space="preserve">Data Preprocessing</w:t>
        </w:r>
      </w:hyperlink>
    </w:p>
    <w:p>
      <w:pPr>
        <w:pStyle w:val="Compact"/>
        <w:numPr>
          <w:ilvl w:val="0"/>
          <w:numId w:val="1001"/>
        </w:numPr>
      </w:pPr>
      <w:hyperlink w:anchor="X19216f32062bf5a6403af43768e4a5397a36b5a">
        <w:r>
          <w:rPr>
            <w:rStyle w:val="Hyperlink"/>
          </w:rPr>
          <w:t xml:space="preserve">Machine Learning Algorithms</w:t>
        </w:r>
      </w:hyperlink>
    </w:p>
    <w:p>
      <w:pPr>
        <w:pStyle w:val="Compact"/>
        <w:numPr>
          <w:ilvl w:val="1"/>
          <w:numId w:val="1002"/>
        </w:numPr>
      </w:pPr>
      <w:hyperlink w:anchor="X7319eeebab5c6e1c7fbc35b14e567a56801b248">
        <w:r>
          <w:rPr>
            <w:rStyle w:val="Hyperlink"/>
          </w:rPr>
          <w:t xml:space="preserve">5.1 Logistic Regression</w:t>
        </w:r>
      </w:hyperlink>
    </w:p>
    <w:p>
      <w:pPr>
        <w:pStyle w:val="Compact"/>
        <w:numPr>
          <w:ilvl w:val="1"/>
          <w:numId w:val="1002"/>
        </w:numPr>
      </w:pPr>
      <w:hyperlink w:anchor="X2f8d99fd88200726fa2262c8747ba65f01fcc58">
        <w:r>
          <w:rPr>
            <w:rStyle w:val="Hyperlink"/>
          </w:rPr>
          <w:t xml:space="preserve">5.2 Random Forest</w:t>
        </w:r>
      </w:hyperlink>
    </w:p>
    <w:p>
      <w:pPr>
        <w:pStyle w:val="Compact"/>
        <w:numPr>
          <w:ilvl w:val="1"/>
          <w:numId w:val="1002"/>
        </w:numPr>
      </w:pPr>
      <w:hyperlink w:anchor="X40d9da916aa241badd4c4bc2f77998ad09df37b">
        <w:r>
          <w:rPr>
            <w:rStyle w:val="Hyperlink"/>
          </w:rPr>
          <w:t xml:space="preserve">5.3 XGBoost</w:t>
        </w:r>
      </w:hyperlink>
    </w:p>
    <w:p>
      <w:pPr>
        <w:pStyle w:val="Compact"/>
        <w:numPr>
          <w:ilvl w:val="1"/>
          <w:numId w:val="1002"/>
        </w:numPr>
      </w:pPr>
      <w:hyperlink w:anchor="X109bc655b1c6175a61756871ae73decb13d4245">
        <w:r>
          <w:rPr>
            <w:rStyle w:val="Hyperlink"/>
          </w:rPr>
          <w:t xml:space="preserve">5.4 LightGBM</w:t>
        </w:r>
      </w:hyperlink>
    </w:p>
    <w:p>
      <w:pPr>
        <w:pStyle w:val="Compact"/>
        <w:numPr>
          <w:ilvl w:val="0"/>
          <w:numId w:val="1001"/>
        </w:numPr>
      </w:pPr>
      <w:hyperlink w:anchor="Xfb598f0cc359d684c03759b532be8f84822850e">
        <w:r>
          <w:rPr>
            <w:rStyle w:val="Hyperlink"/>
          </w:rPr>
          <w:t xml:space="preserve">Evaluation Metrics</w:t>
        </w:r>
      </w:hyperlink>
    </w:p>
    <w:p>
      <w:pPr>
        <w:pStyle w:val="Compact"/>
        <w:numPr>
          <w:ilvl w:val="0"/>
          <w:numId w:val="1001"/>
        </w:numPr>
      </w:pPr>
      <w:hyperlink w:anchor="X9dedc1b9d946d1269f67adc1dd281495dc920bb">
        <w:r>
          <w:rPr>
            <w:rStyle w:val="Hyperlink"/>
          </w:rPr>
          <w:t xml:space="preserve">Results and Analysis</w:t>
        </w:r>
      </w:hyperlink>
    </w:p>
    <w:p>
      <w:pPr>
        <w:pStyle w:val="Compact"/>
        <w:numPr>
          <w:ilvl w:val="0"/>
          <w:numId w:val="1001"/>
        </w:numPr>
      </w:pPr>
      <w:hyperlink w:anchor="X2ca39d279796ab99372e2f4145122a2b3c0b2d0">
        <w:r>
          <w:rPr>
            <w:rStyle w:val="Hyperlink"/>
          </w:rPr>
          <w:t xml:space="preserve">Web Application Deployment</w:t>
        </w:r>
      </w:hyperlink>
    </w:p>
    <w:p>
      <w:pPr>
        <w:pStyle w:val="Compact"/>
        <w:numPr>
          <w:ilvl w:val="0"/>
          <w:numId w:val="1001"/>
        </w:numPr>
      </w:pPr>
      <w:hyperlink w:anchor="X98117c13968527984576a01f05c5603bce714b2">
        <w:r>
          <w:rPr>
            <w:rStyle w:val="Hyperlink"/>
          </w:rPr>
          <w:t xml:space="preserve">Conclusions</w:t>
        </w:r>
      </w:hyperlink>
    </w:p>
    <w:p>
      <w:pPr>
        <w:pStyle w:val="Compact"/>
        <w:numPr>
          <w:ilvl w:val="0"/>
          <w:numId w:val="1001"/>
        </w:numPr>
      </w:pPr>
      <w:hyperlink w:anchor="X3b4c3db7819ed66f453f0c9b146c43e80460b49">
        <w:r>
          <w:rPr>
            <w:rStyle w:val="Hyperlink"/>
          </w:rPr>
          <w:t xml:space="preserve">References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Access to clean drinking water is essential for human health. The World Health Organization (WHO) estimates that contaminated water causes approximately 485,000 diarrheal deaths annually. This project aims to develop a machine learning model capable of predicting whether water is safe for human consumption based on measurable physicochemical parameters.</w:t>
      </w:r>
    </w:p>
    <w:p>
      <w:pPr>
        <w:pStyle w:val="BodyText"/>
      </w:pPr>
      <w:r>
        <w:t xml:space="preserve">The objective is to build a classification system that can accurately determine water potability, enabling water quality monitoring systems to make rapid assessments without extensive laboratory testing.</w:t>
      </w:r>
    </w:p>
    <w:p>
      <w:r>
        <w:pict>
          <v:rect style="width:0;height:1.5pt" o:hralign="center" o:hrstd="t" o:hr="t"/>
        </w:pict>
      </w:r>
    </w:p>
    <w:bookmarkEnd w:id="11"/>
    <w:bookmarkStart w:id="16" w:name="dataset-description"/>
    <w:p>
      <w:pPr>
        <w:pStyle w:val="Heading2"/>
      </w:pPr>
      <w:r>
        <w:t xml:space="preserve">2. Dataset Description</w:t>
      </w:r>
    </w:p>
    <w:p>
      <w:pPr>
        <w:pStyle w:val="FirstParagraph"/>
      </w:pPr>
      <w:r>
        <w:t xml:space="preserve">The dataset contains water quality metrics for 3,276 water samples with the following features: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367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</w:t>
            </w:r>
          </w:p>
        </w:tc>
        <w:tc>
          <w:tcPr/>
          <w:p>
            <w:pPr>
              <w:pStyle w:val="Compact"/>
            </w:pPr>
            <w:r>
              <w:t xml:space="preserve">Measure of acidity/alkalinity</w:t>
            </w:r>
          </w:p>
        </w:tc>
        <w:tc>
          <w:tcPr/>
          <w:p>
            <w:pPr>
              <w:pStyle w:val="Compact"/>
            </w:pPr>
            <w:r>
              <w:t xml:space="preserve">0-14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Hardness</w:t>
            </w:r>
          </w:p>
        </w:tc>
        <w:tc>
          <w:tcPr/>
          <w:p>
            <w:pPr>
              <w:pStyle w:val="Compact"/>
            </w:pPr>
            <w:r>
              <w:t xml:space="preserve">Capacity of water to precipitate soap</w:t>
            </w:r>
          </w:p>
        </w:tc>
        <w:tc>
          <w:tcPr/>
          <w:p>
            <w:pPr>
              <w:pStyle w:val="Compact"/>
            </w:pPr>
            <w:r>
              <w:t xml:space="preserve">mg/L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Solids</w:t>
            </w:r>
          </w:p>
        </w:tc>
        <w:tc>
          <w:tcPr/>
          <w:p>
            <w:pPr>
              <w:pStyle w:val="Compact"/>
            </w:pPr>
            <w:r>
              <w:t xml:space="preserve">Total dissolved solids (TDS)</w:t>
            </w:r>
          </w:p>
        </w:tc>
        <w:tc>
          <w:tcPr/>
          <w:p>
            <w:pPr>
              <w:pStyle w:val="Compact"/>
            </w:pPr>
            <w:r>
              <w:t xml:space="preserve">ppm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Chloramines</w:t>
            </w:r>
          </w:p>
        </w:tc>
        <w:tc>
          <w:tcPr/>
          <w:p>
            <w:pPr>
              <w:pStyle w:val="Compact"/>
            </w:pPr>
            <w:r>
              <w:t xml:space="preserve">Amount of chloramines</w:t>
            </w:r>
          </w:p>
        </w:tc>
        <w:tc>
          <w:tcPr/>
          <w:p>
            <w:pPr>
              <w:pStyle w:val="Compact"/>
            </w:pPr>
            <w:r>
              <w:t xml:space="preserve">ppm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Sulfate</w:t>
            </w:r>
          </w:p>
        </w:tc>
        <w:tc>
          <w:tcPr/>
          <w:p>
            <w:pPr>
              <w:pStyle w:val="Compact"/>
            </w:pPr>
            <w:r>
              <w:t xml:space="preserve">Amount of sulfate dissolved</w:t>
            </w:r>
          </w:p>
        </w:tc>
        <w:tc>
          <w:tcPr/>
          <w:p>
            <w:pPr>
              <w:pStyle w:val="Compact"/>
            </w:pPr>
            <w:r>
              <w:t xml:space="preserve">mg/L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Conductivity</w:t>
            </w:r>
          </w:p>
        </w:tc>
        <w:tc>
          <w:tcPr/>
          <w:p>
            <w:pPr>
              <w:pStyle w:val="Compact"/>
            </w:pPr>
            <w:r>
              <w:t xml:space="preserve">Electrical conductivity</w:t>
            </w:r>
          </w:p>
        </w:tc>
        <w:tc>
          <w:tcPr/>
          <w:p>
            <w:pPr>
              <w:pStyle w:val="Compact"/>
            </w:pPr>
            <w:r>
              <w:t xml:space="preserve">μS/cm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Organic Carbon</w:t>
            </w:r>
          </w:p>
        </w:tc>
        <w:tc>
          <w:tcPr/>
          <w:p>
            <w:pPr>
              <w:pStyle w:val="Compact"/>
            </w:pPr>
            <w:r>
              <w:t xml:space="preserve">Amount of organic carbon</w:t>
            </w:r>
          </w:p>
        </w:tc>
        <w:tc>
          <w:tcPr/>
          <w:p>
            <w:pPr>
              <w:pStyle w:val="Compact"/>
            </w:pPr>
            <w:r>
              <w:t xml:space="preserve">ppm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Trihalomethanes</w:t>
            </w:r>
          </w:p>
        </w:tc>
        <w:tc>
          <w:tcPr/>
          <w:p>
            <w:pPr>
              <w:pStyle w:val="Compact"/>
            </w:pPr>
            <w:r>
              <w:t xml:space="preserve">Amount of trihalomethanes</w:t>
            </w:r>
          </w:p>
        </w:tc>
        <w:tc>
          <w:tcPr/>
          <w:p>
            <w:pPr>
              <w:pStyle w:val="Compact"/>
            </w:pPr>
            <w:r>
              <w:t xml:space="preserve">μg/L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Turbidity</w:t>
            </w:r>
          </w:p>
        </w:tc>
        <w:tc>
          <w:tcPr/>
          <w:p>
            <w:pPr>
              <w:pStyle w:val="Compact"/>
            </w:pPr>
            <w:r>
              <w:t xml:space="preserve">Measure of light-emitting properties</w:t>
            </w:r>
          </w:p>
        </w:tc>
        <w:tc>
          <w:tcPr/>
          <w:p>
            <w:pPr>
              <w:pStyle w:val="Compact"/>
            </w:pPr>
            <w:r>
              <w:t xml:space="preserve">NTU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Potability</w:t>
            </w:r>
          </w:p>
        </w:tc>
        <w:tc>
          <w:tcPr/>
          <w:p>
            <w:pPr>
              <w:pStyle w:val="Compact"/>
            </w:pPr>
            <w:r>
              <w:t xml:space="preserve">Target variable (0: Not Potable, 1: Potable)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</w:tr>
    </w:tbl>
    <w:bookmarkStart w:id="15" w:name="missing-values-analysis"/>
    <w:p>
      <w:pPr>
        <w:pStyle w:val="Heading3"/>
      </w:pPr>
      <w:r>
        <w:t xml:space="preserve">Missing Values Analysis</w:t>
      </w:r>
    </w:p>
    <w:p>
      <w:pPr>
        <w:pStyle w:val="FirstParagraph"/>
      </w:pPr>
      <w:r>
        <w:t xml:space="preserve">The dataset contains missing values that require handling before model training:</w:t>
      </w:r>
    </w:p>
    <w:p>
      <w:pPr>
        <w:pStyle w:val="CaptionedFigure"/>
      </w:pPr>
      <w:r>
        <w:drawing>
          <wp:inline>
            <wp:extent cx="5334000" cy="2631056"/>
            <wp:effectExtent b="0" l="0" r="0" t="0"/>
            <wp:docPr descr="Missing Values by Feature" title="" id="13" name="Picture"/>
            <a:graphic>
              <a:graphicData uri="http://schemas.openxmlformats.org/drawingml/2006/picture">
                <pic:pic>
                  <pic:nvPicPr>
                    <pic:cNvPr descr="figures/01_missing_value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1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Missing Values by Feature</w:t>
      </w:r>
    </w:p>
    <w:p>
      <w:pPr>
        <w:pStyle w:val="BodyText"/>
      </w:pPr>
      <w:r>
        <w:rPr>
          <w:i/>
          <w:iCs/>
        </w:rPr>
        <w:t xml:space="preserve">Figure 1: Distribution of missing values across features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33" w:name="exploratory-data-analysis"/>
    <w:p>
      <w:pPr>
        <w:pStyle w:val="Heading2"/>
      </w:pPr>
      <w:r>
        <w:t xml:space="preserve">3. Exploratory Data Analysis</w:t>
      </w:r>
    </w:p>
    <w:bookmarkStart w:id="20" w:name="target-variable-distribution"/>
    <w:p>
      <w:pPr>
        <w:pStyle w:val="Heading3"/>
      </w:pPr>
      <w:r>
        <w:t xml:space="preserve">3.1 Target Variable Distribution</w:t>
      </w:r>
    </w:p>
    <w:p>
      <w:pPr>
        <w:pStyle w:val="FirstParagraph"/>
      </w:pPr>
      <w:r>
        <w:t xml:space="preserve">The dataset exhibits class imbalance, with approximately 61% non-potable samples and 39% potable samples:</w:t>
      </w:r>
    </w:p>
    <w:p>
      <w:pPr>
        <w:pStyle w:val="CaptionedFigure"/>
      </w:pPr>
      <w:r>
        <w:drawing>
          <wp:inline>
            <wp:extent cx="5334000" cy="2332029"/>
            <wp:effectExtent b="0" l="0" r="0" t="0"/>
            <wp:docPr descr="Target Distribution" title="" id="18" name="Picture"/>
            <a:graphic>
              <a:graphicData uri="http://schemas.openxmlformats.org/drawingml/2006/picture">
                <pic:pic>
                  <pic:nvPicPr>
                    <pic:cNvPr descr="figures/02_target_distributio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2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Target Distribution</w:t>
      </w:r>
    </w:p>
    <w:p>
      <w:pPr>
        <w:pStyle w:val="BodyText"/>
      </w:pPr>
      <w:r>
        <w:rPr>
          <w:i/>
          <w:iCs/>
        </w:rPr>
        <w:t xml:space="preserve">Figure 2: Distribution of water potability classes</w:t>
      </w:r>
    </w:p>
    <w:bookmarkEnd w:id="20"/>
    <w:bookmarkStart w:id="24" w:name="feature-correlation-analysis"/>
    <w:p>
      <w:pPr>
        <w:pStyle w:val="Heading3"/>
      </w:pPr>
      <w:r>
        <w:t xml:space="preserve">3.2 Feature Correlation Analysis</w:t>
      </w:r>
    </w:p>
    <w:p>
      <w:pPr>
        <w:pStyle w:val="FirstParagraph"/>
      </w:pPr>
      <w:r>
        <w:t xml:space="preserve">Understanding feature relationships is crucial for feature engineering and model interpretation:</w:t>
      </w:r>
    </w:p>
    <w:p>
      <w:pPr>
        <w:pStyle w:val="CaptionedFigure"/>
      </w:pPr>
      <w:r>
        <w:drawing>
          <wp:inline>
            <wp:extent cx="5334000" cy="4668539"/>
            <wp:effectExtent b="0" l="0" r="0" t="0"/>
            <wp:docPr descr="Correlation Heatmap" title="" id="22" name="Picture"/>
            <a:graphic>
              <a:graphicData uri="http://schemas.openxmlformats.org/drawingml/2006/picture">
                <pic:pic>
                  <pic:nvPicPr>
                    <pic:cNvPr descr="figures/streamlit_03_correlation_heatmap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8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Heatmap</w:t>
      </w:r>
    </w:p>
    <w:p>
      <w:pPr>
        <w:pStyle w:val="BodyText"/>
      </w:pPr>
      <w:r>
        <w:rPr>
          <w:i/>
          <w:iCs/>
        </w:rPr>
        <w:t xml:space="preserve">Figure 3: Correlation matrix heatmap showing relationships between features</w:t>
      </w:r>
    </w:p>
    <w:p>
      <w:pPr>
        <w:pStyle w:val="BodyText"/>
      </w:pPr>
      <w:r>
        <w:t xml:space="preserve">Key observations:</w:t>
      </w:r>
      <w:r>
        <w:t xml:space="preserve"> </w:t>
      </w:r>
      <w:r>
        <w:t xml:space="preserve">- Most features show weak correlation with each other</w:t>
      </w:r>
      <w:r>
        <w:t xml:space="preserve"> </w:t>
      </w:r>
      <w:r>
        <w:t xml:space="preserve">- No strong multicollinearity issues detected</w:t>
      </w:r>
      <w:r>
        <w:t xml:space="preserve"> </w:t>
      </w:r>
      <w:r>
        <w:t xml:space="preserve">- The target variable has weak correlations with all features, indicating classification complexity</w:t>
      </w:r>
    </w:p>
    <w:bookmarkEnd w:id="24"/>
    <w:bookmarkStart w:id="28" w:name="feature-distributions"/>
    <w:p>
      <w:pPr>
        <w:pStyle w:val="Heading3"/>
      </w:pPr>
      <w:r>
        <w:t xml:space="preserve">3.3 Feature Distributions</w:t>
      </w:r>
    </w:p>
    <w:p>
      <w:pPr>
        <w:pStyle w:val="CaptionedFigure"/>
      </w:pPr>
      <w:r>
        <w:drawing>
          <wp:inline>
            <wp:extent cx="5334000" cy="4252396"/>
            <wp:effectExtent b="0" l="0" r="0" t="0"/>
            <wp:docPr descr="Feature Distributions" title="" id="26" name="Picture"/>
            <a:graphic>
              <a:graphicData uri="http://schemas.openxmlformats.org/drawingml/2006/picture">
                <pic:pic>
                  <pic:nvPicPr>
                    <pic:cNvPr descr="figures/04_feature_distribution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2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Feature Distributions</w:t>
      </w:r>
    </w:p>
    <w:p>
      <w:pPr>
        <w:pStyle w:val="BodyText"/>
      </w:pPr>
      <w:r>
        <w:rPr>
          <w:i/>
          <w:iCs/>
        </w:rPr>
        <w:t xml:space="preserve">Figure 4: Histograms showing feature distributions by potability class</w:t>
      </w:r>
    </w:p>
    <w:bookmarkEnd w:id="28"/>
    <w:bookmarkStart w:id="32" w:name="box-plot-analysis"/>
    <w:p>
      <w:pPr>
        <w:pStyle w:val="Heading3"/>
      </w:pPr>
      <w:r>
        <w:t xml:space="preserve">3.4 Box Plot Analysis</w:t>
      </w:r>
    </w:p>
    <w:p>
      <w:pPr>
        <w:pStyle w:val="CaptionedFigure"/>
      </w:pPr>
      <w:r>
        <w:drawing>
          <wp:inline>
            <wp:extent cx="5334000" cy="4252396"/>
            <wp:effectExtent b="0" l="0" r="0" t="0"/>
            <wp:docPr descr="Box Plots" title="" id="30" name="Picture"/>
            <a:graphic>
              <a:graphicData uri="http://schemas.openxmlformats.org/drawingml/2006/picture">
                <pic:pic>
                  <pic:nvPicPr>
                    <pic:cNvPr descr="figures/05_box_plot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2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Box Plots</w:t>
      </w:r>
    </w:p>
    <w:p>
      <w:pPr>
        <w:pStyle w:val="BodyText"/>
      </w:pPr>
      <w:r>
        <w:rPr>
          <w:i/>
          <w:iCs/>
        </w:rPr>
        <w:t xml:space="preserve">Figure 5: Box plots comparing feature distributions between potable and non-potable water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data-preprocessing"/>
    <w:p>
      <w:pPr>
        <w:pStyle w:val="Heading2"/>
      </w:pPr>
      <w:r>
        <w:t xml:space="preserve">4. Data Preprocessing</w:t>
      </w:r>
    </w:p>
    <w:bookmarkStart w:id="34" w:name="missing-value-imputation"/>
    <w:p>
      <w:pPr>
        <w:pStyle w:val="Heading3"/>
      </w:pPr>
      <w:r>
        <w:t xml:space="preserve">4.1 Missing Value Imputation</w:t>
      </w:r>
    </w:p>
    <w:p>
      <w:pPr>
        <w:pStyle w:val="FirstParagraph"/>
      </w:pPr>
      <w:r>
        <w:t xml:space="preserve">Missing values were imputed using the median strategy, which is robust to outliers: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median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median value for feature</w:t>
      </w:r>
      <w:r>
        <w:t xml:space="preserve"> </w:t>
      </w:r>
      <m:oMath>
        <m:r>
          <m:t>j</m:t>
        </m:r>
      </m:oMath>
      <w:r>
        <w:t xml:space="preserve">.</w:t>
      </w:r>
    </w:p>
    <w:bookmarkEnd w:id="34"/>
    <w:bookmarkStart w:id="35" w:name="feature-scaling"/>
    <w:p>
      <w:pPr>
        <w:pStyle w:val="Heading3"/>
      </w:pPr>
      <w:r>
        <w:t xml:space="preserve">4.2 Feature Scaling</w:t>
      </w:r>
    </w:p>
    <w:p>
      <w:pPr>
        <w:pStyle w:val="FirstParagraph"/>
      </w:pPr>
      <w:r>
        <w:t xml:space="preserve">Standard scaling was applied to normalize features: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r>
                <m:t>σ</m:t>
              </m:r>
            </m:den>
          </m:f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original feature value</w:t>
      </w:r>
      <w:r>
        <w:t xml:space="preserve"> </w:t>
      </w:r>
      <w:r>
        <w:t xml:space="preserve">-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mean of the feature</w:t>
      </w:r>
      <w:r>
        <w:t xml:space="preserve"> </w:t>
      </w:r>
      <w:r>
        <w:t xml:space="preserve">-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the standard deviation</w:t>
      </w:r>
      <w:r>
        <w:t xml:space="preserve"> </w:t>
      </w:r>
      <w:r>
        <w:t xml:space="preserve">-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the scaled value</w:t>
      </w:r>
    </w:p>
    <w:bookmarkEnd w:id="35"/>
    <w:bookmarkStart w:id="36" w:name="train-test-split"/>
    <w:p>
      <w:pPr>
        <w:pStyle w:val="Heading3"/>
      </w:pPr>
      <w:r>
        <w:t xml:space="preserve">4.3 Train-Test Split</w:t>
      </w:r>
    </w:p>
    <w:p>
      <w:pPr>
        <w:pStyle w:val="FirstParagraph"/>
      </w:pPr>
      <w:r>
        <w:t xml:space="preserve">The dataset was split using stratified sampling: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set:</w:t>
      </w:r>
      <w:r>
        <w:t xml:space="preserve"> </w:t>
      </w:r>
      <w:r>
        <w:t xml:space="preserve">80% (2,620 samples)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set:</w:t>
      </w:r>
      <w:r>
        <w:t xml:space="preserve"> </w:t>
      </w:r>
      <w:r>
        <w:t xml:space="preserve">20% (656 samples)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62" w:name="machine-learning-algorithms"/>
    <w:p>
      <w:pPr>
        <w:pStyle w:val="Heading2"/>
      </w:pPr>
      <w:r>
        <w:t xml:space="preserve">5. Machine Learning Algorithms</w:t>
      </w:r>
    </w:p>
    <w:bookmarkStart w:id="42" w:name="logistic-regression"/>
    <w:p>
      <w:pPr>
        <w:pStyle w:val="Heading3"/>
      </w:pPr>
      <w:r>
        <w:t xml:space="preserve">5.1 Logistic Regression</w:t>
      </w:r>
    </w:p>
    <w:p>
      <w:pPr>
        <w:pStyle w:val="FirstParagraph"/>
      </w:pPr>
      <w:r>
        <w:t xml:space="preserve">Logistic Regression is a linear classification algorithm that models the probability of binary outcomes using the logistic (sigmoid) function.</w:t>
      </w:r>
    </w:p>
    <w:bookmarkStart w:id="38" w:name="mathematical-formulation"/>
    <w:p>
      <w:pPr>
        <w:pStyle w:val="Heading4"/>
      </w:pPr>
      <w:r>
        <w:t xml:space="preserve">Mathematical Formulation</w:t>
      </w:r>
    </w:p>
    <w:p>
      <w:pPr>
        <w:pStyle w:val="FirstParagraph"/>
      </w:pPr>
      <w:r>
        <w:t xml:space="preserve">The hypothesis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p>
            <m:e>
              <m:r>
                <m:t>θ</m:t>
              </m:r>
            </m:e>
            <m:sup>
              <m:r>
                <m:t>T</m:t>
              </m:r>
            </m:sup>
          </m:sSup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x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the sigmoid function</w:t>
      </w:r>
      <w:r>
        <w:t xml:space="preserve"> </w:t>
      </w:r>
      <w:r>
        <w:t xml:space="preserve">-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represents the model parameters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input feature vector</w:t>
      </w:r>
    </w:p>
    <w:bookmarkEnd w:id="38"/>
    <w:bookmarkStart w:id="39" w:name="cost-function-cross-entropy-loss"/>
    <w:p>
      <w:pPr>
        <w:pStyle w:val="Heading4"/>
      </w:pPr>
      <w:r>
        <w:t xml:space="preserve">Cost Function (Cross-Entropy Loss)</w:t>
      </w:r>
    </w:p>
    <w:p>
      <w:pPr>
        <w:pStyle w:val="FirstParagraph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number of training examples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actual label for sample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h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predicted probability</w:t>
      </w:r>
    </w:p>
    <w:bookmarkEnd w:id="39"/>
    <w:bookmarkStart w:id="40" w:name="gradient-descent-update"/>
    <w:p>
      <w:pPr>
        <w:pStyle w:val="Heading4"/>
      </w:pPr>
      <w:r>
        <w:t xml:space="preserve">Gradient Descent Update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j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r>
            <m:t>α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J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learning rate.</w:t>
      </w:r>
    </w:p>
    <w:bookmarkEnd w:id="40"/>
    <w:bookmarkStart w:id="41" w:name="class-weight-balancing"/>
    <w:p>
      <w:pPr>
        <w:pStyle w:val="Heading4"/>
      </w:pPr>
      <w:r>
        <w:t xml:space="preserve">Class Weight Balancing</w:t>
      </w:r>
    </w:p>
    <w:p>
      <w:pPr>
        <w:pStyle w:val="FirstParagraph"/>
      </w:pPr>
      <w:r>
        <w:t xml:space="preserve">To address class imbalance, we apply balanced class weights: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k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total number of samples</w:t>
      </w:r>
      <w:r>
        <w:t xml:space="preserve"> </w:t>
      </w:r>
      <w:r>
        <w:t xml:space="preserve">-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classes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the number of samples in class</w:t>
      </w:r>
      <w:r>
        <w:t xml:space="preserve"> </w:t>
      </w:r>
      <m:oMath>
        <m:r>
          <m:t>c</m:t>
        </m:r>
      </m:oMath>
    </w:p>
    <w:p>
      <w:r>
        <w:pict>
          <v:rect style="width:0;height:1.5pt" o:hralign="center" o:hrstd="t" o:hr="t"/>
        </w:pict>
      </w:r>
    </w:p>
    <w:bookmarkEnd w:id="41"/>
    <w:bookmarkEnd w:id="42"/>
    <w:bookmarkStart w:id="51" w:name="random-forest"/>
    <w:p>
      <w:pPr>
        <w:pStyle w:val="Heading3"/>
      </w:pPr>
      <w:r>
        <w:t xml:space="preserve">5.2 Random Forest</w:t>
      </w:r>
    </w:p>
    <w:p>
      <w:pPr>
        <w:pStyle w:val="FirstParagraph"/>
      </w:pPr>
      <w:r>
        <w:t xml:space="preserve">Random Forest is an ensemble learning method that constructs multiple decision trees and aggregates their predictions.</w:t>
      </w:r>
    </w:p>
    <w:bookmarkStart w:id="43" w:name="algorithm"/>
    <w:p>
      <w:pPr>
        <w:pStyle w:val="Heading4"/>
      </w:pPr>
      <w:r>
        <w:t xml:space="preserve">Algorithm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(number of trees):</w:t>
      </w:r>
      <w:r>
        <w:t xml:space="preserve"> </w:t>
      </w:r>
      <w:r>
        <w:t xml:space="preserve">1. Draw a bootstrap sample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training data</w:t>
      </w:r>
      <w:r>
        <w:t xml:space="preserve"> </w:t>
      </w:r>
      <w:r>
        <w:t xml:space="preserve">2. Grow a decision tree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using recursive partitioning:</w:t>
      </w:r>
      <w:r>
        <w:t xml:space="preserve"> </w:t>
      </w:r>
      <w:r>
        <w:t xml:space="preserve">- At each node, select</w:t>
      </w:r>
      <w:r>
        <w:t xml:space="preserve"> </w:t>
      </w:r>
      <m:oMath>
        <m:r>
          <m:t>m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p</m:t>
            </m:r>
          </m:e>
        </m:rad>
      </m:oMath>
      <w:r>
        <w:t xml:space="preserve"> </w:t>
      </w:r>
      <w:r>
        <w:t xml:space="preserve">features randomly</w:t>
      </w:r>
      <w:r>
        <w:t xml:space="preserve"> </w:t>
      </w:r>
      <w:r>
        <w:t xml:space="preserve">- Find the best split among selected features using Gini impurity</w:t>
      </w:r>
      <w:r>
        <w:t xml:space="preserve"> </w:t>
      </w:r>
      <w:r>
        <w:t xml:space="preserve">- Split the node into two child nodes</w:t>
      </w:r>
    </w:p>
    <w:bookmarkEnd w:id="43"/>
    <w:bookmarkStart w:id="44" w:name="gini-impurity"/>
    <w:p>
      <w:pPr>
        <w:pStyle w:val="Heading4"/>
      </w:pPr>
      <w:r>
        <w:t xml:space="preserve">Gini Impurity</w:t>
      </w:r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sSubSup>
                <m:e>
                  <m:r>
                    <m:t>p</m:t>
                  </m:r>
                </m:e>
                <m:sub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the proportion of samples belonging to class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node.</w:t>
      </w:r>
    </w:p>
    <w:bookmarkEnd w:id="44"/>
    <w:bookmarkStart w:id="45" w:name="information-gain"/>
    <w:p>
      <w:pPr>
        <w:pStyle w:val="Heading4"/>
      </w:pPr>
      <w:r>
        <w:t xml:space="preserve">Information Gain</w:t>
      </w:r>
    </w:p>
    <w:p>
      <w:pPr>
        <w:pStyle w:val="FirstParagraph"/>
      </w:pPr>
      <w:r>
        <w:t xml:space="preserve">The best split maximizes information gain: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l</m:t>
              </m:r>
              <m:r>
                <m:t>e</m:t>
              </m:r>
              <m:r>
                <m:t>f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t>i</m:t>
              </m:r>
              <m:r>
                <m:t>g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p</m:t>
                      </m:r>
                    </m:sub>
                  </m:sSub>
                </m:den>
              </m:f>
            </m:e>
          </m:nary>
          <m:r>
            <m:t>G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parent dataset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number of samples at parent node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child dataset after split</w:t>
      </w:r>
    </w:p>
    <w:bookmarkEnd w:id="45"/>
    <w:bookmarkStart w:id="46" w:name="final-prediction-majority-voting"/>
    <w:p>
      <w:pPr>
        <w:pStyle w:val="Heading4"/>
      </w:pPr>
      <w:r>
        <w:t xml:space="preserve">Final Prediction (Majority Voting)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rPr>
              <m:nor/>
              <m:sty m:val="p"/>
            </m:rPr>
            <m:t>mode</m:t>
          </m:r>
          <m:r>
            <m:rPr>
              <m:sty m:val="p"/>
            </m:rPr>
            <m:t>{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</m:oMath>
      </m:oMathPara>
    </w:p>
    <w:bookmarkEnd w:id="46"/>
    <w:bookmarkStart w:id="50" w:name="feature-importance"/>
    <w:p>
      <w:pPr>
        <w:pStyle w:val="Heading4"/>
      </w:pPr>
      <w:r>
        <w:t xml:space="preserve">Feature Importance</w:t>
      </w:r>
    </w:p>
    <w:p>
      <w:pPr>
        <w:pStyle w:val="CaptionedFigure"/>
      </w:pPr>
      <w:r>
        <w:drawing>
          <wp:inline>
            <wp:extent cx="5334000" cy="3168072"/>
            <wp:effectExtent b="0" l="0" r="0" t="0"/>
            <wp:docPr descr="Feature Importance" title="" id="48" name="Picture"/>
            <a:graphic>
              <a:graphicData uri="http://schemas.openxmlformats.org/drawingml/2006/picture">
                <pic:pic>
                  <pic:nvPicPr>
                    <pic:cNvPr descr="figures/06_feature_importanc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8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Feature Importance</w:t>
      </w:r>
    </w:p>
    <w:p>
      <w:pPr>
        <w:pStyle w:val="BodyText"/>
      </w:pPr>
      <w:r>
        <w:rPr>
          <w:i/>
          <w:iCs/>
        </w:rPr>
        <w:t xml:space="preserve">Figure 6: Feature importance scores from Random Forest model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xgboost"/>
    <w:p>
      <w:pPr>
        <w:pStyle w:val="Heading3"/>
      </w:pPr>
      <w:r>
        <w:t xml:space="preserve">5.3 XGBoost</w:t>
      </w:r>
    </w:p>
    <w:p>
      <w:pPr>
        <w:pStyle w:val="FirstParagraph"/>
      </w:pPr>
      <w:r>
        <w:t xml:space="preserve">XGBoost (Extreme Gradient Boosting) is an optimized gradient boosting algorithm with regularization.</w:t>
      </w:r>
    </w:p>
    <w:bookmarkStart w:id="52" w:name="objective-function"/>
    <w:p>
      <w:pPr>
        <w:pStyle w:val="Heading4"/>
      </w:pPr>
      <w:r>
        <w:t xml:space="preserve">Objective Function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l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Ω</m:t>
              </m:r>
            </m:e>
          </m:nary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loss function (logistic loss for classification)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the regularization term</w:t>
      </w:r>
      <w:r>
        <w:t xml:space="preserve"> </w:t>
      </w:r>
      <w:r>
        <w:t xml:space="preserve">-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trees</w:t>
      </w:r>
    </w:p>
    <w:bookmarkEnd w:id="52"/>
    <w:bookmarkStart w:id="53" w:name="regularization-term"/>
    <w:p>
      <w:pPr>
        <w:pStyle w:val="Heading4"/>
      </w:pPr>
      <w:r>
        <w:t xml:space="preserve">Regularization Term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Ω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γ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λ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number of leaves in the tree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weight of leaf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are regularization parameters</w:t>
      </w:r>
    </w:p>
    <w:bookmarkEnd w:id="53"/>
    <w:bookmarkStart w:id="54" w:name="second-order-taylor-expansion"/>
    <w:p>
      <w:pPr>
        <w:pStyle w:val="Heading4"/>
      </w:pPr>
      <w:r>
        <w:t xml:space="preserve">Second-Order Taylor Expansion</w:t>
      </w:r>
    </w:p>
    <w:p>
      <w:pPr>
        <w:pStyle w:val="FirstParagraph"/>
      </w:pPr>
      <w:r>
        <w:t xml:space="preserve">For each iteration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≈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f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  <m:sSubSup>
                    <m:e>
                      <m:r>
                        <m:t>f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rPr>
              <m:sty m:val="p"/>
            </m:rPr>
            <m:t>+</m:t>
          </m:r>
          <m:r>
            <m:rPr>
              <m:sty m:val="p"/>
            </m:rPr>
            <m:t>Ω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l</m:t>
            </m:r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p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</m:oMath>
      <w:r>
        <w:t xml:space="preserve"> </w:t>
      </w:r>
      <w:r>
        <w:t xml:space="preserve">(gradient)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l</m:t>
            </m:r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p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(Hessian)</w:t>
      </w:r>
    </w:p>
    <w:bookmarkEnd w:id="54"/>
    <w:bookmarkStart w:id="55" w:name="optimal-leaf-weight"/>
    <w:p>
      <w:pPr>
        <w:pStyle w:val="Heading4"/>
      </w:pPr>
      <w:r>
        <w:t xml:space="preserve">Optimal Leaf Weight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λ</m:t>
              </m:r>
            </m:den>
          </m:f>
        </m:oMath>
      </m:oMathPara>
    </w:p>
    <w:bookmarkEnd w:id="55"/>
    <w:bookmarkStart w:id="56" w:name="split-gain"/>
    <w:p>
      <w:pPr>
        <w:pStyle w:val="Heading4"/>
      </w:pPr>
      <w:r>
        <w:t xml:space="preserve">Split Gain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Gain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bSup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H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G</m:t>
                      </m:r>
                    </m:e>
                    <m:sub>
                      <m:r>
                        <m:t>R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H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R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H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den>
              </m:f>
            </m:e>
          </m:d>
          <m:r>
            <m:rPr>
              <m:sty m:val="p"/>
            </m:rPr>
            <m:t>−</m:t>
          </m:r>
          <m:r>
            <m:t>γ</m:t>
          </m:r>
        </m:oMath>
      </m:oMathPara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lightgbm"/>
    <w:p>
      <w:pPr>
        <w:pStyle w:val="Heading3"/>
      </w:pPr>
      <w:r>
        <w:t xml:space="preserve">5.4 LightGBM</w:t>
      </w:r>
    </w:p>
    <w:p>
      <w:pPr>
        <w:pStyle w:val="FirstParagraph"/>
      </w:pPr>
      <w:r>
        <w:t xml:space="preserve">LightGBM is a gradient boosting framework that uses histogram-based algorithms for efficient training.</w:t>
      </w:r>
    </w:p>
    <w:bookmarkStart w:id="58" w:name="gradient-based-one-side-sampling-goss"/>
    <w:p>
      <w:pPr>
        <w:pStyle w:val="Heading4"/>
      </w:pPr>
      <w:r>
        <w:t xml:space="preserve">Gradient-based One-Side Sampling (GOSS)</w:t>
      </w:r>
    </w:p>
    <w:p>
      <w:pPr>
        <w:pStyle w:val="FirstParagraph"/>
      </w:pPr>
      <w:r>
        <w:t xml:space="preserve">GOSS keeps samples with large gradients and randomly samples from small gradient instances:</w:t>
      </w:r>
    </w:p>
    <w:p>
      <w:pPr>
        <w:pStyle w:val="Compact"/>
        <w:numPr>
          <w:ilvl w:val="0"/>
          <w:numId w:val="1003"/>
        </w:numPr>
      </w:pPr>
      <w:r>
        <w:t xml:space="preserve">Sort training instances by absolute gradient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</w:p>
    <w:p>
      <w:pPr>
        <w:pStyle w:val="Compact"/>
        <w:numPr>
          <w:ilvl w:val="0"/>
          <w:numId w:val="1003"/>
        </w:numPr>
      </w:pPr>
      <w:r>
        <w:t xml:space="preserve">Select top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instances with largest gradients</w:t>
      </w:r>
    </w:p>
    <w:p>
      <w:pPr>
        <w:pStyle w:val="Compact"/>
        <w:numPr>
          <w:ilvl w:val="0"/>
          <w:numId w:val="1003"/>
        </w:numPr>
      </w:pPr>
      <w:r>
        <w:t xml:space="preserve">Randomly sample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from remaining instances</w:t>
      </w:r>
    </w:p>
    <w:p>
      <w:pPr>
        <w:pStyle w:val="Compact"/>
        <w:numPr>
          <w:ilvl w:val="0"/>
          <w:numId w:val="1003"/>
        </w:numPr>
      </w:pPr>
      <w:r>
        <w:t xml:space="preserve">Amplify sampled small gradient data by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b</m:t>
            </m:r>
          </m:den>
        </m:f>
      </m:oMath>
    </w:p>
    <w:bookmarkEnd w:id="58"/>
    <w:bookmarkStart w:id="59" w:name="exclusive-feature-bundling-efb"/>
    <w:p>
      <w:pPr>
        <w:pStyle w:val="Heading4"/>
      </w:pPr>
      <w:r>
        <w:t xml:space="preserve">Exclusive Feature Bundling (EFB)</w:t>
      </w:r>
    </w:p>
    <w:p>
      <w:pPr>
        <w:pStyle w:val="FirstParagraph"/>
      </w:pPr>
      <w:r>
        <w:t xml:space="preserve">EFB bundles mutually exclusive features to reduce dimensionality: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Conflict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rPr>
              <m:sty m:val="p"/>
            </m:rPr>
            <m:t>[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∧</m:t>
          </m:r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Features are bundled if their conflict count is below a threshold.</w:t>
      </w:r>
    </w:p>
    <w:bookmarkEnd w:id="59"/>
    <w:bookmarkStart w:id="60" w:name="leaf-wise-tree-growth"/>
    <w:p>
      <w:pPr>
        <w:pStyle w:val="Heading4"/>
      </w:pPr>
      <w:r>
        <w:t xml:space="preserve">Leaf-wise Tree Growth</w:t>
      </w:r>
    </w:p>
    <w:p>
      <w:pPr>
        <w:pStyle w:val="FirstParagraph"/>
      </w:pPr>
      <w:r>
        <w:t xml:space="preserve">Unlike level-wise growth, LightGBM grows trees leaf-wise:</w:t>
      </w:r>
      <w:r>
        <w:t xml:space="preserve"> </w:t>
      </w:r>
      <w:r>
        <w:t xml:space="preserve">- Choose the leaf with maximum delta loss</w:t>
      </w:r>
      <w:r>
        <w:t xml:space="preserve"> </w:t>
      </w:r>
      <w:r>
        <w:t xml:space="preserve">- Can lead to deeper trees and better accuracy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 </w:t>
      </w:r>
      <w:r>
        <w:t xml:space="preserve">to prevent overfitting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70" w:name="evaluation-metrics"/>
    <w:p>
      <w:pPr>
        <w:pStyle w:val="Heading2"/>
      </w:pPr>
      <w:r>
        <w:t xml:space="preserve">6. Evaluation Metrics</w:t>
      </w:r>
    </w:p>
    <w:bookmarkStart w:id="63" w:name="confusion-matrix"/>
    <w:p>
      <w:pPr>
        <w:pStyle w:val="Heading3"/>
      </w:pPr>
      <w:r>
        <w:t xml:space="preserve">6.1 Confusion Matrix</w:t>
      </w:r>
    </w:p>
    <w:p>
      <w:pPr>
        <w:pStyle w:val="FirstParagraph"/>
      </w:pPr>
      <w:r>
        <w:t xml:space="preserve">The confusion matrix provides a complete picture of classification performance: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Confusion Matrix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T</m:t>
                    </m:r>
                    <m:r>
                      <m:t>N</m:t>
                    </m:r>
                  </m:e>
                  <m:e>
                    <m:r>
                      <m:t>F</m:t>
                    </m:r>
                    <m:r>
                      <m:t>P</m:t>
                    </m:r>
                  </m:e>
                </m:mr>
                <m:mr>
                  <m:e>
                    <m:r>
                      <m:t>F</m:t>
                    </m:r>
                    <m:r>
                      <m:t>N</m:t>
                    </m:r>
                  </m:e>
                  <m:e>
                    <m:r>
                      <m:t>T</m:t>
                    </m:r>
                    <m:r>
                      <m:t>P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  <m:r>
          <m:t>N</m:t>
        </m:r>
      </m:oMath>
      <w:r>
        <w:t xml:space="preserve"> </w:t>
      </w:r>
      <w:r>
        <w:t xml:space="preserve">= True Negatives (correctly predicted non-potable)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t>P</m:t>
        </m:r>
      </m:oMath>
      <w:r>
        <w:t xml:space="preserve"> </w:t>
      </w:r>
      <w:r>
        <w:t xml:space="preserve">= False Positives (non-potable predicted as potable)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t>N</m:t>
        </m:r>
      </m:oMath>
      <w:r>
        <w:t xml:space="preserve"> </w:t>
      </w:r>
      <w:r>
        <w:t xml:space="preserve">= False Negatives (potable predicted as non-potable)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  <m:r>
          <m:t>P</m:t>
        </m:r>
      </m:oMath>
      <w:r>
        <w:t xml:space="preserve"> </w:t>
      </w:r>
      <w:r>
        <w:t xml:space="preserve">= True Positives (correctly predicted potable)</w:t>
      </w:r>
    </w:p>
    <w:bookmarkEnd w:id="63"/>
    <w:bookmarkStart w:id="64" w:name="accuracy"/>
    <w:p>
      <w:pPr>
        <w:pStyle w:val="Heading3"/>
      </w:pPr>
      <w:r>
        <w:t xml:space="preserve">6.2 Accuracy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Accuracy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N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</m:den>
          </m:f>
        </m:oMath>
      </m:oMathPara>
    </w:p>
    <w:bookmarkEnd w:id="64"/>
    <w:bookmarkStart w:id="65" w:name="precision"/>
    <w:p>
      <w:pPr>
        <w:pStyle w:val="Heading3"/>
      </w:pPr>
      <w:r>
        <w:t xml:space="preserve">6.3 Precision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Precision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</m:den>
          </m:f>
        </m:oMath>
      </m:oMathPara>
    </w:p>
    <w:p>
      <w:pPr>
        <w:pStyle w:val="FirstParagraph"/>
      </w:pPr>
      <w:r>
        <w:t xml:space="preserve">Precision measures the proportion of positive predictions that are actually correct.</w:t>
      </w:r>
    </w:p>
    <w:bookmarkEnd w:id="65"/>
    <w:bookmarkStart w:id="66" w:name="recall-sensitivity"/>
    <w:p>
      <w:pPr>
        <w:pStyle w:val="Heading3"/>
      </w:pPr>
      <w:r>
        <w:t xml:space="preserve">6.4 Recall (Sensitivity)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Recall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Recall measures the proportion of actual positives that are correctly identified.</w:t>
      </w:r>
    </w:p>
    <w:bookmarkEnd w:id="66"/>
    <w:bookmarkStart w:id="67" w:name="f1-score"/>
    <w:p>
      <w:pPr>
        <w:pStyle w:val="Heading3"/>
      </w:pPr>
      <w:r>
        <w:t xml:space="preserve">6.5 F1-Score</w:t>
      </w:r>
    </w:p>
    <w:p>
      <w:pPr>
        <w:pStyle w:val="FirstParagraph"/>
      </w:pPr>
      <w:r>
        <w:t xml:space="preserve">The harmonic mean of precision and recall: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Precision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Recall</m:t>
              </m:r>
            </m:num>
            <m:den>
              <m:r>
                <m:rPr>
                  <m:nor/>
                  <m:sty m:val="p"/>
                </m:rPr>
                <m:t>Precision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Recall</m:t>
              </m:r>
            </m:den>
          </m:f>
        </m:oMath>
      </m:oMathPara>
    </w:p>
    <w:bookmarkEnd w:id="67"/>
    <w:bookmarkStart w:id="68" w:name="roc-auc"/>
    <w:p>
      <w:pPr>
        <w:pStyle w:val="Heading3"/>
      </w:pPr>
      <w:r>
        <w:t xml:space="preserve">6.6 ROC-AUC</w:t>
      </w:r>
    </w:p>
    <w:p>
      <w:pPr>
        <w:pStyle w:val="FirstParagraph"/>
      </w:pPr>
      <w:r>
        <w:t xml:space="preserve">The Area Under the Receiver Operating Characteristic Curve: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AUC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nor/>
                  <m:sty m:val="p"/>
                </m:rPr>
                <m:t>TPR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nor/>
            <m:sty m:val="p"/>
          </m:rPr>
          <m:t>TPR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  <m:r>
              <m:t>P</m:t>
            </m:r>
          </m:num>
          <m:den>
            <m:r>
              <m:t>T</m:t>
            </m:r>
            <m:r>
              <m:t>P</m:t>
            </m:r>
            <m:r>
              <m:rPr>
                <m:sty m:val="p"/>
              </m:rPr>
              <m:t>+</m:t>
            </m:r>
            <m:r>
              <m:t>F</m:t>
            </m:r>
            <m:r>
              <m:t>N</m:t>
            </m:r>
          </m:den>
        </m:f>
      </m:oMath>
      <w:r>
        <w:t xml:space="preserve"> </w:t>
      </w:r>
      <w:r>
        <w:t xml:space="preserve">(True Positive Rate)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nor/>
            <m:sty m:val="p"/>
          </m:rPr>
          <m:t>FPR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r>
              <m:t>P</m:t>
            </m:r>
          </m:num>
          <m:den>
            <m:r>
              <m:t>F</m:t>
            </m:r>
            <m:r>
              <m:t>P</m:t>
            </m:r>
            <m:r>
              <m:rPr>
                <m:sty m:val="p"/>
              </m:rPr>
              <m:t>+</m:t>
            </m:r>
            <m:r>
              <m:t>T</m:t>
            </m:r>
            <m:r>
              <m:t>N</m:t>
            </m:r>
          </m:den>
        </m:f>
      </m:oMath>
      <w:r>
        <w:t xml:space="preserve"> </w:t>
      </w:r>
      <w:r>
        <w:t xml:space="preserve">(False Positive Rate)</w:t>
      </w:r>
    </w:p>
    <w:bookmarkEnd w:id="68"/>
    <w:bookmarkStart w:id="69" w:name="average-precision"/>
    <w:p>
      <w:pPr>
        <w:pStyle w:val="Heading3"/>
      </w:pPr>
      <w:r>
        <w:t xml:space="preserve">6.7 Average Precision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AP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sSub>
            <m:e>
              <m:r>
                <m:t>P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precision and recall at threshold</w:t>
      </w:r>
      <w:r>
        <w:t xml:space="preserve"> </w:t>
      </w:r>
      <m:oMath>
        <m:r>
          <m:t>n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8" w:name="results-and-analysis"/>
    <w:p>
      <w:pPr>
        <w:pStyle w:val="Heading2"/>
      </w:pPr>
      <w:r>
        <w:t xml:space="preserve">7. Results and Analysis</w:t>
      </w:r>
    </w:p>
    <w:bookmarkStart w:id="74" w:name="model-performance-comparison"/>
    <w:p>
      <w:pPr>
        <w:pStyle w:val="Heading3"/>
      </w:pPr>
      <w:r>
        <w:t xml:space="preserve">7.1 Model Performance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F1-Score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0.5259</w:t>
            </w:r>
          </w:p>
        </w:tc>
        <w:tc>
          <w:tcPr/>
          <w:p>
            <w:pPr>
              <w:pStyle w:val="Compact"/>
            </w:pPr>
            <w:r>
              <w:t xml:space="preserve">0.4159</w:t>
            </w:r>
          </w:p>
        </w:tc>
        <w:tc>
          <w:tcPr/>
          <w:p>
            <w:pPr>
              <w:pStyle w:val="Compact"/>
            </w:pPr>
            <w:r>
              <w:t xml:space="preserve">0.5312</w:t>
            </w:r>
          </w:p>
        </w:tc>
        <w:tc>
          <w:tcPr/>
          <w:p>
            <w:pPr>
              <w:pStyle w:val="Compact"/>
            </w:pPr>
            <w:r>
              <w:t xml:space="preserve">0.4666</w:t>
            </w:r>
          </w:p>
        </w:tc>
        <w:tc>
          <w:tcPr/>
          <w:p>
            <w:pPr>
              <w:pStyle w:val="Compact"/>
            </w:pPr>
            <w:r>
              <w:t xml:space="preserve">0.5475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0.6585</w:t>
            </w:r>
          </w:p>
        </w:tc>
        <w:tc>
          <w:tcPr/>
          <w:p>
            <w:pPr>
              <w:pStyle w:val="Compact"/>
            </w:pPr>
            <w:r>
              <w:t xml:space="preserve">0.6311</w:t>
            </w:r>
          </w:p>
        </w:tc>
        <w:tc>
          <w:tcPr/>
          <w:p>
            <w:pPr>
              <w:pStyle w:val="Compact"/>
            </w:pPr>
            <w:r>
              <w:t xml:space="preserve">0.3008</w:t>
            </w:r>
          </w:p>
        </w:tc>
        <w:tc>
          <w:tcPr/>
          <w:p>
            <w:pPr>
              <w:pStyle w:val="Compact"/>
            </w:pPr>
            <w:r>
              <w:t xml:space="preserve">0.4074</w:t>
            </w:r>
          </w:p>
        </w:tc>
        <w:tc>
          <w:tcPr/>
          <w:p>
            <w:pPr>
              <w:pStyle w:val="Compact"/>
            </w:pPr>
            <w:r>
              <w:t xml:space="preserve">0.6407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0.6418</w:t>
            </w:r>
          </w:p>
        </w:tc>
        <w:tc>
          <w:tcPr/>
          <w:p>
            <w:pPr>
              <w:pStyle w:val="Compact"/>
            </w:pPr>
            <w:r>
              <w:t xml:space="preserve">0.5574</w:t>
            </w:r>
          </w:p>
        </w:tc>
        <w:tc>
          <w:tcPr/>
          <w:p>
            <w:pPr>
              <w:pStyle w:val="Compact"/>
            </w:pPr>
            <w:r>
              <w:t xml:space="preserve">0.3984</w:t>
            </w:r>
          </w:p>
        </w:tc>
        <w:tc>
          <w:tcPr/>
          <w:p>
            <w:pPr>
              <w:pStyle w:val="Compact"/>
            </w:pPr>
            <w:r>
              <w:t xml:space="preserve">0.4647</w:t>
            </w:r>
          </w:p>
        </w:tc>
        <w:tc>
          <w:tcPr/>
          <w:p>
            <w:pPr>
              <w:pStyle w:val="Compact"/>
            </w:pPr>
            <w:r>
              <w:t xml:space="preserve">0.6256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0.6540</w:t>
            </w:r>
          </w:p>
        </w:tc>
        <w:tc>
          <w:tcPr/>
          <w:p>
            <w:pPr>
              <w:pStyle w:val="Compact"/>
            </w:pPr>
            <w:r>
              <w:t xml:space="preserve">0.6000</w:t>
            </w:r>
          </w:p>
        </w:tc>
        <w:tc>
          <w:tcPr/>
          <w:p>
            <w:pPr>
              <w:pStyle w:val="Compact"/>
            </w:pPr>
            <w:r>
              <w:t xml:space="preserve">0.3398</w:t>
            </w:r>
          </w:p>
        </w:tc>
        <w:tc>
          <w:tcPr/>
          <w:p>
            <w:pPr>
              <w:pStyle w:val="Compact"/>
            </w:pPr>
            <w:r>
              <w:t xml:space="preserve">0.4339</w:t>
            </w:r>
          </w:p>
        </w:tc>
        <w:tc>
          <w:tcPr/>
          <w:p>
            <w:pPr>
              <w:pStyle w:val="Compact"/>
            </w:pPr>
            <w:r>
              <w:t xml:space="preserve">0.6512</w:t>
            </w:r>
          </w:p>
        </w:tc>
      </w:tr>
    </w:tbl>
    <w:p>
      <w:pPr>
        <w:pStyle w:val="CaptionedFigure"/>
      </w:pPr>
      <w:r>
        <w:drawing>
          <wp:inline>
            <wp:extent cx="5334000" cy="1878673"/>
            <wp:effectExtent b="0" l="0" r="0" t="0"/>
            <wp:docPr descr="Model Comparison" title="" id="72" name="Picture"/>
            <a:graphic>
              <a:graphicData uri="http://schemas.openxmlformats.org/drawingml/2006/picture">
                <pic:pic>
                  <pic:nvPicPr>
                    <pic:cNvPr descr="figures/07_model_compariso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8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Comparison</w:t>
      </w:r>
    </w:p>
    <w:p>
      <w:pPr>
        <w:pStyle w:val="BodyText"/>
      </w:pPr>
      <w:r>
        <w:rPr>
          <w:i/>
          <w:iCs/>
        </w:rPr>
        <w:t xml:space="preserve">Figure 7: Visual comparison of model performance metrics</w:t>
      </w:r>
    </w:p>
    <w:bookmarkEnd w:id="74"/>
    <w:bookmarkStart w:id="78" w:name="confusion-matrices"/>
    <w:p>
      <w:pPr>
        <w:pStyle w:val="Heading3"/>
      </w:pPr>
      <w:r>
        <w:t xml:space="preserve">7.2 Confusion Matrices</w:t>
      </w:r>
    </w:p>
    <w:p>
      <w:pPr>
        <w:pStyle w:val="CaptionedFigure"/>
      </w:pPr>
      <w:r>
        <w:drawing>
          <wp:inline>
            <wp:extent cx="5334000" cy="4514795"/>
            <wp:effectExtent b="0" l="0" r="0" t="0"/>
            <wp:docPr descr="Confusion Matrices" title="" id="76" name="Picture"/>
            <a:graphic>
              <a:graphicData uri="http://schemas.openxmlformats.org/drawingml/2006/picture">
                <pic:pic>
                  <pic:nvPicPr>
                    <pic:cNvPr descr="figures/08_confusion_matrices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4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 Matrices</w:t>
      </w:r>
    </w:p>
    <w:p>
      <w:pPr>
        <w:pStyle w:val="BodyText"/>
      </w:pPr>
      <w:r>
        <w:rPr>
          <w:i/>
          <w:iCs/>
        </w:rPr>
        <w:t xml:space="preserve">Figure 8: Confusion matrices for all four models</w:t>
      </w:r>
    </w:p>
    <w:bookmarkEnd w:id="78"/>
    <w:bookmarkStart w:id="82" w:name="roc-curves"/>
    <w:p>
      <w:pPr>
        <w:pStyle w:val="Heading3"/>
      </w:pPr>
      <w:r>
        <w:t xml:space="preserve">7.3 ROC Curves</w:t>
      </w:r>
    </w:p>
    <w:p>
      <w:pPr>
        <w:pStyle w:val="CaptionedFigure"/>
      </w:pPr>
      <w:r>
        <w:drawing>
          <wp:inline>
            <wp:extent cx="5334000" cy="4247044"/>
            <wp:effectExtent b="0" l="0" r="0" t="0"/>
            <wp:docPr descr="ROC Curves" title="" id="80" name="Picture"/>
            <a:graphic>
              <a:graphicData uri="http://schemas.openxmlformats.org/drawingml/2006/picture">
                <pic:pic>
                  <pic:nvPicPr>
                    <pic:cNvPr descr="figures/09_roc_curves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7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ROC Curves</w:t>
      </w:r>
    </w:p>
    <w:p>
      <w:pPr>
        <w:pStyle w:val="BodyText"/>
      </w:pPr>
      <w:r>
        <w:rPr>
          <w:i/>
          <w:iCs/>
        </w:rPr>
        <w:t xml:space="preserve">Figure 9: ROC curves comparing model discrimination ability</w:t>
      </w:r>
    </w:p>
    <w:bookmarkEnd w:id="82"/>
    <w:bookmarkStart w:id="86" w:name="precision-recall-curves"/>
    <w:p>
      <w:pPr>
        <w:pStyle w:val="Heading3"/>
      </w:pPr>
      <w:r>
        <w:t xml:space="preserve">7.4 Precision-Recall Curves</w:t>
      </w:r>
    </w:p>
    <w:p>
      <w:pPr>
        <w:pStyle w:val="CaptionedFigure"/>
      </w:pPr>
      <w:r>
        <w:drawing>
          <wp:inline>
            <wp:extent cx="5334000" cy="4247044"/>
            <wp:effectExtent b="0" l="0" r="0" t="0"/>
            <wp:docPr descr="Precision-Recall Curves" title="" id="84" name="Picture"/>
            <a:graphic>
              <a:graphicData uri="http://schemas.openxmlformats.org/drawingml/2006/picture">
                <pic:pic>
                  <pic:nvPicPr>
                    <pic:cNvPr descr="figures/10_precision_recall_curve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7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Precision-Recall Curves</w:t>
      </w:r>
    </w:p>
    <w:p>
      <w:pPr>
        <w:pStyle w:val="BodyText"/>
      </w:pPr>
      <w:r>
        <w:rPr>
          <w:i/>
          <w:iCs/>
        </w:rPr>
        <w:t xml:space="preserve">Figure 10: Precision-Recall curves for model comparison</w:t>
      </w:r>
    </w:p>
    <w:bookmarkEnd w:id="86"/>
    <w:bookmarkStart w:id="87" w:name="key-findings"/>
    <w:p>
      <w:pPr>
        <w:pStyle w:val="Heading3"/>
      </w:pPr>
      <w:r>
        <w:t xml:space="preserve">7.5 Key Findings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Best Overall Accuracy:</w:t>
      </w:r>
      <w:r>
        <w:t xml:space="preserve"> </w:t>
      </w:r>
      <w:r>
        <w:t xml:space="preserve">Random Forest (65.85%)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Best AUC Score:</w:t>
      </w:r>
      <w:r>
        <w:t xml:space="preserve"> </w:t>
      </w:r>
      <w:r>
        <w:t xml:space="preserve">LightGBM (0.6512)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Best Recall:</w:t>
      </w:r>
      <w:r>
        <w:t xml:space="preserve"> </w:t>
      </w:r>
      <w:r>
        <w:t xml:space="preserve">Logistic Regression (53.12%) - important for minimizing false negatives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Best Precision:</w:t>
      </w:r>
      <w:r>
        <w:t xml:space="preserve"> </w:t>
      </w:r>
      <w:r>
        <w:t xml:space="preserve">Random Forest (63.11%)</w:t>
      </w:r>
    </w:p>
    <w:p>
      <w:pPr>
        <w:pStyle w:val="FirstParagraph"/>
      </w:pPr>
      <w:r>
        <w:t xml:space="preserve">The class imbalance in the dataset (61% non-potable vs 39% potable) affects model performance. Using balanced class weights in Logistic Regression improved its recall significantly.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114" w:name="web-application-deployment"/>
    <w:p>
      <w:pPr>
        <w:pStyle w:val="Heading2"/>
      </w:pPr>
      <w:r>
        <w:t xml:space="preserve">8. Web Application Deployment</w:t>
      </w:r>
    </w:p>
    <w:p>
      <w:pPr>
        <w:pStyle w:val="FirstParagraph"/>
      </w:pPr>
      <w:r>
        <w:t xml:space="preserve">A Streamlit web application was developed and deployed for real-time water potability predictions.</w:t>
      </w:r>
    </w:p>
    <w:p>
      <w:pPr>
        <w:pStyle w:val="BodyText"/>
      </w:pPr>
      <w:r>
        <w:rPr>
          <w:b/>
          <w:bCs/>
        </w:rPr>
        <w:t xml:space="preserve">Live Application:</w:t>
      </w:r>
      <w:r>
        <w:t xml:space="preserve"> </w:t>
      </w:r>
      <w:hyperlink r:id="rId89">
        <w:r>
          <w:rPr>
            <w:rStyle w:val="Hyperlink"/>
          </w:rPr>
          <w:t xml:space="preserve">https://water-potability-prediction-ip-assignment.streamlit.app/</w:t>
        </w:r>
      </w:hyperlink>
    </w:p>
    <w:bookmarkStart w:id="93" w:name="application-home-page"/>
    <w:p>
      <w:pPr>
        <w:pStyle w:val="Heading3"/>
      </w:pPr>
      <w:r>
        <w:t xml:space="preserve">8.1 Application Home Page</w:t>
      </w:r>
    </w:p>
    <w:p>
      <w:pPr>
        <w:pStyle w:val="CaptionedFigure"/>
      </w:pPr>
      <w:r>
        <w:drawing>
          <wp:inline>
            <wp:extent cx="5334000" cy="4668539"/>
            <wp:effectExtent b="0" l="0" r="0" t="0"/>
            <wp:docPr descr="Streamlit Home Page" title="" id="91" name="Picture"/>
            <a:graphic>
              <a:graphicData uri="http://schemas.openxmlformats.org/drawingml/2006/picture">
                <pic:pic>
                  <pic:nvPicPr>
                    <pic:cNvPr descr="figures/streamlit_01_home_pag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8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Streamlit Home Page</w:t>
      </w:r>
    </w:p>
    <w:p>
      <w:pPr>
        <w:pStyle w:val="BodyText"/>
      </w:pPr>
      <w:r>
        <w:rPr>
          <w:i/>
          <w:iCs/>
        </w:rPr>
        <w:t xml:space="preserve">Figure 11: Home page of the Water Potability Prediction application</w:t>
      </w:r>
    </w:p>
    <w:bookmarkEnd w:id="93"/>
    <w:bookmarkStart w:id="97" w:name="data-exploration-features"/>
    <w:p>
      <w:pPr>
        <w:pStyle w:val="Heading3"/>
      </w:pPr>
      <w:r>
        <w:t xml:space="preserve">8.2 Data Exploration Features</w:t>
      </w:r>
    </w:p>
    <w:p>
      <w:pPr>
        <w:pStyle w:val="FirstParagraph"/>
      </w:pPr>
      <w:r>
        <w:t xml:space="preserve">The application provides interactive data exploration capabilities:</w:t>
      </w:r>
    </w:p>
    <w:p>
      <w:pPr>
        <w:pStyle w:val="CaptionedFigure"/>
      </w:pPr>
      <w:r>
        <w:drawing>
          <wp:inline>
            <wp:extent cx="5334000" cy="4668539"/>
            <wp:effectExtent b="0" l="0" r="0" t="0"/>
            <wp:docPr descr="Data Distributions" title="" id="95" name="Picture"/>
            <a:graphic>
              <a:graphicData uri="http://schemas.openxmlformats.org/drawingml/2006/picture">
                <pic:pic>
                  <pic:nvPicPr>
                    <pic:cNvPr descr="figures/streamlit_02_data_distribution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8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Distributions</w:t>
      </w:r>
    </w:p>
    <w:p>
      <w:pPr>
        <w:pStyle w:val="BodyText"/>
      </w:pPr>
      <w:r>
        <w:rPr>
          <w:i/>
          <w:iCs/>
        </w:rPr>
        <w:t xml:space="preserve">Figure 12: Interactive data distribution visualizations</w:t>
      </w:r>
    </w:p>
    <w:bookmarkEnd w:id="97"/>
    <w:bookmarkStart w:id="101" w:name="model-training-interface"/>
    <w:p>
      <w:pPr>
        <w:pStyle w:val="Heading3"/>
      </w:pPr>
      <w:r>
        <w:t xml:space="preserve">8.3 Model Training Interface</w:t>
      </w:r>
    </w:p>
    <w:p>
      <w:pPr>
        <w:pStyle w:val="CaptionedFigure"/>
      </w:pPr>
      <w:r>
        <w:drawing>
          <wp:inline>
            <wp:extent cx="5334000" cy="4668539"/>
            <wp:effectExtent b="0" l="0" r="0" t="0"/>
            <wp:docPr descr="Model Training" title="" id="99" name="Picture"/>
            <a:graphic>
              <a:graphicData uri="http://schemas.openxmlformats.org/drawingml/2006/picture">
                <pic:pic>
                  <pic:nvPicPr>
                    <pic:cNvPr descr="figures/streamlit_04_model_training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8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Training</w:t>
      </w:r>
    </w:p>
    <w:p>
      <w:pPr>
        <w:pStyle w:val="BodyText"/>
      </w:pPr>
      <w:r>
        <w:rPr>
          <w:i/>
          <w:iCs/>
        </w:rPr>
        <w:t xml:space="preserve">Figure 13: Model training and evaluation interface</w:t>
      </w:r>
    </w:p>
    <w:bookmarkEnd w:id="101"/>
    <w:bookmarkStart w:id="105" w:name="model-comparison-dashboard"/>
    <w:p>
      <w:pPr>
        <w:pStyle w:val="Heading3"/>
      </w:pPr>
      <w:r>
        <w:t xml:space="preserve">8.4 Model Comparison Dashboard</w:t>
      </w:r>
    </w:p>
    <w:p>
      <w:pPr>
        <w:pStyle w:val="CaptionedFigure"/>
      </w:pPr>
      <w:r>
        <w:drawing>
          <wp:inline>
            <wp:extent cx="5334000" cy="4668539"/>
            <wp:effectExtent b="0" l="0" r="0" t="0"/>
            <wp:docPr descr="Model Comparison Dashboard" title="" id="103" name="Picture"/>
            <a:graphic>
              <a:graphicData uri="http://schemas.openxmlformats.org/drawingml/2006/picture">
                <pic:pic>
                  <pic:nvPicPr>
                    <pic:cNvPr descr="figures/streamlit_05_model_comparison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8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Comparison Dashboard</w:t>
      </w:r>
    </w:p>
    <w:p>
      <w:pPr>
        <w:pStyle w:val="BodyText"/>
      </w:pPr>
      <w:r>
        <w:rPr>
          <w:i/>
          <w:iCs/>
        </w:rPr>
        <w:t xml:space="preserve">Figure 14: Dashboard comparing all trained models</w:t>
      </w:r>
    </w:p>
    <w:bookmarkEnd w:id="105"/>
    <w:bookmarkStart w:id="109" w:name="prediction-interface"/>
    <w:p>
      <w:pPr>
        <w:pStyle w:val="Heading3"/>
      </w:pPr>
      <w:r>
        <w:t xml:space="preserve">8.5 Prediction Interface</w:t>
      </w:r>
    </w:p>
    <w:p>
      <w:pPr>
        <w:pStyle w:val="FirstParagraph"/>
      </w:pPr>
      <w:r>
        <w:t xml:space="preserve">Users can input water quality parameters to get predictions:</w:t>
      </w:r>
    </w:p>
    <w:p>
      <w:pPr>
        <w:pStyle w:val="CaptionedFigure"/>
      </w:pPr>
      <w:r>
        <w:drawing>
          <wp:inline>
            <wp:extent cx="5334000" cy="4668539"/>
            <wp:effectExtent b="0" l="0" r="0" t="0"/>
            <wp:docPr descr="Prediction Page" title="" id="107" name="Picture"/>
            <a:graphic>
              <a:graphicData uri="http://schemas.openxmlformats.org/drawingml/2006/picture">
                <pic:pic>
                  <pic:nvPicPr>
                    <pic:cNvPr descr="figures/streamlit_06_prediction_page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8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Prediction Page</w:t>
      </w:r>
    </w:p>
    <w:p>
      <w:pPr>
        <w:pStyle w:val="BodyText"/>
      </w:pPr>
      <w:r>
        <w:rPr>
          <w:i/>
          <w:iCs/>
        </w:rPr>
        <w:t xml:space="preserve">Figure 15: Prediction input interface</w:t>
      </w:r>
    </w:p>
    <w:bookmarkEnd w:id="109"/>
    <w:bookmarkStart w:id="113" w:name="prediction-results"/>
    <w:p>
      <w:pPr>
        <w:pStyle w:val="Heading3"/>
      </w:pPr>
      <w:r>
        <w:t xml:space="preserve">8.6 Prediction Results</w:t>
      </w:r>
    </w:p>
    <w:p>
      <w:pPr>
        <w:pStyle w:val="CaptionedFigure"/>
      </w:pPr>
      <w:r>
        <w:drawing>
          <wp:inline>
            <wp:extent cx="5334000" cy="4668539"/>
            <wp:effectExtent b="0" l="0" r="0" t="0"/>
            <wp:docPr descr="Prediction Result" title="" id="111" name="Picture"/>
            <a:graphic>
              <a:graphicData uri="http://schemas.openxmlformats.org/drawingml/2006/picture">
                <pic:pic>
                  <pic:nvPicPr>
                    <pic:cNvPr descr="figures/streamlit_07_prediction_result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8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Prediction Result</w:t>
      </w:r>
    </w:p>
    <w:p>
      <w:pPr>
        <w:pStyle w:val="BodyText"/>
      </w:pPr>
      <w:r>
        <w:rPr>
          <w:i/>
          <w:iCs/>
        </w:rPr>
        <w:t xml:space="preserve">Figure 16: Sample prediction result showing water potability assessment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conclusions"/>
    <w:p>
      <w:pPr>
        <w:pStyle w:val="Heading2"/>
      </w:pPr>
      <w:r>
        <w:t xml:space="preserve">9. Conclusions</w:t>
      </w:r>
    </w:p>
    <w:bookmarkStart w:id="115" w:name="summary"/>
    <w:p>
      <w:pPr>
        <w:pStyle w:val="Heading3"/>
      </w:pPr>
      <w:r>
        <w:t xml:space="preserve">9.1 Summary</w:t>
      </w:r>
    </w:p>
    <w:p>
      <w:pPr>
        <w:pStyle w:val="FirstParagraph"/>
      </w:pPr>
      <w:r>
        <w:t xml:space="preserve">This project successfully developed and deployed a machine learning system for water potability prediction. Key achievements include: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Comprehensive EDA:</w:t>
      </w:r>
      <w:r>
        <w:t xml:space="preserve"> </w:t>
      </w:r>
      <w:r>
        <w:t xml:space="preserve">Identified data patterns, missing values, and class imbalance issues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Multiple Model Comparison:</w:t>
      </w:r>
      <w:r>
        <w:t xml:space="preserve"> </w:t>
      </w:r>
      <w:r>
        <w:t xml:space="preserve">Evaluated four different classification algorithms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Mathematical Foundation:</w:t>
      </w:r>
      <w:r>
        <w:t xml:space="preserve"> </w:t>
      </w:r>
      <w:r>
        <w:t xml:space="preserve">Provided detailed mathematical formulations for each algorithm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Web Deployment:</w:t>
      </w:r>
      <w:r>
        <w:t xml:space="preserve"> </w:t>
      </w:r>
      <w:r>
        <w:t xml:space="preserve">Created an accessible web application for real-time predictions</w:t>
      </w:r>
    </w:p>
    <w:bookmarkEnd w:id="115"/>
    <w:bookmarkStart w:id="116" w:name="recommendations"/>
    <w:p>
      <w:pPr>
        <w:pStyle w:val="Heading3"/>
      </w:pPr>
      <w:r>
        <w:t xml:space="preserve">9.2 Recommendations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Collect More Data:</w:t>
      </w:r>
      <w:r>
        <w:t xml:space="preserve"> </w:t>
      </w:r>
      <w:r>
        <w:t xml:space="preserve">Additional samples, especially potable water samples, would help address class imbalance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Feature Engineering:</w:t>
      </w:r>
      <w:r>
        <w:t xml:space="preserve"> </w:t>
      </w:r>
      <w:r>
        <w:t xml:space="preserve">Domain-specific features combining multiple water quality parameters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Ensemble Methods:</w:t>
      </w:r>
      <w:r>
        <w:t xml:space="preserve"> </w:t>
      </w:r>
      <w:r>
        <w:t xml:space="preserve">Combining multiple models could improve prediction accuracy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Threshold Optimization:</w:t>
      </w:r>
      <w:r>
        <w:t xml:space="preserve"> </w:t>
      </w:r>
      <w:r>
        <w:t xml:space="preserve">Adjusting classification thresholds based on cost-sensitivity analysis</w:t>
      </w:r>
    </w:p>
    <w:bookmarkEnd w:id="116"/>
    <w:bookmarkStart w:id="117" w:name="future-work"/>
    <w:p>
      <w:pPr>
        <w:pStyle w:val="Heading3"/>
      </w:pPr>
      <w:r>
        <w:t xml:space="preserve">9.3 Future Work</w:t>
      </w:r>
    </w:p>
    <w:p>
      <w:pPr>
        <w:pStyle w:val="Compact"/>
        <w:numPr>
          <w:ilvl w:val="0"/>
          <w:numId w:val="1007"/>
        </w:numPr>
      </w:pPr>
      <w:r>
        <w:t xml:space="preserve">Implement deep learning approaches (Neural Networks)</w:t>
      </w:r>
    </w:p>
    <w:p>
      <w:pPr>
        <w:pStyle w:val="Compact"/>
        <w:numPr>
          <w:ilvl w:val="0"/>
          <w:numId w:val="1007"/>
        </w:numPr>
      </w:pPr>
      <w:r>
        <w:t xml:space="preserve">Add time-series analysis for water quality monitoring</w:t>
      </w:r>
    </w:p>
    <w:p>
      <w:pPr>
        <w:pStyle w:val="Compact"/>
        <w:numPr>
          <w:ilvl w:val="0"/>
          <w:numId w:val="1007"/>
        </w:numPr>
      </w:pPr>
      <w:r>
        <w:t xml:space="preserve">Integrate IoT sensors for real-time data collection</w:t>
      </w:r>
    </w:p>
    <w:p>
      <w:pPr>
        <w:pStyle w:val="Compact"/>
        <w:numPr>
          <w:ilvl w:val="0"/>
          <w:numId w:val="1007"/>
        </w:numPr>
      </w:pPr>
      <w:r>
        <w:t xml:space="preserve">Develop a mobile application for field testing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0" w:name="references"/>
    <w:p>
      <w:pPr>
        <w:pStyle w:val="Heading2"/>
      </w:pPr>
      <w:r>
        <w:t xml:space="preserve">10. References</w:t>
      </w:r>
    </w:p>
    <w:p>
      <w:pPr>
        <w:pStyle w:val="Compact"/>
        <w:numPr>
          <w:ilvl w:val="0"/>
          <w:numId w:val="1008"/>
        </w:numPr>
      </w:pPr>
      <w:r>
        <w:t xml:space="preserve">Breiman, L. (2001). Random Forests. Machine Learning, 45(1), 5-32.</w:t>
      </w:r>
    </w:p>
    <w:p>
      <w:pPr>
        <w:pStyle w:val="Compact"/>
        <w:numPr>
          <w:ilvl w:val="0"/>
          <w:numId w:val="1008"/>
        </w:numPr>
      </w:pPr>
      <w:r>
        <w:t xml:space="preserve">Chen, T., &amp; Guestrin, C. (2016). XGBoost: A Scalable Tree Boosting System. KDD ’16.</w:t>
      </w:r>
    </w:p>
    <w:p>
      <w:pPr>
        <w:pStyle w:val="Compact"/>
        <w:numPr>
          <w:ilvl w:val="0"/>
          <w:numId w:val="1008"/>
        </w:numPr>
      </w:pPr>
      <w:r>
        <w:t xml:space="preserve">Ke, G., et al. (2017). LightGBM: A Highly Efficient Gradient Boosting Decision Tree. NIPS.</w:t>
      </w:r>
    </w:p>
    <w:p>
      <w:pPr>
        <w:pStyle w:val="Compact"/>
        <w:numPr>
          <w:ilvl w:val="0"/>
          <w:numId w:val="1008"/>
        </w:numPr>
      </w:pPr>
      <w:r>
        <w:t xml:space="preserve">World Health Organization. (2017). Guidelines for Drinking-water Quality.</w:t>
      </w:r>
    </w:p>
    <w:p>
      <w:pPr>
        <w:pStyle w:val="Compact"/>
        <w:numPr>
          <w:ilvl w:val="0"/>
          <w:numId w:val="1008"/>
        </w:numPr>
      </w:pPr>
      <w:r>
        <w:t xml:space="preserve">Hosmer, D. W., Lemeshow, S., &amp; Sturdivant, R. X. (2013). Applied Logistic Regression.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GitHub Repository:</w:t>
      </w:r>
      <w:r>
        <w:t xml:space="preserve"> </w:t>
      </w:r>
      <w:hyperlink r:id="rId119">
        <w:r>
          <w:rPr>
            <w:rStyle w:val="Hyperlink"/>
          </w:rPr>
          <w:t xml:space="preserve">https://github.com/sohaib3335/water-potability-prediction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generated as part of MSc Computing Independent Project</w:t>
      </w:r>
      <w:r>
        <w:br/>
      </w:r>
      <w:r>
        <w:rPr>
          <w:i/>
          <w:iCs/>
        </w:rPr>
        <w:t xml:space="preserve">Author: Sohaib Farooq | Email: sohaib.farooq@bigacademy.com</w:t>
      </w:r>
    </w:p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47" Target="media/rId4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1" Target="media/rId21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hyperlink" Id="rId119" Target="https://github.com/sohaib3335/water-potability-prediction" TargetMode="External" /><Relationship Type="http://schemas.openxmlformats.org/officeDocument/2006/relationships/hyperlink" Id="rId89" Target="https://water-potability-prediction-ip-assignment.streamlit.ap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9" Target="https://github.com/sohaib3335/water-potability-prediction" TargetMode="External" /><Relationship Type="http://schemas.openxmlformats.org/officeDocument/2006/relationships/hyperlink" Id="rId89" Target="https://water-potability-prediction-ip-assignment.streamlit.ap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2026-01-03T14:54:34Z</dcterms:created>
  <dcterms:modified xsi:type="dcterms:W3CDTF">2026-01-03T14:54:34Z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