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+ Vite</w:t>
      </w:r>
    </w:p>
    <w:p>
      <w:r>
        <w:t>This template provides a minimal setup to get React working in Vite with HMR and some ESLint rules.</w:t>
      </w:r>
    </w:p>
    <w:p>
      <w:r>
        <w:t>Currently, two official plugins are available:</w:t>
      </w:r>
    </w:p>
    <w:p>
      <w:pPr>
        <w:pStyle w:val="ListBullet"/>
      </w:pPr>
      <w:r>
        <w:t>[@vitejs/plugin-react](https://github.com/vitejs/vite-plugin-react/blob/main/packages/plugin-react) uses [Oxc](https://oxc.rs)</w:t>
      </w:r>
    </w:p>
    <w:p>
      <w:pPr>
        <w:pStyle w:val="ListBullet"/>
      </w:pPr>
      <w:r>
        <w:t>[@vitejs/plugin-react-swc](https://github.com/vitejs/vite-plugin-react/blob/main/packages/plugin-react-swc) uses [SWC](https://swc.rs/)</w:t>
      </w:r>
    </w:p>
    <w:p>
      <w:pPr>
        <w:pStyle w:val="Heading2"/>
      </w:pPr>
      <w:r>
        <w:t>React Compiler</w:t>
      </w:r>
    </w:p>
    <w:p>
      <w:r>
        <w:t>The React Compiler is not enabled on this template because of its impact on dev &amp; build performances. To add it, see [this documentation](https://react.dev/learn/react-compiler/installation).</w:t>
      </w:r>
    </w:p>
    <w:p>
      <w:pPr>
        <w:pStyle w:val="Heading2"/>
      </w:pPr>
      <w:r>
        <w:t>Expanding the ESLint configuration</w:t>
      </w:r>
    </w:p>
    <w:p>
      <w:r>
        <w:t>If you are developing a production application, we recommend using TypeScript with type-aware lint rules enabled. Check out the [TS template](https://github.com/vitejs/vite/tree/main/packages/create-vite/template-react-ts) for information on how to integrate TypeScript and [`typescript-eslint`](https://typescript-eslint.io) in your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