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91D5E">
      <w:pPr>
        <w:bidi/>
        <w:ind w:left="0" w:right="0"/>
        <w:jc w:val="both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تعليمات</w:t>
      </w:r>
      <w:r>
        <w:rPr>
          <w:rFonts w:cs="Simplified Arabic"/>
          <w:b/>
          <w:bCs/>
        </w:rPr>
        <w:t xml:space="preserve"> </w:t>
      </w:r>
      <w:r>
        <w:rPr>
          <w:rFonts w:hint="cs" w:cs="Simplified Arabic"/>
          <w:b/>
          <w:bCs/>
          <w:rtl/>
        </w:rPr>
        <w:t xml:space="preserve"> وزير العمل رقم (3) لسنة 2005 م</w:t>
      </w:r>
    </w:p>
    <w:p w14:paraId="0EC4B4AC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بحدود الجرعة السنوية القصوى المسموح التعرض لها</w:t>
      </w:r>
    </w:p>
    <w:p w14:paraId="2E6A60F4">
      <w:pPr>
        <w:tabs>
          <w:tab w:val="left" w:pos="2940"/>
        </w:tabs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للعاملين في مجال الأشعة المؤينة</w:t>
      </w:r>
      <w:r>
        <w:rPr>
          <w:rFonts w:cs="Simplified Arabic"/>
          <w:b/>
          <w:bCs/>
          <w:rtl/>
        </w:rPr>
        <w:tab/>
      </w:r>
    </w:p>
    <w:p w14:paraId="7FD56B71">
      <w:pPr>
        <w:bidi/>
        <w:ind w:left="0" w:right="0"/>
        <w:jc w:val="both"/>
        <w:rPr>
          <w:rFonts w:hint="cs" w:cs="Simplified Arabic"/>
          <w:rtl/>
        </w:rPr>
      </w:pPr>
    </w:p>
    <w:p w14:paraId="16B54FF3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وزير العمل </w:t>
      </w:r>
    </w:p>
    <w:p w14:paraId="23952231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بعد الاطلاع على قانون العمل رقم 7 لسنة 2000م</w:t>
      </w:r>
    </w:p>
    <w:p w14:paraId="19721D91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وعلى قرار مجلس الوزراء رقم (49) لسنة 2004 بلائحة الوقاية للعاملين من أخطار العمل</w:t>
      </w:r>
    </w:p>
    <w:p w14:paraId="5950973C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وأمراض المهنة</w:t>
      </w:r>
    </w:p>
    <w:p w14:paraId="76327553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وبناءً على مقتضيات المصلحة العامة،</w:t>
      </w:r>
    </w:p>
    <w:p w14:paraId="362D5BB4">
      <w:pPr>
        <w:bidi/>
        <w:ind w:left="0" w:right="0"/>
        <w:jc w:val="both"/>
        <w:rPr>
          <w:rFonts w:hint="cs" w:cs="Simplified Arabic"/>
          <w:rtl/>
        </w:rPr>
      </w:pPr>
    </w:p>
    <w:p w14:paraId="2E18A826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قررنا التعليمات التالية:</w:t>
      </w:r>
    </w:p>
    <w:p w14:paraId="2E872344">
      <w:pPr>
        <w:bidi/>
        <w:ind w:left="0" w:right="0"/>
        <w:jc w:val="both"/>
        <w:rPr>
          <w:rFonts w:hint="cs" w:cs="Simplified Arabic"/>
          <w:rtl/>
        </w:rPr>
      </w:pPr>
    </w:p>
    <w:p w14:paraId="407F8333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708A2D00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تكون حدود الجرعة السنوية القصوى </w:t>
      </w:r>
      <w:r>
        <w:rPr>
          <w:rFonts w:cs="Simplified Arabic"/>
        </w:rPr>
        <w:t>(mSv)</w:t>
      </w:r>
      <w:r>
        <w:rPr>
          <w:rFonts w:hint="cs" w:cs="Simplified Arabic"/>
          <w:rtl/>
        </w:rPr>
        <w:t xml:space="preserve"> (ميلي سيفرت) المسموح التعرض لها للعاملين في مجال الأشعة المؤينة وفق ما هو مبين في الجدول المرفق.</w:t>
      </w:r>
    </w:p>
    <w:p w14:paraId="01C260E8">
      <w:pPr>
        <w:bidi/>
        <w:ind w:left="0" w:right="0"/>
        <w:jc w:val="both"/>
        <w:rPr>
          <w:rFonts w:hint="cs" w:cs="Simplified Arabic"/>
          <w:rtl/>
        </w:rPr>
      </w:pPr>
    </w:p>
    <w:p w14:paraId="5F19ECB5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61F16656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تكون حدود الجرعة السنيوة القصوى </w:t>
      </w:r>
      <w:r>
        <w:rPr>
          <w:rFonts w:cs="Simplified Arabic"/>
        </w:rPr>
        <w:t>(mSv)</w:t>
      </w:r>
      <w:r>
        <w:rPr>
          <w:rFonts w:hint="cs" w:cs="Simplified Arabic"/>
          <w:rtl/>
        </w:rPr>
        <w:t xml:space="preserve"> (ميلي سيفرت) المسموح التعرض بالنسبة للنساء الحوامل </w:t>
      </w:r>
      <w:r>
        <w:rPr>
          <w:rFonts w:cs="Simplified Arabic"/>
        </w:rPr>
        <w:t>(10 mSv)</w:t>
      </w:r>
      <w:r>
        <w:rPr>
          <w:rFonts w:hint="cs" w:cs="Simplified Arabic"/>
          <w:rtl/>
        </w:rPr>
        <w:t xml:space="preserve"> طوال فترة الحمل على جرعات بمعدل </w:t>
      </w:r>
      <w:r>
        <w:rPr>
          <w:rFonts w:cs="Simplified Arabic"/>
        </w:rPr>
        <w:t>(1 mSv)</w:t>
      </w:r>
      <w:r>
        <w:rPr>
          <w:rFonts w:hint="cs" w:cs="Simplified Arabic"/>
          <w:rtl/>
        </w:rPr>
        <w:t xml:space="preserve"> في الشهر.</w:t>
      </w:r>
    </w:p>
    <w:p w14:paraId="422A5CED">
      <w:pPr>
        <w:bidi/>
        <w:ind w:left="0" w:right="0"/>
        <w:jc w:val="both"/>
        <w:rPr>
          <w:rFonts w:hint="cs" w:cs="Simplified Arabic"/>
          <w:rtl/>
        </w:rPr>
      </w:pPr>
    </w:p>
    <w:p w14:paraId="39FD8997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0E2DA1C0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في التعرضات الشاذة وحالات الطوارئ بالنسبة للأفراد العاملين في التدخل وفي الظروف التي تتطلب إنقاذ الغير يكون التعرض </w:t>
      </w:r>
      <w:r>
        <w:rPr>
          <w:rFonts w:cs="Simplified Arabic"/>
        </w:rPr>
        <w:t xml:space="preserve">(100 mSv) </w:t>
      </w:r>
      <w:r>
        <w:rPr>
          <w:rFonts w:hint="cs" w:cs="Simplified Arabic"/>
          <w:rtl/>
        </w:rPr>
        <w:t xml:space="preserve"> مع تحديد </w:t>
      </w:r>
      <w:r>
        <w:rPr>
          <w:rFonts w:cs="Simplified Arabic"/>
        </w:rPr>
        <w:t xml:space="preserve">(250 mSv) </w:t>
      </w:r>
      <w:r>
        <w:rPr>
          <w:rFonts w:hint="cs" w:cs="Simplified Arabic"/>
          <w:rtl/>
        </w:rPr>
        <w:t xml:space="preserve"> لفترة الحياة.</w:t>
      </w:r>
    </w:p>
    <w:p w14:paraId="02D81FA1">
      <w:pPr>
        <w:bidi/>
        <w:ind w:left="0" w:right="0"/>
        <w:jc w:val="both"/>
        <w:rPr>
          <w:rFonts w:hint="cs" w:cs="Simplified Arabic"/>
          <w:rtl/>
        </w:rPr>
      </w:pPr>
    </w:p>
    <w:p w14:paraId="7195D21D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14609CBA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يلغى كل ما يخالف هذه التعليمات</w:t>
      </w:r>
    </w:p>
    <w:p w14:paraId="4FBB1E0E">
      <w:pPr>
        <w:bidi/>
        <w:ind w:left="0" w:right="0"/>
        <w:jc w:val="both"/>
        <w:rPr>
          <w:rFonts w:hint="cs" w:cs="Simplified Arabic"/>
          <w:rtl/>
        </w:rPr>
      </w:pPr>
    </w:p>
    <w:p w14:paraId="7B05D258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مادة (5)</w:t>
      </w:r>
    </w:p>
    <w:p w14:paraId="16FA47C3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على جميع الجهات المختصة- كل فيما يخصه- تنفيذ هذه التعليمات، ويعمل بها من تاريخ نشرها في الجريدة الرسمية.</w:t>
      </w:r>
    </w:p>
    <w:p w14:paraId="027CE3D1">
      <w:pPr>
        <w:bidi/>
        <w:ind w:left="0" w:right="0"/>
        <w:jc w:val="both"/>
        <w:rPr>
          <w:rFonts w:hint="cs" w:cs="Simplified Arabic"/>
          <w:rtl/>
        </w:rPr>
      </w:pPr>
    </w:p>
    <w:p w14:paraId="6DFBC52F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صدرت بتاريخ : 20/2/2005 ميلادية</w:t>
      </w:r>
    </w:p>
    <w:p w14:paraId="218E9F4C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 11/1/1426</w:t>
      </w:r>
    </w:p>
    <w:p w14:paraId="7BD3C531">
      <w:pPr>
        <w:bidi/>
        <w:ind w:left="0" w:right="0"/>
        <w:jc w:val="both"/>
        <w:rPr>
          <w:rFonts w:hint="cs" w:cs="Simplified Arabic"/>
          <w:rtl/>
        </w:rPr>
      </w:pPr>
    </w:p>
    <w:p w14:paraId="59DD4FD5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غسان الخطيب </w:t>
      </w:r>
    </w:p>
    <w:p w14:paraId="560AD52C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67F69CBE">
      <w:pPr>
        <w:bidi/>
        <w:ind w:left="0" w:right="0"/>
        <w:jc w:val="both"/>
        <w:rPr>
          <w:rFonts w:hint="cs" w:cs="Simplified Arabic"/>
          <w:rtl/>
        </w:rPr>
      </w:pPr>
    </w:p>
    <w:p w14:paraId="1A9B45A2">
      <w:pPr>
        <w:bidi/>
        <w:ind w:left="0" w:right="0"/>
        <w:jc w:val="both"/>
        <w:rPr>
          <w:rFonts w:hint="cs" w:cs="Simplified Arabic"/>
          <w:rtl/>
        </w:rPr>
      </w:pPr>
    </w:p>
    <w:p w14:paraId="37B3AE7A">
      <w:pPr>
        <w:bidi/>
        <w:ind w:left="0" w:right="0"/>
        <w:jc w:val="both"/>
        <w:rPr>
          <w:rFonts w:hint="cs" w:cs="Simplified Arabic"/>
          <w:rtl/>
        </w:rPr>
      </w:pPr>
    </w:p>
    <w:p w14:paraId="7ED23CC3">
      <w:pPr>
        <w:bidi/>
        <w:ind w:left="0" w:right="0"/>
        <w:jc w:val="both"/>
        <w:rPr>
          <w:rFonts w:hint="cs" w:cs="Simplified Arabic"/>
          <w:rtl/>
        </w:rPr>
      </w:pPr>
    </w:p>
    <w:p w14:paraId="119C4E47">
      <w:pPr>
        <w:bidi/>
        <w:ind w:left="0" w:right="0"/>
        <w:jc w:val="both"/>
        <w:rPr>
          <w:rFonts w:hint="cs" w:cs="Simplified Arabic"/>
          <w:rtl/>
        </w:rPr>
      </w:pPr>
    </w:p>
    <w:p w14:paraId="73894FF4">
      <w:pPr>
        <w:bidi/>
        <w:ind w:left="0" w:right="0"/>
        <w:jc w:val="both"/>
        <w:rPr>
          <w:rFonts w:hint="cs" w:cs="Simplified Arabic"/>
          <w:rtl/>
        </w:rPr>
      </w:pPr>
    </w:p>
    <w:p w14:paraId="0F37C425">
      <w:pPr>
        <w:bidi/>
        <w:ind w:left="0" w:right="0"/>
        <w:jc w:val="both"/>
        <w:rPr>
          <w:rFonts w:hint="cs" w:cs="Simplified Arabic"/>
          <w:rtl/>
        </w:rPr>
      </w:pPr>
    </w:p>
    <w:p w14:paraId="57997F9C">
      <w:pPr>
        <w:bidi/>
        <w:ind w:left="0" w:right="0"/>
        <w:jc w:val="both"/>
        <w:rPr>
          <w:rFonts w:hint="cs" w:cs="Simplified Arabic"/>
          <w:rtl/>
        </w:rPr>
      </w:pPr>
    </w:p>
    <w:p w14:paraId="7F402E68">
      <w:pPr>
        <w:bidi/>
        <w:ind w:left="0" w:right="0"/>
        <w:jc w:val="both"/>
        <w:rPr>
          <w:rFonts w:hint="cs" w:cs="Simplified Arabic"/>
          <w:rtl/>
        </w:rPr>
      </w:pPr>
    </w:p>
    <w:p w14:paraId="4EF4518B">
      <w:pPr>
        <w:bidi/>
        <w:ind w:left="0" w:right="0"/>
        <w:jc w:val="both"/>
        <w:rPr>
          <w:rFonts w:hint="cs" w:cs="Simplified Arabic"/>
          <w:rtl/>
        </w:rPr>
      </w:pPr>
    </w:p>
    <w:p w14:paraId="5A4E48CD">
      <w:pPr>
        <w:bidi/>
        <w:ind w:left="0" w:right="0"/>
        <w:jc w:val="both"/>
        <w:rPr>
          <w:rFonts w:hint="cs" w:cs="Simplified Arabic"/>
          <w:rtl/>
        </w:rPr>
      </w:pPr>
    </w:p>
    <w:p w14:paraId="0B6EEDCB">
      <w:pPr>
        <w:bidi/>
        <w:ind w:left="0" w:right="0"/>
        <w:jc w:val="both"/>
        <w:rPr>
          <w:rFonts w:hint="cs" w:cs="Simplified Arabic"/>
          <w:rtl/>
        </w:rPr>
      </w:pPr>
    </w:p>
    <w:p w14:paraId="6EE8C31F">
      <w:pPr>
        <w:bidi/>
        <w:ind w:left="0" w:right="0"/>
        <w:jc w:val="both"/>
        <w:rPr>
          <w:rFonts w:hint="cs" w:cs="Simplified Arabic"/>
          <w:rtl/>
        </w:rPr>
      </w:pPr>
    </w:p>
    <w:p w14:paraId="10594C6B">
      <w:pPr>
        <w:bidi/>
        <w:ind w:left="0" w:right="0"/>
        <w:jc w:val="both"/>
        <w:rPr>
          <w:rFonts w:hint="cs" w:cs="Simplified Arabic"/>
          <w:rtl/>
        </w:rPr>
      </w:pPr>
    </w:p>
    <w:p w14:paraId="3DF484BE">
      <w:pPr>
        <w:bidi/>
        <w:ind w:left="0" w:right="0"/>
        <w:jc w:val="both"/>
        <w:rPr>
          <w:rFonts w:hint="cs" w:cs="Simplified Arabic"/>
          <w:rtl/>
        </w:rPr>
      </w:pPr>
    </w:p>
    <w:p w14:paraId="703A21EA">
      <w:pPr>
        <w:bidi/>
        <w:ind w:left="0" w:right="0"/>
        <w:jc w:val="both"/>
        <w:rPr>
          <w:rFonts w:hint="cs" w:cs="Simplified Arabic"/>
          <w:rtl/>
        </w:rPr>
      </w:pPr>
    </w:p>
    <w:p w14:paraId="01C2B4BC">
      <w:pPr>
        <w:bidi/>
        <w:ind w:left="0" w:right="0"/>
        <w:jc w:val="both"/>
        <w:rPr>
          <w:rFonts w:hint="cs" w:cs="Simplified Arabic"/>
          <w:rtl/>
        </w:rPr>
      </w:pPr>
    </w:p>
    <w:p w14:paraId="79788983">
      <w:pPr>
        <w:bidi/>
        <w:ind w:left="0" w:right="0"/>
        <w:jc w:val="both"/>
        <w:rPr>
          <w:rFonts w:hint="cs" w:cs="Simplified Arabic"/>
          <w:rtl/>
        </w:rPr>
      </w:pPr>
    </w:p>
    <w:p w14:paraId="191AA022">
      <w:pPr>
        <w:bidi/>
        <w:ind w:left="0" w:right="0"/>
        <w:jc w:val="both"/>
        <w:rPr>
          <w:rFonts w:hint="cs" w:cs="Simplified Arabic"/>
          <w:rtl/>
        </w:rPr>
      </w:pPr>
    </w:p>
    <w:p w14:paraId="5E6165A4">
      <w:pPr>
        <w:bidi/>
        <w:ind w:left="0" w:right="0"/>
        <w:jc w:val="both"/>
        <w:rPr>
          <w:rFonts w:hint="cs" w:cs="Simplified Arabic"/>
          <w:rtl/>
        </w:rPr>
      </w:pPr>
    </w:p>
    <w:p w14:paraId="62A18E26">
      <w:pPr>
        <w:bidi/>
        <w:ind w:left="0" w:right="0"/>
        <w:jc w:val="both"/>
        <w:rPr>
          <w:rFonts w:hint="cs" w:cs="Simplified Arabic"/>
          <w:rtl/>
        </w:rPr>
      </w:pPr>
    </w:p>
    <w:p w14:paraId="56843CD6">
      <w:pPr>
        <w:bidi/>
        <w:ind w:left="0" w:right="0"/>
        <w:jc w:val="both"/>
        <w:rPr>
          <w:rFonts w:hint="cs" w:cs="Simplified Arabic"/>
          <w:rtl/>
        </w:rPr>
      </w:pPr>
    </w:p>
    <w:p w14:paraId="214950DA">
      <w:pPr>
        <w:bidi/>
        <w:ind w:left="0" w:right="0"/>
        <w:jc w:val="both"/>
        <w:rPr>
          <w:rFonts w:hint="cs" w:cs="Simplified Arabic"/>
          <w:rtl/>
        </w:rPr>
      </w:pPr>
    </w:p>
    <w:p w14:paraId="1F593E85">
      <w:pPr>
        <w:bidi/>
        <w:ind w:left="0" w:right="0"/>
        <w:jc w:val="both"/>
        <w:rPr>
          <w:rFonts w:hint="cs" w:cs="Simplified Arabic"/>
          <w:rtl/>
        </w:rPr>
      </w:pPr>
    </w:p>
    <w:p w14:paraId="54A389F3">
      <w:pPr>
        <w:bidi/>
        <w:ind w:left="0" w:right="0"/>
        <w:jc w:val="both"/>
        <w:rPr>
          <w:rFonts w:hint="cs" w:cs="Simplified Arabic"/>
          <w:rtl/>
        </w:rPr>
      </w:pPr>
    </w:p>
    <w:p w14:paraId="1B0B8819">
      <w:pPr>
        <w:bidi/>
        <w:ind w:left="0" w:right="0"/>
        <w:jc w:val="both"/>
        <w:rPr>
          <w:rFonts w:hint="cs" w:cs="Simplified Arabic"/>
          <w:rtl/>
        </w:rPr>
      </w:pPr>
    </w:p>
    <w:p w14:paraId="003EC724">
      <w:pPr>
        <w:bidi/>
        <w:ind w:left="0" w:right="0"/>
        <w:jc w:val="both"/>
        <w:rPr>
          <w:rFonts w:hint="cs" w:cs="Simplified Arabic"/>
          <w:rtl/>
        </w:rPr>
      </w:pPr>
    </w:p>
    <w:p w14:paraId="6F985794">
      <w:pPr>
        <w:bidi/>
        <w:ind w:left="0" w:right="0"/>
        <w:jc w:val="both"/>
        <w:rPr>
          <w:rFonts w:hint="cs" w:cs="Simplified Arabic"/>
          <w:rtl/>
        </w:rPr>
      </w:pPr>
    </w:p>
    <w:p w14:paraId="1864BA85">
      <w:pPr>
        <w:bidi/>
        <w:ind w:left="0" w:right="0"/>
        <w:jc w:val="both"/>
        <w:rPr>
          <w:rFonts w:hint="cs" w:cs="Simplified Arabic"/>
          <w:rtl/>
        </w:rPr>
      </w:pPr>
    </w:p>
    <w:p w14:paraId="3182380D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الجرعة السنوية القصوى المسموح التعرض لها للعاملين في مجال الأشعة المؤينة</w:t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0F6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428" w:type="dxa"/>
            <w:noWrap w:val="0"/>
            <w:vAlign w:val="top"/>
          </w:tcPr>
          <w:p w14:paraId="05DF1265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 xml:space="preserve">حدود الجرعة بالنسبة للعاملين </w:t>
            </w:r>
            <w:r>
              <w:rPr>
                <w:rFonts w:cs="Simplified Arabic"/>
              </w:rPr>
              <w:t>(mSv)</w:t>
            </w:r>
          </w:p>
        </w:tc>
        <w:tc>
          <w:tcPr>
            <w:tcW w:w="4428" w:type="dxa"/>
            <w:noWrap w:val="0"/>
            <w:vAlign w:val="top"/>
          </w:tcPr>
          <w:p w14:paraId="65F41853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التطبيق</w:t>
            </w:r>
          </w:p>
        </w:tc>
      </w:tr>
      <w:tr w14:paraId="29526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428" w:type="dxa"/>
            <w:noWrap w:val="0"/>
            <w:vAlign w:val="top"/>
          </w:tcPr>
          <w:p w14:paraId="73738E74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 xml:space="preserve">100 </w:t>
            </w:r>
            <w:r>
              <w:rPr>
                <w:rFonts w:cs="Simplified Arabic"/>
              </w:rPr>
              <w:t>(mSv)</w:t>
            </w:r>
            <w:r>
              <w:rPr>
                <w:rFonts w:hint="cs" w:cs="Simplified Arabic"/>
                <w:rtl/>
              </w:rPr>
              <w:t xml:space="preserve"> لكل خمس سنوات بمعدل 20 </w:t>
            </w:r>
            <w:r>
              <w:rPr>
                <w:rFonts w:cs="Simplified Arabic"/>
              </w:rPr>
              <w:t xml:space="preserve">(mSv) </w:t>
            </w:r>
            <w:r>
              <w:rPr>
                <w:rFonts w:hint="cs" w:cs="Simplified Arabic"/>
                <w:rtl/>
              </w:rPr>
              <w:t xml:space="preserve"> سنوياً على أن لا يتجاوز التعرض 50 </w:t>
            </w:r>
            <w:r>
              <w:rPr>
                <w:rFonts w:cs="Simplified Arabic"/>
              </w:rPr>
              <w:t xml:space="preserve">(mSv) </w:t>
            </w:r>
            <w:r>
              <w:rPr>
                <w:rFonts w:hint="cs" w:cs="Simplified Arabic"/>
                <w:rtl/>
              </w:rPr>
              <w:t xml:space="preserve"> في السنة</w:t>
            </w:r>
          </w:p>
        </w:tc>
        <w:tc>
          <w:tcPr>
            <w:tcW w:w="4428" w:type="dxa"/>
            <w:noWrap w:val="0"/>
            <w:vAlign w:val="top"/>
          </w:tcPr>
          <w:p w14:paraId="1FE18068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الجرعة الفعالة (جرعة كامل الجسم)</w:t>
            </w:r>
          </w:p>
          <w:p w14:paraId="43357073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</w:p>
        </w:tc>
      </w:tr>
      <w:tr w14:paraId="7D0F8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428" w:type="dxa"/>
            <w:noWrap w:val="0"/>
            <w:vAlign w:val="top"/>
          </w:tcPr>
          <w:p w14:paraId="6E756053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150</w:t>
            </w:r>
          </w:p>
        </w:tc>
        <w:tc>
          <w:tcPr>
            <w:tcW w:w="4428" w:type="dxa"/>
            <w:noWrap w:val="0"/>
            <w:vAlign w:val="top"/>
          </w:tcPr>
          <w:p w14:paraId="71EA9562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الجرعة المكافئة لعدسة العينين</w:t>
            </w:r>
          </w:p>
        </w:tc>
      </w:tr>
      <w:tr w14:paraId="54AA1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428" w:type="dxa"/>
            <w:noWrap w:val="0"/>
            <w:vAlign w:val="top"/>
          </w:tcPr>
          <w:p w14:paraId="27814CA4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200</w:t>
            </w:r>
          </w:p>
        </w:tc>
        <w:tc>
          <w:tcPr>
            <w:tcW w:w="4428" w:type="dxa"/>
            <w:noWrap w:val="0"/>
            <w:vAlign w:val="top"/>
          </w:tcPr>
          <w:p w14:paraId="1CA0E00C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الجرعة المكافئة لأعضاء التناسلية</w:t>
            </w:r>
          </w:p>
        </w:tc>
      </w:tr>
      <w:tr w14:paraId="49C66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428" w:type="dxa"/>
            <w:noWrap w:val="0"/>
            <w:vAlign w:val="top"/>
          </w:tcPr>
          <w:p w14:paraId="4A1F177B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250</w:t>
            </w:r>
          </w:p>
        </w:tc>
        <w:tc>
          <w:tcPr>
            <w:tcW w:w="4428" w:type="dxa"/>
            <w:noWrap w:val="0"/>
            <w:vAlign w:val="top"/>
          </w:tcPr>
          <w:p w14:paraId="5CB2D022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الجرعة المكافئة لكل من (الثدي، الرئتين، الغدد)</w:t>
            </w:r>
          </w:p>
        </w:tc>
      </w:tr>
      <w:tr w14:paraId="6DFC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428" w:type="dxa"/>
            <w:noWrap w:val="0"/>
            <w:vAlign w:val="top"/>
          </w:tcPr>
          <w:p w14:paraId="1F7D0E69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500</w:t>
            </w:r>
          </w:p>
        </w:tc>
        <w:tc>
          <w:tcPr>
            <w:tcW w:w="4428" w:type="dxa"/>
            <w:noWrap w:val="0"/>
            <w:vAlign w:val="top"/>
          </w:tcPr>
          <w:p w14:paraId="783B18FE">
            <w:pPr>
              <w:bidi/>
              <w:ind w:left="0" w:right="0"/>
              <w:jc w:val="both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الجرعة المكافئة لكل من (الأطراف العلوية والسفلية، الجلد، العظام)</w:t>
            </w:r>
          </w:p>
        </w:tc>
      </w:tr>
    </w:tbl>
    <w:p w14:paraId="07A2D668">
      <w:pPr>
        <w:bidi/>
        <w:ind w:left="0" w:right="0"/>
        <w:jc w:val="both"/>
        <w:rPr>
          <w:rFonts w:hint="cs" w:cs="Simplified Arabic"/>
          <w:rtl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7F1"/>
    <w:rsid w:val="000A0DBD"/>
    <w:rsid w:val="001C17F1"/>
    <w:rsid w:val="00270B6D"/>
    <w:rsid w:val="003C7259"/>
    <w:rsid w:val="003D2335"/>
    <w:rsid w:val="004176D0"/>
    <w:rsid w:val="004A21C6"/>
    <w:rsid w:val="006B42B7"/>
    <w:rsid w:val="008D22D4"/>
    <w:rsid w:val="009B7213"/>
    <w:rsid w:val="00AB19B1"/>
    <w:rsid w:val="00F01A1A"/>
    <w:rsid w:val="67A064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table" w:styleId="4">
    <w:name w:val="Table Grid"/>
    <w:basedOn w:val="3"/>
    <w:uiPriority w:val="0"/>
    <w:tblPr>
      <w:tblStyle w:val="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Masters</Company>
  <Pages>3</Pages>
  <Words>224</Words>
  <Characters>1282</Characters>
  <Lines>10</Lines>
  <Paragraphs>3</Paragraphs>
  <TotalTime>0</TotalTime>
  <ScaleCrop>false</ScaleCrop>
  <LinksUpToDate>false</LinksUpToDate>
  <CharactersWithSpaces>1503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2019-09-25T09:26:00Z</dcterms:created>
  <dc:creator>ryassin</dc:creator>
  <cp:lastModifiedBy>Sohaib Badaha</cp:lastModifiedBy>
  <dcterms:modified xsi:type="dcterms:W3CDTF">2026-04-07T11:12:13Z</dcterms:modified>
  <dc:title>تعليمات  وزير العمل رقم (3) لسنة 2005 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AA2FCFF9522D423B9C66BCE6E71386CA_13</vt:lpwstr>
  </property>
</Properties>
</file>