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9CF7A">
      <w:pPr>
        <w:bidi/>
        <w:ind w:left="0" w:right="0"/>
        <w:jc w:val="lef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مجلس الوزراء رقم (167) لسنة 2004م</w:t>
      </w:r>
    </w:p>
    <w:p w14:paraId="46B58210">
      <w:pPr>
        <w:bidi/>
        <w:ind w:left="0" w:right="0"/>
        <w:jc w:val="lef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بنظام عمل الأحداث طبقا لقانون العمل رقم (7) لسنة 2000م</w:t>
      </w:r>
    </w:p>
    <w:p w14:paraId="79C770E0">
      <w:pPr>
        <w:bidi/>
        <w:ind w:left="0" w:right="0"/>
        <w:jc w:val="left"/>
        <w:rPr>
          <w:rFonts w:hint="cs" w:cs="Simplified Arabic"/>
          <w:rtl/>
        </w:rPr>
      </w:pPr>
    </w:p>
    <w:p w14:paraId="2A075BF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مجلس الوزراء</w:t>
      </w:r>
    </w:p>
    <w:p w14:paraId="05BEA4E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بعد الاطلاع على قانون العمل رقم (7) لسنة 2000، ولا سيما المادة 139 منه، </w:t>
      </w:r>
    </w:p>
    <w:p w14:paraId="48E966E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وعلى ما عرضه وزير العمل، </w:t>
      </w:r>
    </w:p>
    <w:p w14:paraId="15C6FA4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ما أقره مجلس الوزراء في جلسته المنعقدة بتاريخ 12/7/2004م</w:t>
      </w:r>
    </w:p>
    <w:p w14:paraId="3CAC8AD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قرر ما يلي:</w:t>
      </w:r>
    </w:p>
    <w:p w14:paraId="4F64E8BB">
      <w:pPr>
        <w:bidi/>
        <w:ind w:left="0" w:right="0"/>
        <w:jc w:val="left"/>
        <w:rPr>
          <w:rFonts w:hint="cs" w:cs="Simplified Arabic"/>
          <w:rtl/>
        </w:rPr>
      </w:pPr>
    </w:p>
    <w:p w14:paraId="7514D54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5B0ED83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يحظر تشغل الحدث أكثر من ست ساعات ونصف يوميا، كما يحظر تواجده في مكان العمل أكثر من سبع ساعات ونصف.</w:t>
      </w:r>
    </w:p>
    <w:p w14:paraId="57E36BC9">
      <w:pPr>
        <w:bidi/>
        <w:ind w:left="0" w:right="0"/>
        <w:jc w:val="left"/>
        <w:rPr>
          <w:rFonts w:hint="cs" w:cs="Simplified Arabic"/>
          <w:rtl/>
        </w:rPr>
      </w:pPr>
    </w:p>
    <w:p w14:paraId="053DB45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6821284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يحظر تشغيل الحدث ليلا ما بين الساعة السادسة مساء والسادسة صباحا.</w:t>
      </w:r>
    </w:p>
    <w:p w14:paraId="33BEF813">
      <w:pPr>
        <w:bidi/>
        <w:ind w:left="0" w:right="0"/>
        <w:jc w:val="left"/>
        <w:rPr>
          <w:rFonts w:hint="cs" w:cs="Simplified Arabic"/>
          <w:rtl/>
        </w:rPr>
      </w:pPr>
    </w:p>
    <w:p w14:paraId="721DDE2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7DE3B41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1. على صاحب العمل قبل تشغيل الحدث الحصول على المستندات التالية:</w:t>
      </w:r>
    </w:p>
    <w:p w14:paraId="543D709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أ.  صورة مصدقة عن شهادة ميلاد الحدث.</w:t>
      </w:r>
    </w:p>
    <w:p w14:paraId="39C2104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ب. شهادة صادرة عن اللجنة الطبية المختصة للتثبت من ملاءمته للعمل.</w:t>
      </w:r>
    </w:p>
    <w:p w14:paraId="49F4794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2. على صاحب العمل تنظيم سجل خاص بكل حدث، يدرج فيه البيانات التالية:</w:t>
      </w:r>
    </w:p>
    <w:p w14:paraId="0DFA4E2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أ. مكان إقامته.</w:t>
      </w:r>
    </w:p>
    <w:p w14:paraId="49D3A38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ب. تاريخ استخدامه.</w:t>
      </w:r>
    </w:p>
    <w:p w14:paraId="49674EC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ج. طبيعة العمل المناط به.</w:t>
      </w:r>
    </w:p>
    <w:p w14:paraId="406106F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د. أجرة وإجازاته.</w:t>
      </w:r>
    </w:p>
    <w:p w14:paraId="0EF4A8F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هـ. ساعات العمل وفترات الراحة.</w:t>
      </w:r>
    </w:p>
    <w:p w14:paraId="7022DAB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و. مؤهلة العلمي.</w:t>
      </w:r>
    </w:p>
    <w:p w14:paraId="08C6CED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ز. تاريخ ميلاده.</w:t>
      </w:r>
    </w:p>
    <w:p w14:paraId="32A5CD8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ح. موافقة ولي أمره.</w:t>
      </w:r>
    </w:p>
    <w:p w14:paraId="349A47A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ط. نتيجة الفحص الطبي الابتدائي.</w:t>
      </w:r>
    </w:p>
    <w:p w14:paraId="2B668EF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ي. نتائج الفحوص الطبية.</w:t>
      </w:r>
    </w:p>
    <w:p w14:paraId="6EF1FF82">
      <w:pPr>
        <w:bidi/>
        <w:ind w:left="0" w:right="0"/>
        <w:jc w:val="left"/>
        <w:rPr>
          <w:rFonts w:hint="cs" w:cs="Simplified Arabic"/>
          <w:rtl/>
        </w:rPr>
      </w:pPr>
    </w:p>
    <w:p w14:paraId="0999EAF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6FF9568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على صاحب العمل أن يسلم الحدث نفسه أجره أو مكافأته وحقوقه العمالية الأخرى، ويكون هذا التسليم مبرئا لذمة صاحب العمل.</w:t>
      </w:r>
    </w:p>
    <w:p w14:paraId="107E17BE">
      <w:pPr>
        <w:bidi/>
        <w:ind w:left="0" w:right="0"/>
        <w:jc w:val="left"/>
        <w:rPr>
          <w:rFonts w:hint="cs" w:cs="Simplified Arabic"/>
          <w:rtl/>
        </w:rPr>
      </w:pPr>
    </w:p>
    <w:p w14:paraId="4D651B6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7FF92C0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يحظر تشغيل الحدث في الأماكن النائية غير المأهولة والبعيدة عن العمران، وتلك التي تيتدعي تغيير محل إقامته.</w:t>
      </w:r>
    </w:p>
    <w:p w14:paraId="5C45D044">
      <w:pPr>
        <w:bidi/>
        <w:ind w:left="0" w:right="0"/>
        <w:jc w:val="left"/>
        <w:rPr>
          <w:rFonts w:hint="cs" w:cs="Simplified Arabic"/>
          <w:rtl/>
        </w:rPr>
      </w:pPr>
    </w:p>
    <w:p w14:paraId="0F7FEC9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(6)</w:t>
      </w:r>
    </w:p>
    <w:p w14:paraId="7C4BAEA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أحكام هذا النظام.</w:t>
      </w:r>
    </w:p>
    <w:p w14:paraId="7F600E4B">
      <w:pPr>
        <w:bidi/>
        <w:ind w:left="0" w:right="0"/>
        <w:jc w:val="left"/>
        <w:rPr>
          <w:rFonts w:hint="cs" w:cs="Simplified Arabic"/>
          <w:rtl/>
        </w:rPr>
      </w:pPr>
    </w:p>
    <w:p w14:paraId="71C359D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(7)</w:t>
      </w:r>
    </w:p>
    <w:p w14:paraId="2AC3E24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 كل فيما يخصه تنفيذ أحكام هذا النظام، ويعمل به من تاريخ نشره في الجريدة الرسمية.</w:t>
      </w:r>
    </w:p>
    <w:p w14:paraId="0BEE5F8D">
      <w:pPr>
        <w:bidi/>
        <w:ind w:left="0" w:right="0"/>
        <w:jc w:val="left"/>
        <w:rPr>
          <w:rFonts w:hint="cs" w:cs="Simplified Arabic"/>
          <w:rtl/>
        </w:rPr>
      </w:pPr>
    </w:p>
    <w:p w14:paraId="2114AB1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صدر في مدينة رام الله بتاريخ: 12/ يوليو/ 2004 ميلادية.</w:t>
      </w:r>
    </w:p>
    <w:p w14:paraId="507DA4B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الموافق: 25/ جماد أول/ 1425 هجرية.</w:t>
      </w:r>
    </w:p>
    <w:p w14:paraId="6A470185">
      <w:pPr>
        <w:bidi/>
        <w:ind w:left="0" w:right="0"/>
        <w:jc w:val="left"/>
        <w:rPr>
          <w:rFonts w:hint="cs" w:cs="Simplified Arabic"/>
          <w:rtl/>
        </w:rPr>
      </w:pPr>
    </w:p>
    <w:p w14:paraId="4A32EC8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أحمد قريع</w:t>
      </w:r>
    </w:p>
    <w:p w14:paraId="0B1009B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رئيس مجلس الوزراء</w:t>
      </w:r>
    </w:p>
    <w:p w14:paraId="30874C56">
      <w:pPr>
        <w:bidi/>
        <w:ind w:left="0" w:right="0"/>
        <w:jc w:val="left"/>
      </w:pPr>
    </w:p>
    <w:p w14:paraId="0B3960C2">
      <w:pPr>
        <w:bidi/>
        <w:ind w:left="0" w:right="0"/>
        <w:jc w:val="lef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17"/>
    <w:rsid w:val="000C0A17"/>
    <w:rsid w:val="007E1481"/>
    <w:rsid w:val="008738E3"/>
    <w:rsid w:val="00C53561"/>
    <w:rsid w:val="00F02262"/>
    <w:rsid w:val="568837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BZU</Company>
  <Pages>2</Pages>
  <Words>217</Words>
  <Characters>1238</Characters>
  <Lines>10</Lines>
  <Paragraphs>2</Paragraphs>
  <TotalTime>0</TotalTime>
  <ScaleCrop>false</ScaleCrop>
  <LinksUpToDate>false</LinksUpToDate>
  <CharactersWithSpaces>1453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2019-09-25T09:12:00Z</dcterms:created>
  <dc:creator>mhammad</dc:creator>
  <cp:lastModifiedBy>Sohaib Badaha</cp:lastModifiedBy>
  <dcterms:modified xsi:type="dcterms:W3CDTF">2026-04-07T11:15:49Z</dcterms:modified>
  <dc:title>قرار مجلس الوزراء رقم (167) لسنة 2004م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F4D025C2F8654845816AA6357E9A92F7_13</vt:lpwstr>
  </property>
</Properties>
</file>