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B00EF">
      <w:pPr>
        <w:ind w:left="0" w:right="0"/>
        <w:jc w:val="right"/>
        <w:rPr>
          <w:rFonts w:hint="cs" w:cs="Simplified Arabic"/>
          <w:b/>
          <w:bCs/>
          <w:rtl/>
        </w:rPr>
      </w:pPr>
      <w:bookmarkStart w:id="0" w:name="_GoBack"/>
      <w:bookmarkEnd w:id="0"/>
      <w:r>
        <w:rPr>
          <w:rFonts w:hint="cs" w:cs="Simplified Arabic"/>
          <w:b/>
          <w:bCs/>
          <w:rtl/>
        </w:rPr>
        <w:t>قرار مجلس الوزراء رقم (17) لسنة 2003م</w:t>
      </w:r>
    </w:p>
    <w:p w14:paraId="261F5412">
      <w:pPr>
        <w:ind w:left="0" w:right="0"/>
        <w:jc w:val="right"/>
        <w:rPr>
          <w:rFonts w:hint="cs" w:cs="Simplified Arabic"/>
          <w:b/>
          <w:bCs/>
          <w:rtl/>
        </w:rPr>
      </w:pPr>
      <w:r>
        <w:rPr>
          <w:rFonts w:hint="cs" w:cs="Simplified Arabic"/>
          <w:b/>
          <w:bCs/>
          <w:rtl/>
        </w:rPr>
        <w:t>بنظام وسائل الإسعاف الطبي في المنشآت</w:t>
      </w:r>
    </w:p>
    <w:p w14:paraId="4F29C4D5">
      <w:pPr>
        <w:ind w:left="0" w:right="0"/>
        <w:jc w:val="right"/>
        <w:rPr>
          <w:rFonts w:hint="cs" w:cs="Simplified Arabic"/>
          <w:rtl/>
        </w:rPr>
      </w:pPr>
      <w:r>
        <w:rPr>
          <w:rFonts w:hint="cs" w:cs="Simplified Arabic"/>
          <w:rtl/>
        </w:rPr>
        <w:t>مجلس الوزراء،</w:t>
      </w:r>
    </w:p>
    <w:p w14:paraId="353705E2">
      <w:pPr>
        <w:ind w:left="0" w:right="0"/>
        <w:jc w:val="right"/>
        <w:rPr>
          <w:rFonts w:hint="cs" w:cs="Simplified Arabic"/>
          <w:rtl/>
        </w:rPr>
      </w:pPr>
      <w:r>
        <w:rPr>
          <w:rFonts w:hint="cs" w:cs="Simplified Arabic"/>
          <w:rtl/>
        </w:rPr>
        <w:t>بعد الإطلاع على قانون العمل رقم (7) لسنة 2000م ولا سيما المادة (90) فقرة (3) منه،</w:t>
      </w:r>
    </w:p>
    <w:p w14:paraId="457394AF">
      <w:pPr>
        <w:ind w:left="0" w:right="0"/>
        <w:jc w:val="right"/>
        <w:rPr>
          <w:rFonts w:hint="cs" w:cs="Simplified Arabic"/>
          <w:rtl/>
        </w:rPr>
      </w:pPr>
    </w:p>
    <w:p w14:paraId="7E0AD8AE">
      <w:pPr>
        <w:ind w:left="0" w:right="0"/>
        <w:jc w:val="right"/>
        <w:rPr>
          <w:rFonts w:hint="cs" w:cs="Simplified Arabic"/>
          <w:rtl/>
        </w:rPr>
      </w:pPr>
      <w:r>
        <w:rPr>
          <w:rFonts w:hint="cs" w:cs="Simplified Arabic"/>
          <w:rtl/>
        </w:rPr>
        <w:t>وعلى ما عرضه وزير العمل،</w:t>
      </w:r>
    </w:p>
    <w:p w14:paraId="10CBDCAA">
      <w:pPr>
        <w:ind w:left="0" w:right="0"/>
        <w:jc w:val="right"/>
        <w:rPr>
          <w:rFonts w:hint="cs" w:cs="Simplified Arabic"/>
          <w:rtl/>
        </w:rPr>
      </w:pPr>
      <w:r>
        <w:rPr>
          <w:rFonts w:hint="cs" w:cs="Simplified Arabic"/>
          <w:rtl/>
        </w:rPr>
        <w:t>وبناء على على ما أقره مجلس الوزراء بجلسته المنعقدة بتاريخ 22/12/2003م</w:t>
      </w:r>
    </w:p>
    <w:p w14:paraId="5A7605B5">
      <w:pPr>
        <w:ind w:left="0" w:right="0"/>
        <w:jc w:val="right"/>
        <w:rPr>
          <w:rFonts w:hint="cs" w:cs="Simplified Arabic"/>
          <w:rtl/>
        </w:rPr>
      </w:pPr>
    </w:p>
    <w:p w14:paraId="52607212">
      <w:pPr>
        <w:ind w:left="0" w:right="0"/>
        <w:jc w:val="right"/>
        <w:rPr>
          <w:rFonts w:hint="cs" w:cs="Simplified Arabic"/>
          <w:rtl/>
        </w:rPr>
      </w:pPr>
      <w:r>
        <w:rPr>
          <w:rFonts w:hint="cs" w:cs="Simplified Arabic"/>
          <w:rtl/>
        </w:rPr>
        <w:t>قررنا ما يلي:</w:t>
      </w:r>
    </w:p>
    <w:p w14:paraId="3CBAF0EA">
      <w:pPr>
        <w:ind w:left="0" w:right="0"/>
        <w:jc w:val="right"/>
        <w:rPr>
          <w:rFonts w:hint="cs" w:cs="Simplified Arabic"/>
          <w:rtl/>
        </w:rPr>
      </w:pPr>
    </w:p>
    <w:p w14:paraId="5BDB367F">
      <w:pPr>
        <w:ind w:left="0" w:right="0"/>
        <w:jc w:val="right"/>
        <w:rPr>
          <w:rFonts w:hint="cs" w:cs="Simplified Arabic"/>
          <w:rtl/>
        </w:rPr>
      </w:pPr>
      <w:r>
        <w:rPr>
          <w:rFonts w:hint="cs" w:cs="Simplified Arabic"/>
          <w:rtl/>
        </w:rPr>
        <w:t>المادة (1)</w:t>
      </w:r>
    </w:p>
    <w:p w14:paraId="05482912">
      <w:pPr>
        <w:ind w:left="0" w:right="0"/>
        <w:jc w:val="right"/>
        <w:rPr>
          <w:rFonts w:hint="cs" w:cs="Simplified Arabic"/>
          <w:rtl/>
        </w:rPr>
      </w:pPr>
      <w:r>
        <w:rPr>
          <w:rFonts w:hint="cs" w:cs="Simplified Arabic"/>
          <w:rtl/>
        </w:rPr>
        <w:t>لغايات تطبيق أحكام هذا القرار يكون للكلمات والعبارات التالية المعاني المخصصة لها أدناه، ما لم تدل القرينة على خلاف ذلك:</w:t>
      </w:r>
    </w:p>
    <w:p w14:paraId="78D86729">
      <w:pPr>
        <w:ind w:left="0" w:right="0"/>
        <w:jc w:val="right"/>
        <w:rPr>
          <w:rFonts w:hint="cs" w:cs="Simplified Arabic"/>
          <w:rtl/>
        </w:rPr>
      </w:pPr>
      <w:r>
        <w:rPr>
          <w:rFonts w:hint="cs" w:cs="Simplified Arabic"/>
          <w:rtl/>
        </w:rPr>
        <w:t>الصندوق: ما يعد لحفظ متطلبات الإسعاف الطبي، ويشمل الخزانة المعدة لحفظ هذه المتطلبات.</w:t>
      </w:r>
    </w:p>
    <w:p w14:paraId="67395763">
      <w:pPr>
        <w:ind w:left="0" w:right="0"/>
        <w:jc w:val="right"/>
        <w:rPr>
          <w:rFonts w:hint="cs" w:cs="Simplified Arabic"/>
          <w:rtl/>
        </w:rPr>
      </w:pPr>
      <w:r>
        <w:rPr>
          <w:rFonts w:hint="cs" w:cs="Simplified Arabic"/>
          <w:rtl/>
        </w:rPr>
        <w:t>متطلبات الإسعاف الطبي: تشمل الأدوية والأدوات والوسائل اللازمة لتقديم الإسعاف الأولي.</w:t>
      </w:r>
    </w:p>
    <w:p w14:paraId="639E52E9">
      <w:pPr>
        <w:ind w:left="0" w:right="0"/>
        <w:jc w:val="right"/>
        <w:rPr>
          <w:rFonts w:hint="cs" w:cs="Simplified Arabic"/>
          <w:rtl/>
        </w:rPr>
      </w:pPr>
    </w:p>
    <w:p w14:paraId="6844E78B">
      <w:pPr>
        <w:ind w:left="0" w:right="0"/>
        <w:jc w:val="right"/>
        <w:rPr>
          <w:rFonts w:hint="cs" w:cs="Simplified Arabic"/>
          <w:rtl/>
        </w:rPr>
      </w:pPr>
      <w:r>
        <w:rPr>
          <w:rFonts w:hint="cs" w:cs="Simplified Arabic"/>
          <w:rtl/>
        </w:rPr>
        <w:t>المادة (2)</w:t>
      </w:r>
    </w:p>
    <w:p w14:paraId="780A9D29">
      <w:pPr>
        <w:ind w:left="0" w:right="0"/>
        <w:jc w:val="right"/>
        <w:rPr>
          <w:rFonts w:hint="cs" w:cs="Simplified Arabic"/>
          <w:rtl/>
        </w:rPr>
      </w:pPr>
      <w:r>
        <w:rPr>
          <w:rFonts w:hint="cs" w:cs="Simplified Arabic"/>
          <w:rtl/>
        </w:rPr>
        <w:t>على كل صاحب عمل أن يعد داخل المنشأة صندوقا أو أكثر للإسعافات الطبية، مزودا بمتطلبات الإسعاف الطبي، بحيث تكون صالحة للاستعمال، على النحو الوارد بالجدول المرفق.</w:t>
      </w:r>
    </w:p>
    <w:p w14:paraId="1EE1ACC2">
      <w:pPr>
        <w:ind w:left="0" w:right="0"/>
        <w:jc w:val="right"/>
        <w:rPr>
          <w:rFonts w:hint="cs" w:cs="Simplified Arabic"/>
          <w:rtl/>
        </w:rPr>
      </w:pPr>
    </w:p>
    <w:p w14:paraId="1A60DB25">
      <w:pPr>
        <w:ind w:left="0" w:right="0"/>
        <w:jc w:val="right"/>
        <w:rPr>
          <w:rFonts w:hint="cs" w:cs="Simplified Arabic"/>
          <w:rtl/>
        </w:rPr>
      </w:pPr>
      <w:r>
        <w:rPr>
          <w:rFonts w:hint="cs" w:cs="Simplified Arabic"/>
          <w:rtl/>
        </w:rPr>
        <w:t>المادة (3)</w:t>
      </w:r>
    </w:p>
    <w:p w14:paraId="785B0D22">
      <w:pPr>
        <w:ind w:left="0" w:right="0"/>
        <w:jc w:val="right"/>
        <w:rPr>
          <w:rFonts w:hint="cs" w:cs="Simplified Arabic"/>
          <w:rtl/>
        </w:rPr>
      </w:pPr>
      <w:r>
        <w:rPr>
          <w:rFonts w:hint="cs" w:cs="Simplified Arabic"/>
          <w:rtl/>
        </w:rPr>
        <w:t>يجب أن تتعدد الصناديق بتعدد مراكز العمل للمنشأة بالنسبة لصاحب العمل الواحد.</w:t>
      </w:r>
    </w:p>
    <w:p w14:paraId="7C7370E9">
      <w:pPr>
        <w:ind w:left="0" w:right="0"/>
        <w:jc w:val="right"/>
        <w:rPr>
          <w:rFonts w:hint="cs" w:cs="Simplified Arabic"/>
          <w:rtl/>
        </w:rPr>
      </w:pPr>
    </w:p>
    <w:p w14:paraId="23650BF9">
      <w:pPr>
        <w:ind w:left="0" w:right="0"/>
        <w:jc w:val="right"/>
        <w:rPr>
          <w:rFonts w:hint="cs" w:cs="Simplified Arabic"/>
        </w:rPr>
      </w:pPr>
      <w:r>
        <w:rPr>
          <w:rFonts w:hint="cs" w:cs="Simplified Arabic"/>
          <w:rtl/>
        </w:rPr>
        <w:t>المادة (4)</w:t>
      </w:r>
    </w:p>
    <w:p w14:paraId="5FCDEC1E">
      <w:pPr>
        <w:ind w:left="0" w:right="0"/>
        <w:jc w:val="right"/>
        <w:rPr>
          <w:rFonts w:hint="cs" w:cs="Simplified Arabic"/>
          <w:rtl/>
        </w:rPr>
      </w:pPr>
      <w:r>
        <w:rPr>
          <w:rFonts w:hint="cs" w:cs="Simplified Arabic"/>
          <w:rtl/>
        </w:rPr>
        <w:t>يجب أن يوضع الصندوق بعيدا عن أخطار العمل، وفي مكان قريب يسهل الوصول إليه، ويفضل أن يوضع قريبا من مصدر للمياه في المنشأة.</w:t>
      </w:r>
    </w:p>
    <w:p w14:paraId="6F826624">
      <w:pPr>
        <w:ind w:left="0" w:right="0"/>
        <w:jc w:val="right"/>
        <w:rPr>
          <w:rFonts w:hint="cs" w:cs="Simplified Arabic"/>
          <w:rtl/>
        </w:rPr>
      </w:pPr>
    </w:p>
    <w:p w14:paraId="73F84CCB">
      <w:pPr>
        <w:ind w:left="0" w:right="0"/>
        <w:jc w:val="right"/>
        <w:rPr>
          <w:rFonts w:hint="cs" w:cs="Simplified Arabic"/>
          <w:rtl/>
        </w:rPr>
      </w:pPr>
      <w:r>
        <w:rPr>
          <w:rFonts w:hint="cs" w:cs="Simplified Arabic"/>
          <w:rtl/>
        </w:rPr>
        <w:t>المادة (5)</w:t>
      </w:r>
    </w:p>
    <w:p w14:paraId="2C294B4F">
      <w:pPr>
        <w:ind w:left="0" w:right="0"/>
        <w:jc w:val="right"/>
        <w:rPr>
          <w:rFonts w:hint="cs" w:cs="Simplified Arabic"/>
          <w:rtl/>
        </w:rPr>
      </w:pPr>
      <w:r>
        <w:rPr>
          <w:rFonts w:hint="cs" w:cs="Simplified Arabic"/>
          <w:rtl/>
        </w:rPr>
        <w:t>يجب أن يحفظ الصندوق في مكان ذي درجة حرارة مناسبة ما أمكن، ولا يجوز أن يحفظ فيه أي شيء خلاف متطلبات الإسعاف الطبي.</w:t>
      </w:r>
    </w:p>
    <w:p w14:paraId="19C5B2B4">
      <w:pPr>
        <w:ind w:left="0" w:right="0"/>
        <w:jc w:val="right"/>
        <w:rPr>
          <w:rFonts w:hint="cs" w:cs="Simplified Arabic"/>
          <w:rtl/>
        </w:rPr>
      </w:pPr>
    </w:p>
    <w:p w14:paraId="7C4BEA0C">
      <w:pPr>
        <w:ind w:left="0" w:right="0"/>
        <w:jc w:val="right"/>
        <w:rPr>
          <w:rFonts w:hint="cs" w:cs="Simplified Arabic"/>
          <w:rtl/>
        </w:rPr>
      </w:pPr>
      <w:r>
        <w:rPr>
          <w:rFonts w:hint="cs" w:cs="Simplified Arabic"/>
          <w:rtl/>
        </w:rPr>
        <w:t>المادة (6)</w:t>
      </w:r>
    </w:p>
    <w:p w14:paraId="0E98149D">
      <w:pPr>
        <w:ind w:left="0" w:right="0"/>
        <w:jc w:val="right"/>
        <w:rPr>
          <w:rFonts w:hint="cs" w:cs="Simplified Arabic"/>
          <w:rtl/>
        </w:rPr>
      </w:pPr>
      <w:r>
        <w:rPr>
          <w:rFonts w:hint="cs" w:cs="Simplified Arabic"/>
          <w:rtl/>
        </w:rPr>
        <w:t>يرسم على الصندوق هلال باللون الأحمر، أو تكتب عليه عبارة "إسعاف أولي" وتكون الكتابة باللون الأحمر على أرضية بيضاء.</w:t>
      </w:r>
    </w:p>
    <w:p w14:paraId="4F2A38AD">
      <w:pPr>
        <w:ind w:left="0" w:right="0"/>
        <w:jc w:val="right"/>
        <w:rPr>
          <w:rFonts w:hint="cs" w:cs="Simplified Arabic"/>
          <w:rtl/>
        </w:rPr>
      </w:pPr>
    </w:p>
    <w:p w14:paraId="1E9D227A">
      <w:pPr>
        <w:ind w:left="0" w:right="0"/>
        <w:jc w:val="right"/>
        <w:rPr>
          <w:rFonts w:hint="cs" w:cs="Simplified Arabic"/>
          <w:rtl/>
        </w:rPr>
      </w:pPr>
      <w:r>
        <w:rPr>
          <w:rFonts w:hint="cs" w:cs="Simplified Arabic"/>
          <w:rtl/>
        </w:rPr>
        <w:t>المادة (7)</w:t>
      </w:r>
    </w:p>
    <w:p w14:paraId="2C1E507F">
      <w:pPr>
        <w:ind w:left="0" w:right="0"/>
        <w:jc w:val="right"/>
        <w:rPr>
          <w:rFonts w:hint="cs" w:cs="Simplified Arabic"/>
          <w:rtl/>
        </w:rPr>
      </w:pPr>
      <w:r>
        <w:rPr>
          <w:rFonts w:hint="cs" w:cs="Simplified Arabic"/>
          <w:rtl/>
        </w:rPr>
        <w:t>1. يتولى شخص مسئول الإشراف على الصندوق، ويجب أن يكون ذلك الشخص ملما بكيفية استعمال المواد والأدوية والأدوات المشار إليها بالجدول المرفق، وملما بطرق الإسعافات الأولية.</w:t>
      </w:r>
    </w:p>
    <w:p w14:paraId="7780FBA4">
      <w:pPr>
        <w:ind w:left="0" w:right="0"/>
        <w:jc w:val="right"/>
        <w:rPr>
          <w:rFonts w:hint="cs" w:cs="Simplified Arabic"/>
          <w:rtl/>
        </w:rPr>
      </w:pPr>
      <w:r>
        <w:rPr>
          <w:rFonts w:hint="cs" w:cs="Simplified Arabic"/>
          <w:rtl/>
        </w:rPr>
        <w:t>2. يقوم المشرف على الصندوق بمتابعة توفير الكميات المحددة في الجدول المرفق باستمرار.</w:t>
      </w:r>
    </w:p>
    <w:p w14:paraId="084A9709">
      <w:pPr>
        <w:ind w:left="0" w:right="0"/>
        <w:jc w:val="right"/>
        <w:rPr>
          <w:rFonts w:hint="cs" w:cs="Simplified Arabic"/>
          <w:rtl/>
        </w:rPr>
      </w:pPr>
      <w:r>
        <w:rPr>
          <w:rFonts w:hint="cs" w:cs="Simplified Arabic"/>
          <w:rtl/>
        </w:rPr>
        <w:t>3. يجب أن يتواجد المشرف على الصندوق خلال أوقات العمل، ويعلق إعلان في مكان ظاهر في المنشأة يتضمن اسمه وكيفية الوصول إليه.</w:t>
      </w:r>
    </w:p>
    <w:p w14:paraId="2CD568FA">
      <w:pPr>
        <w:ind w:left="0" w:right="0"/>
        <w:jc w:val="right"/>
        <w:rPr>
          <w:rFonts w:hint="cs" w:cs="Simplified Arabic"/>
          <w:rtl/>
        </w:rPr>
      </w:pPr>
    </w:p>
    <w:p w14:paraId="67BBAA49">
      <w:pPr>
        <w:ind w:left="0" w:right="0"/>
        <w:jc w:val="right"/>
        <w:rPr>
          <w:rFonts w:hint="cs" w:cs="Simplified Arabic"/>
          <w:rtl/>
        </w:rPr>
      </w:pPr>
      <w:r>
        <w:rPr>
          <w:rFonts w:hint="cs" w:cs="Simplified Arabic"/>
          <w:rtl/>
        </w:rPr>
        <w:t>المادة (8)</w:t>
      </w:r>
    </w:p>
    <w:p w14:paraId="2D7A1B7E">
      <w:pPr>
        <w:ind w:left="0" w:right="0"/>
        <w:jc w:val="right"/>
        <w:rPr>
          <w:rFonts w:hint="cs" w:cs="Simplified Arabic"/>
          <w:rtl/>
        </w:rPr>
      </w:pPr>
      <w:r>
        <w:rPr>
          <w:rFonts w:hint="cs" w:cs="Simplified Arabic"/>
          <w:rtl/>
        </w:rPr>
        <w:t>تمثل متطلبات الإسعاف الطبي الواردة في الجدول الحد الأدنى الذي يجب توفره في جميع المنشآت، ويكون لمفتش العمل طلب زيادة هذه المتطلبات وكمياتها إذا اقتضى ذلك حجم المنشأة أو طبيعة العمل فيها.</w:t>
      </w:r>
    </w:p>
    <w:p w14:paraId="20EFDCC6">
      <w:pPr>
        <w:ind w:left="0" w:right="0"/>
        <w:jc w:val="right"/>
        <w:rPr>
          <w:rFonts w:hint="cs" w:cs="Simplified Arabic"/>
          <w:rtl/>
        </w:rPr>
      </w:pPr>
    </w:p>
    <w:p w14:paraId="4F1E2413">
      <w:pPr>
        <w:ind w:left="0" w:right="0"/>
        <w:jc w:val="right"/>
        <w:rPr>
          <w:rFonts w:hint="cs" w:cs="Simplified Arabic"/>
          <w:rtl/>
        </w:rPr>
      </w:pPr>
      <w:r>
        <w:rPr>
          <w:rFonts w:hint="cs" w:cs="Simplified Arabic"/>
          <w:rtl/>
        </w:rPr>
        <w:t>المادة (9)</w:t>
      </w:r>
    </w:p>
    <w:p w14:paraId="167461E4">
      <w:pPr>
        <w:ind w:left="0" w:right="0"/>
        <w:jc w:val="right"/>
        <w:rPr>
          <w:rFonts w:hint="cs" w:cs="Simplified Arabic"/>
          <w:rtl/>
        </w:rPr>
      </w:pPr>
      <w:r>
        <w:rPr>
          <w:rFonts w:hint="cs" w:cs="Simplified Arabic"/>
          <w:rtl/>
        </w:rPr>
        <w:t>يلغى كل ما يخالف أحكام هذا القرار.</w:t>
      </w:r>
    </w:p>
    <w:p w14:paraId="625242E7">
      <w:pPr>
        <w:ind w:left="0" w:right="0"/>
        <w:jc w:val="right"/>
        <w:rPr>
          <w:rFonts w:hint="cs" w:cs="Simplified Arabic"/>
          <w:rtl/>
        </w:rPr>
      </w:pPr>
    </w:p>
    <w:p w14:paraId="0075B769">
      <w:pPr>
        <w:ind w:left="0" w:right="0"/>
        <w:jc w:val="right"/>
        <w:rPr>
          <w:rFonts w:hint="cs" w:cs="Simplified Arabic"/>
          <w:rtl/>
        </w:rPr>
      </w:pPr>
      <w:r>
        <w:rPr>
          <w:rFonts w:hint="cs" w:cs="Simplified Arabic"/>
          <w:rtl/>
        </w:rPr>
        <w:t>المادة (10)</w:t>
      </w:r>
    </w:p>
    <w:p w14:paraId="00F85AA5">
      <w:pPr>
        <w:ind w:left="0" w:right="0"/>
        <w:jc w:val="right"/>
        <w:rPr>
          <w:rFonts w:hint="cs" w:cs="Simplified Arabic"/>
          <w:rtl/>
        </w:rPr>
      </w:pPr>
      <w:r>
        <w:rPr>
          <w:rFonts w:hint="cs" w:cs="Simplified Arabic"/>
          <w:rtl/>
        </w:rPr>
        <w:t>على جميع الجهات المختصة، كل فيما يخصه، تنفيذ أحكام هذا القرار، ويعمل به من تاريخ نشره في الجريدة الرسمية.</w:t>
      </w:r>
    </w:p>
    <w:p w14:paraId="745C42E2">
      <w:pPr>
        <w:ind w:left="0" w:right="0"/>
        <w:jc w:val="right"/>
        <w:rPr>
          <w:rFonts w:hint="cs" w:cs="Simplified Arabic"/>
          <w:rtl/>
        </w:rPr>
      </w:pPr>
    </w:p>
    <w:p w14:paraId="44C3F2EC">
      <w:pPr>
        <w:ind w:left="0" w:right="0"/>
        <w:jc w:val="right"/>
        <w:rPr>
          <w:rFonts w:hint="cs" w:cs="Simplified Arabic"/>
          <w:rtl/>
        </w:rPr>
      </w:pPr>
      <w:r>
        <w:rPr>
          <w:rFonts w:hint="cs" w:cs="Simplified Arabic"/>
          <w:rtl/>
        </w:rPr>
        <w:t>صدر بمدينة رام الله بتاريخ 22/12/2003م</w:t>
      </w:r>
    </w:p>
    <w:p w14:paraId="67B0A52E">
      <w:pPr>
        <w:ind w:left="0" w:right="0"/>
        <w:jc w:val="right"/>
        <w:rPr>
          <w:rFonts w:hint="cs" w:cs="Simplified Arabic"/>
          <w:rtl/>
        </w:rPr>
      </w:pPr>
      <w:r>
        <w:rPr>
          <w:rFonts w:hint="cs" w:cs="Simplified Arabic"/>
          <w:rtl/>
        </w:rPr>
        <w:t>الموافق 28/ شوال/ 1424 هـ</w:t>
      </w:r>
    </w:p>
    <w:p w14:paraId="25642C23">
      <w:pPr>
        <w:ind w:left="0" w:right="0"/>
        <w:jc w:val="right"/>
        <w:rPr>
          <w:rFonts w:hint="cs" w:cs="Simplified Arabic"/>
          <w:rtl/>
        </w:rPr>
      </w:pPr>
    </w:p>
    <w:p w14:paraId="09A66AE3">
      <w:pPr>
        <w:ind w:left="0" w:right="0"/>
        <w:jc w:val="right"/>
        <w:rPr>
          <w:rFonts w:hint="cs" w:cs="Simplified Arabic"/>
          <w:rtl/>
        </w:rPr>
      </w:pPr>
      <w:r>
        <w:rPr>
          <w:rFonts w:hint="cs" w:cs="Simplified Arabic"/>
          <w:rtl/>
        </w:rPr>
        <w:t>أحمد قريع</w:t>
      </w:r>
    </w:p>
    <w:p w14:paraId="10DC3A11">
      <w:pPr>
        <w:ind w:left="0" w:right="0"/>
        <w:jc w:val="right"/>
        <w:rPr>
          <w:rFonts w:hint="cs" w:cs="Simplified Arabic"/>
        </w:rPr>
      </w:pPr>
      <w:r>
        <w:rPr>
          <w:rFonts w:hint="cs" w:cs="Simplified Arabic"/>
          <w:rtl/>
        </w:rPr>
        <w:t>رئيس مجلس الوزراء</w:t>
      </w:r>
    </w:p>
    <w:p w14:paraId="032CBFB1">
      <w:pPr>
        <w:ind w:left="0" w:right="0"/>
        <w:jc w:val="right"/>
        <w:rPr>
          <w:rFonts w:hint="cs" w:cs="Simplified Arabic"/>
        </w:rPr>
      </w:pPr>
    </w:p>
    <w:sectPr>
      <w:pgSz w:w="11906" w:h="16838"/>
      <w:pgMar w:top="1440" w:right="1800" w:bottom="1440" w:left="1800" w:header="720" w:footer="720" w:gutter="0"/>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564"/>
    <w:rsid w:val="00030CB7"/>
    <w:rsid w:val="000457DC"/>
    <w:rsid w:val="000A4603"/>
    <w:rsid w:val="00107871"/>
    <w:rsid w:val="001231C8"/>
    <w:rsid w:val="00140580"/>
    <w:rsid w:val="0020783E"/>
    <w:rsid w:val="002946FB"/>
    <w:rsid w:val="002F2A46"/>
    <w:rsid w:val="00330E37"/>
    <w:rsid w:val="003749E9"/>
    <w:rsid w:val="003A7A3A"/>
    <w:rsid w:val="003B0351"/>
    <w:rsid w:val="0040630D"/>
    <w:rsid w:val="00406841"/>
    <w:rsid w:val="00461551"/>
    <w:rsid w:val="004B1FA1"/>
    <w:rsid w:val="0050529D"/>
    <w:rsid w:val="00526129"/>
    <w:rsid w:val="005813C5"/>
    <w:rsid w:val="005A4F95"/>
    <w:rsid w:val="00627DAD"/>
    <w:rsid w:val="0064776D"/>
    <w:rsid w:val="00675929"/>
    <w:rsid w:val="006A5C2B"/>
    <w:rsid w:val="006F0B1F"/>
    <w:rsid w:val="00741EDC"/>
    <w:rsid w:val="00770FE7"/>
    <w:rsid w:val="00781E8B"/>
    <w:rsid w:val="007C2556"/>
    <w:rsid w:val="007E4260"/>
    <w:rsid w:val="008308A4"/>
    <w:rsid w:val="008A39AB"/>
    <w:rsid w:val="00914B7D"/>
    <w:rsid w:val="00A0054A"/>
    <w:rsid w:val="00A1744A"/>
    <w:rsid w:val="00A27564"/>
    <w:rsid w:val="00A454A7"/>
    <w:rsid w:val="00A534EB"/>
    <w:rsid w:val="00A96FE5"/>
    <w:rsid w:val="00AB15AF"/>
    <w:rsid w:val="00AF1CFD"/>
    <w:rsid w:val="00B067DB"/>
    <w:rsid w:val="00C703FC"/>
    <w:rsid w:val="00C7140B"/>
    <w:rsid w:val="00C753D7"/>
    <w:rsid w:val="00C83C6A"/>
    <w:rsid w:val="00CB6445"/>
    <w:rsid w:val="00D071FE"/>
    <w:rsid w:val="00D10F02"/>
    <w:rsid w:val="00D57A42"/>
    <w:rsid w:val="00D62305"/>
    <w:rsid w:val="00DC5604"/>
    <w:rsid w:val="00E023CD"/>
    <w:rsid w:val="00E02964"/>
    <w:rsid w:val="00E0441E"/>
    <w:rsid w:val="00E12EA1"/>
    <w:rsid w:val="00EB38E6"/>
    <w:rsid w:val="00ED69BB"/>
    <w:rsid w:val="00EF5210"/>
    <w:rsid w:val="00F236D9"/>
    <w:rsid w:val="00F33FD8"/>
    <w:rsid w:val="00F71FD9"/>
    <w:rsid w:val="00FF5EB2"/>
    <w:rsid w:val="00FF6A68"/>
    <w:rsid w:val="5C133A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IoL</Company>
  <Pages>2</Pages>
  <Words>309</Words>
  <Characters>1764</Characters>
  <Lines>14</Lines>
  <Paragraphs>4</Paragraphs>
  <TotalTime>0</TotalTime>
  <ScaleCrop>false</ScaleCrop>
  <LinksUpToDate>false</LinksUpToDate>
  <CharactersWithSpaces>2069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2019-09-25T08:41:00Z</dcterms:created>
  <dc:creator>mhammad</dc:creator>
  <cp:lastModifiedBy>Sohaib Badaha</cp:lastModifiedBy>
  <dcterms:modified xsi:type="dcterms:W3CDTF">2026-04-07T11:14:58Z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-1576442732</vt:i4>
  </property>
  <property fmtid="{D5CDD505-2E9C-101B-9397-08002B2CF9AE}" pid="3" name="_EmailSubject">
    <vt:lpwstr/>
  </property>
  <property fmtid="{D5CDD505-2E9C-101B-9397-08002B2CF9AE}" pid="4" name="_AuthorEmail">
    <vt:lpwstr>mhammad@birzeit.edu</vt:lpwstr>
  </property>
  <property fmtid="{D5CDD505-2E9C-101B-9397-08002B2CF9AE}" pid="5" name="_AuthorEmailDisplayName">
    <vt:lpwstr>Mervet Hammad</vt:lpwstr>
  </property>
  <property fmtid="{D5CDD505-2E9C-101B-9397-08002B2CF9AE}" pid="6" name="_ReviewingToolsShownOnce">
    <vt:lpwstr/>
  </property>
  <property fmtid="{D5CDD505-2E9C-101B-9397-08002B2CF9AE}" pid="7" name="KSOProductBuildVer">
    <vt:lpwstr>1033-12.1.0.25830</vt:lpwstr>
  </property>
  <property fmtid="{D5CDD505-2E9C-101B-9397-08002B2CF9AE}" pid="8" name="ICV">
    <vt:lpwstr>BDFF88DE87B34C738E6BA7367F01B910_13</vt:lpwstr>
  </property>
</Properties>
</file>