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6A2309">
      <w:pPr>
        <w:ind w:left="0" w:right="0"/>
        <w:jc w:val="right"/>
        <w:rPr>
          <w:rFonts w:hint="cs" w:cs="Simplified Arabic"/>
          <w:b/>
          <w:bCs/>
          <w:rtl/>
        </w:rPr>
      </w:pPr>
      <w:bookmarkStart w:id="0" w:name="_GoBack"/>
      <w:bookmarkEnd w:id="0"/>
      <w:r>
        <w:rPr>
          <w:rFonts w:hint="cs" w:cs="Simplified Arabic"/>
          <w:b/>
          <w:bCs/>
          <w:rtl/>
        </w:rPr>
        <w:t>قرار مجلس الوزراء رقم (121) لسنة 2005م</w:t>
      </w:r>
    </w:p>
    <w:p w14:paraId="2FDA0AEE">
      <w:pPr>
        <w:ind w:left="0" w:right="0"/>
        <w:jc w:val="right"/>
        <w:rPr>
          <w:rFonts w:hint="cs" w:cs="Simplified Arabic"/>
          <w:b/>
          <w:bCs/>
          <w:rtl/>
        </w:rPr>
      </w:pPr>
      <w:r>
        <w:rPr>
          <w:rFonts w:hint="cs" w:cs="Simplified Arabic"/>
          <w:b/>
          <w:bCs/>
          <w:rtl/>
        </w:rPr>
        <w:t>بلائحة القواعد المنظمة للجزاءات طبقاً لقانون العمل رقم (7) لسنة 2000م</w:t>
      </w:r>
    </w:p>
    <w:p w14:paraId="3ABFB175">
      <w:pPr>
        <w:ind w:left="0" w:right="0"/>
        <w:jc w:val="right"/>
        <w:rPr>
          <w:rFonts w:hint="cs" w:cs="Simplified Arabic"/>
          <w:rtl/>
        </w:rPr>
      </w:pPr>
    </w:p>
    <w:p w14:paraId="2F263B4F">
      <w:pPr>
        <w:ind w:left="0" w:right="0"/>
        <w:jc w:val="right"/>
        <w:rPr>
          <w:rFonts w:hint="cs" w:cs="Simplified Arabic"/>
          <w:rtl/>
        </w:rPr>
      </w:pPr>
      <w:r>
        <w:rPr>
          <w:rFonts w:hint="cs" w:cs="Simplified Arabic"/>
          <w:rtl/>
        </w:rPr>
        <w:t>مجلس الوزراء</w:t>
      </w:r>
    </w:p>
    <w:p w14:paraId="5ED73306">
      <w:pPr>
        <w:ind w:left="0" w:right="0"/>
        <w:jc w:val="right"/>
        <w:rPr>
          <w:rFonts w:hint="cs" w:cs="Simplified Arabic"/>
          <w:rtl/>
        </w:rPr>
      </w:pPr>
      <w:r>
        <w:rPr>
          <w:rFonts w:hint="cs" w:cs="Simplified Arabic"/>
          <w:rtl/>
        </w:rPr>
        <w:t xml:space="preserve"> بعد الاطَّلاع على قانون العمل رقم (7) لسنة 2000، لا سيما المادة (84) والفقرة (3) من المادة (40)، والمادة (91)</w:t>
      </w:r>
    </w:p>
    <w:p w14:paraId="7992B81B">
      <w:pPr>
        <w:ind w:left="0" w:right="0"/>
        <w:jc w:val="right"/>
        <w:rPr>
          <w:rFonts w:hint="cs" w:cs="Simplified Arabic"/>
          <w:rtl/>
        </w:rPr>
      </w:pPr>
      <w:r>
        <w:rPr>
          <w:rFonts w:hint="cs" w:cs="Simplified Arabic"/>
          <w:rtl/>
        </w:rPr>
        <w:t>وعلى ما عرضه وزير الشؤون الاجتماعية والعمل،</w:t>
      </w:r>
    </w:p>
    <w:p w14:paraId="1283F410">
      <w:pPr>
        <w:ind w:left="0" w:right="0"/>
        <w:jc w:val="right"/>
        <w:rPr>
          <w:rFonts w:hint="cs" w:cs="Simplified Arabic"/>
          <w:rtl/>
        </w:rPr>
      </w:pPr>
      <w:r>
        <w:rPr>
          <w:rFonts w:hint="cs" w:cs="Simplified Arabic"/>
          <w:rtl/>
        </w:rPr>
        <w:t>وبناءً على ما أقره مجلس الوزراء في جلسته المنعقدة بمدينة رام الله بتاريخ 26/7/2005م.</w:t>
      </w:r>
    </w:p>
    <w:p w14:paraId="1EB5CBF2">
      <w:pPr>
        <w:ind w:left="0" w:right="0"/>
        <w:jc w:val="right"/>
        <w:rPr>
          <w:rFonts w:hint="cs" w:cs="Simplified Arabic"/>
          <w:rtl/>
        </w:rPr>
      </w:pPr>
    </w:p>
    <w:p w14:paraId="6C1D4BA6">
      <w:pPr>
        <w:ind w:left="0" w:right="0"/>
        <w:jc w:val="right"/>
        <w:rPr>
          <w:rFonts w:hint="cs" w:cs="Simplified Arabic"/>
          <w:rtl/>
        </w:rPr>
      </w:pPr>
      <w:r>
        <w:rPr>
          <w:rFonts w:hint="cs" w:cs="Simplified Arabic"/>
          <w:rtl/>
        </w:rPr>
        <w:t>أصدرنا ما يلي:</w:t>
      </w:r>
    </w:p>
    <w:p w14:paraId="010E702E">
      <w:pPr>
        <w:ind w:left="0" w:right="0"/>
        <w:jc w:val="right"/>
        <w:rPr>
          <w:rFonts w:hint="cs" w:cs="Simplified Arabic"/>
          <w:rtl/>
        </w:rPr>
      </w:pPr>
      <w:r>
        <w:rPr>
          <w:rFonts w:hint="cs" w:cs="Simplified Arabic"/>
          <w:rtl/>
        </w:rPr>
        <w:t>مادة (1)</w:t>
      </w:r>
    </w:p>
    <w:p w14:paraId="261C2329">
      <w:pPr>
        <w:ind w:left="0" w:right="0"/>
        <w:jc w:val="right"/>
        <w:rPr>
          <w:rFonts w:hint="cs" w:cs="Simplified Arabic"/>
          <w:rtl/>
        </w:rPr>
      </w:pPr>
      <w:r>
        <w:rPr>
          <w:rFonts w:hint="cs" w:cs="Simplified Arabic"/>
          <w:rtl/>
        </w:rPr>
        <w:t>لا توقع أية عقوبة على العامل إلا وفق لائحة جزاءات مصدقة من قبل وزارة العمل.</w:t>
      </w:r>
    </w:p>
    <w:p w14:paraId="67BBC788">
      <w:pPr>
        <w:ind w:left="0" w:right="0"/>
        <w:jc w:val="right"/>
        <w:rPr>
          <w:rFonts w:hint="cs" w:cs="Simplified Arabic"/>
          <w:rtl/>
        </w:rPr>
      </w:pPr>
    </w:p>
    <w:p w14:paraId="40292A7A">
      <w:pPr>
        <w:ind w:left="0" w:right="0"/>
        <w:jc w:val="right"/>
        <w:rPr>
          <w:rFonts w:hint="cs" w:cs="Simplified Arabic"/>
          <w:rtl/>
        </w:rPr>
      </w:pPr>
      <w:r>
        <w:rPr>
          <w:rFonts w:hint="cs" w:cs="Simplified Arabic"/>
          <w:rtl/>
        </w:rPr>
        <w:t>مادة (2)</w:t>
      </w:r>
    </w:p>
    <w:p w14:paraId="3300BD8F">
      <w:pPr>
        <w:ind w:left="0" w:right="0"/>
        <w:jc w:val="right"/>
        <w:rPr>
          <w:rFonts w:hint="cs" w:cs="Simplified Arabic"/>
          <w:rtl/>
        </w:rPr>
      </w:pPr>
      <w:r>
        <w:rPr>
          <w:rFonts w:hint="cs" w:cs="Simplified Arabic"/>
          <w:rtl/>
        </w:rPr>
        <w:t>1- لغايات المصادقة على لائحة الجزاءات يسترشد بالنموذج المرفق باللائحة.</w:t>
      </w:r>
    </w:p>
    <w:p w14:paraId="729E544B">
      <w:pPr>
        <w:ind w:left="0" w:right="0"/>
        <w:jc w:val="right"/>
        <w:rPr>
          <w:rFonts w:hint="cs" w:cs="Simplified Arabic"/>
          <w:rtl/>
        </w:rPr>
      </w:pPr>
      <w:r>
        <w:rPr>
          <w:rFonts w:hint="cs" w:cs="Simplified Arabic"/>
          <w:rtl/>
        </w:rPr>
        <w:t>2- تنقسم العقوبات على المخالفات الواردة فيها إلى:</w:t>
      </w:r>
    </w:p>
    <w:p w14:paraId="7EF663A9">
      <w:pPr>
        <w:ind w:left="0" w:right="0"/>
        <w:jc w:val="right"/>
        <w:rPr>
          <w:rFonts w:hint="cs" w:cs="Simplified Arabic"/>
          <w:rtl/>
        </w:rPr>
      </w:pPr>
      <w:r>
        <w:rPr>
          <w:rFonts w:hint="cs" w:cs="Simplified Arabic"/>
          <w:rtl/>
        </w:rPr>
        <w:t>أ) إجراءات تأديبية ومنها التنبيه الشفهي والإنذار المكتوب والوقف عن العمل والحرمان من الترقيات والفصل من العمل.</w:t>
      </w:r>
    </w:p>
    <w:p w14:paraId="5244E72A">
      <w:pPr>
        <w:ind w:left="0" w:right="0"/>
        <w:jc w:val="right"/>
        <w:rPr>
          <w:rFonts w:hint="cs" w:cs="Simplified Arabic"/>
          <w:rtl/>
        </w:rPr>
      </w:pPr>
      <w:r>
        <w:rPr>
          <w:rFonts w:hint="cs" w:cs="Simplified Arabic"/>
          <w:rtl/>
        </w:rPr>
        <w:t>ب) عقوبات مالية ومنها الغرامة المالية.</w:t>
      </w:r>
    </w:p>
    <w:p w14:paraId="4E5CD268">
      <w:pPr>
        <w:ind w:left="0" w:right="0"/>
        <w:jc w:val="right"/>
        <w:rPr>
          <w:rFonts w:hint="cs" w:cs="Simplified Arabic"/>
          <w:rtl/>
        </w:rPr>
      </w:pPr>
      <w:r>
        <w:rPr>
          <w:rFonts w:hint="cs" w:cs="Simplified Arabic"/>
          <w:rtl/>
        </w:rPr>
        <w:t>3- لا يجوز أن تتجاوز قيمة العقوبة المالية المفروضة أجر ثلاثة أيام في الشهر، وتخصص الغرامات المفروضة على العمال للخدمات الاجتماعية.</w:t>
      </w:r>
    </w:p>
    <w:p w14:paraId="0BB3F086">
      <w:pPr>
        <w:ind w:left="0" w:right="0"/>
        <w:jc w:val="right"/>
        <w:rPr>
          <w:rFonts w:hint="cs" w:cs="Simplified Arabic"/>
          <w:rtl/>
        </w:rPr>
      </w:pPr>
      <w:r>
        <w:rPr>
          <w:rFonts w:hint="cs" w:cs="Simplified Arabic"/>
          <w:rtl/>
        </w:rPr>
        <w:t>4- على صاحب العمل تدوين المخالفات والغرامات المالية المفروضة على العامل في سجل في المنشأة.</w:t>
      </w:r>
    </w:p>
    <w:p w14:paraId="095134E3">
      <w:pPr>
        <w:ind w:left="0" w:right="0"/>
        <w:jc w:val="right"/>
        <w:rPr>
          <w:rFonts w:hint="cs" w:cs="Simplified Arabic"/>
          <w:rtl/>
        </w:rPr>
      </w:pPr>
    </w:p>
    <w:p w14:paraId="0881FD18">
      <w:pPr>
        <w:ind w:left="0" w:right="0"/>
        <w:jc w:val="right"/>
        <w:rPr>
          <w:rFonts w:hint="cs" w:cs="Simplified Arabic"/>
          <w:rtl/>
        </w:rPr>
      </w:pPr>
      <w:r>
        <w:rPr>
          <w:rFonts w:hint="cs" w:cs="Simplified Arabic"/>
          <w:rtl/>
        </w:rPr>
        <w:t>مادة (3)</w:t>
      </w:r>
    </w:p>
    <w:p w14:paraId="1CD9D6AE">
      <w:pPr>
        <w:ind w:left="0" w:right="0"/>
        <w:jc w:val="right"/>
        <w:rPr>
          <w:rFonts w:hint="cs" w:cs="Simplified Arabic"/>
          <w:rtl/>
        </w:rPr>
      </w:pPr>
      <w:r>
        <w:rPr>
          <w:rFonts w:hint="cs" w:cs="Simplified Arabic"/>
          <w:rtl/>
        </w:rPr>
        <w:t>يُراعى في فرض العقوبات على المخالفات المنصوص عليها في لائحة الجزاءات المصادق عليها من الوزارة- الأمور الآتية:</w:t>
      </w:r>
    </w:p>
    <w:p w14:paraId="6F567254">
      <w:pPr>
        <w:ind w:left="0" w:right="0"/>
        <w:jc w:val="right"/>
        <w:rPr>
          <w:rFonts w:hint="cs" w:cs="Simplified Arabic"/>
          <w:rtl/>
        </w:rPr>
      </w:pPr>
      <w:r>
        <w:rPr>
          <w:rFonts w:hint="cs" w:cs="Simplified Arabic"/>
          <w:rtl/>
        </w:rPr>
        <w:t>1- باستثناء عقوبتي التنبيه الشفهي أو الإنذار المكتوب، لا يجوز إيقاع أية عقوبة على العامل إلا بعد إبلاغه خطياً.</w:t>
      </w:r>
    </w:p>
    <w:p w14:paraId="47BDF5A9">
      <w:pPr>
        <w:ind w:left="0" w:right="0"/>
        <w:jc w:val="right"/>
        <w:rPr>
          <w:rFonts w:hint="cs" w:cs="Simplified Arabic"/>
          <w:rtl/>
        </w:rPr>
      </w:pPr>
      <w:r>
        <w:rPr>
          <w:rFonts w:hint="cs" w:cs="Simplified Arabic"/>
          <w:rtl/>
        </w:rPr>
        <w:t>2- لا يجوز إيقاع أكثر من عقوبة واحدة على العامل عن نفس المخالفة.</w:t>
      </w:r>
    </w:p>
    <w:p w14:paraId="5FEE0AED">
      <w:pPr>
        <w:ind w:left="0" w:right="0"/>
        <w:jc w:val="right"/>
        <w:rPr>
          <w:rFonts w:hint="cs" w:cs="Simplified Arabic"/>
          <w:rtl/>
        </w:rPr>
      </w:pPr>
      <w:r>
        <w:rPr>
          <w:rFonts w:hint="cs" w:cs="Simplified Arabic"/>
          <w:rtl/>
        </w:rPr>
        <w:t>3- لا يجوز تجاوز الحد الأقصى للعقوبات الواردة في لائحة الجزاءات.</w:t>
      </w:r>
    </w:p>
    <w:p w14:paraId="70E06275">
      <w:pPr>
        <w:ind w:left="0" w:right="0"/>
        <w:jc w:val="right"/>
        <w:rPr>
          <w:rFonts w:hint="cs" w:cs="Simplified Arabic"/>
          <w:rtl/>
        </w:rPr>
      </w:pPr>
      <w:r>
        <w:rPr>
          <w:rFonts w:hint="cs" w:cs="Simplified Arabic"/>
          <w:rtl/>
        </w:rPr>
        <w:t>4- لا يحتسب التكرار لغايات فرض العقوبات على المخالفات في مدة أقصاها سنة من تاريخ ارتكاب المخالفة الأولى، على أن تكون من ذات نوع المخالفة.</w:t>
      </w:r>
    </w:p>
    <w:p w14:paraId="0DDC9C63">
      <w:pPr>
        <w:ind w:left="0" w:right="0"/>
        <w:jc w:val="right"/>
        <w:rPr>
          <w:rFonts w:hint="cs" w:cs="Simplified Arabic"/>
          <w:rtl/>
        </w:rPr>
      </w:pPr>
      <w:r>
        <w:rPr>
          <w:rFonts w:hint="cs" w:cs="Simplified Arabic"/>
          <w:rtl/>
        </w:rPr>
        <w:t>5- لا توقع العقوبة بعد مضي أسبوعين من تاريخ التثبت من المخالفة.</w:t>
      </w:r>
    </w:p>
    <w:p w14:paraId="06149E8F">
      <w:pPr>
        <w:ind w:left="0" w:right="0"/>
        <w:jc w:val="right"/>
        <w:rPr>
          <w:rFonts w:hint="cs" w:cs="Simplified Arabic"/>
          <w:rtl/>
        </w:rPr>
      </w:pPr>
    </w:p>
    <w:p w14:paraId="2AE401C2">
      <w:pPr>
        <w:ind w:left="0" w:right="0"/>
        <w:jc w:val="right"/>
        <w:rPr>
          <w:rFonts w:hint="cs" w:cs="Simplified Arabic"/>
          <w:rtl/>
        </w:rPr>
      </w:pPr>
      <w:r>
        <w:rPr>
          <w:rFonts w:hint="cs" w:cs="Simplified Arabic"/>
          <w:rtl/>
        </w:rPr>
        <w:t>مادة (4)</w:t>
      </w:r>
    </w:p>
    <w:p w14:paraId="4F808695">
      <w:pPr>
        <w:ind w:left="0" w:right="0"/>
        <w:jc w:val="right"/>
        <w:rPr>
          <w:rFonts w:hint="cs" w:cs="Simplified Arabic"/>
          <w:rtl/>
        </w:rPr>
      </w:pPr>
      <w:r>
        <w:rPr>
          <w:rFonts w:hint="cs" w:cs="Simplified Arabic"/>
          <w:rtl/>
        </w:rPr>
        <w:t>1- مع مراعاة ما ورد في المادة (91) من قانون العمل، لا تسري الأحكام الواردة في لائحة الجزاءات المصادق عليها واية تعديلات تجري عليها وفقاً للأصول إلا من تاريخ علم العمال بها.</w:t>
      </w:r>
    </w:p>
    <w:p w14:paraId="67C36CBE">
      <w:pPr>
        <w:ind w:left="0" w:right="0"/>
        <w:jc w:val="right"/>
        <w:rPr>
          <w:rFonts w:hint="cs" w:cs="Simplified Arabic"/>
          <w:rtl/>
        </w:rPr>
      </w:pPr>
      <w:r>
        <w:rPr>
          <w:rFonts w:hint="cs" w:cs="Simplified Arabic"/>
          <w:rtl/>
        </w:rPr>
        <w:t>2- لا يجوز لصاحب العمل التعديل على لائحة الجزاءات إلا بالمصادقة على التعديل من قبل وزارة العمل.</w:t>
      </w:r>
    </w:p>
    <w:p w14:paraId="2CA849A0">
      <w:pPr>
        <w:ind w:left="0" w:right="0"/>
        <w:jc w:val="right"/>
        <w:rPr>
          <w:rFonts w:hint="cs" w:cs="Simplified Arabic"/>
          <w:rtl/>
        </w:rPr>
      </w:pPr>
    </w:p>
    <w:p w14:paraId="0CE6ED41">
      <w:pPr>
        <w:ind w:left="0" w:right="0"/>
        <w:jc w:val="right"/>
        <w:rPr>
          <w:rFonts w:hint="cs" w:cs="Simplified Arabic"/>
          <w:rtl/>
        </w:rPr>
      </w:pPr>
      <w:r>
        <w:rPr>
          <w:rFonts w:hint="cs" w:cs="Simplified Arabic"/>
          <w:rtl/>
        </w:rPr>
        <w:t>مادة (5)</w:t>
      </w:r>
    </w:p>
    <w:p w14:paraId="074F61A6">
      <w:pPr>
        <w:ind w:left="0" w:right="0"/>
        <w:jc w:val="right"/>
        <w:rPr>
          <w:rFonts w:hint="cs" w:cs="Simplified Arabic"/>
          <w:rtl/>
        </w:rPr>
      </w:pPr>
      <w:r>
        <w:rPr>
          <w:rFonts w:hint="cs" w:cs="Simplified Arabic"/>
          <w:rtl/>
        </w:rPr>
        <w:t>1- للعامل حق الاعتراض على أي إجراء تأديبي يتخذ ضده لدى مفتش العمل خلال أسبوع من تبلغه خطياً، ولمفتش العمل إيقاف أية إجراءات تأديبية اتخذت بحق العامل وفق لائحة الجزاءات المصادق عليها إذا تحقق من عدم صحة المخالفة أو العقوبة المفروضة عليه.</w:t>
      </w:r>
    </w:p>
    <w:p w14:paraId="1F6175B1">
      <w:pPr>
        <w:ind w:left="0" w:right="0"/>
        <w:jc w:val="right"/>
        <w:rPr>
          <w:rFonts w:hint="cs" w:cs="Simplified Arabic"/>
          <w:rtl/>
        </w:rPr>
      </w:pPr>
      <w:r>
        <w:rPr>
          <w:rFonts w:hint="cs" w:cs="Simplified Arabic"/>
          <w:rtl/>
        </w:rPr>
        <w:t>2- يلتزم صاحب العمل بإيقاف العقوبة على العامل إذا قرر مفتش العمل أن صاحب العمل غير محق بها.</w:t>
      </w:r>
    </w:p>
    <w:p w14:paraId="31563CEE">
      <w:pPr>
        <w:ind w:left="0" w:right="0"/>
        <w:jc w:val="right"/>
        <w:rPr>
          <w:rFonts w:hint="cs" w:cs="Simplified Arabic"/>
          <w:rtl/>
        </w:rPr>
      </w:pPr>
    </w:p>
    <w:p w14:paraId="433CED02">
      <w:pPr>
        <w:ind w:left="0" w:right="0"/>
        <w:jc w:val="right"/>
        <w:rPr>
          <w:rFonts w:hint="cs" w:cs="Simplified Arabic"/>
          <w:rtl/>
        </w:rPr>
      </w:pPr>
      <w:r>
        <w:rPr>
          <w:rFonts w:hint="cs" w:cs="Simplified Arabic"/>
          <w:rtl/>
        </w:rPr>
        <w:t>مادة (6)</w:t>
      </w:r>
    </w:p>
    <w:p w14:paraId="19D43BC3">
      <w:pPr>
        <w:ind w:left="0" w:right="0"/>
        <w:jc w:val="right"/>
        <w:rPr>
          <w:rFonts w:hint="cs" w:cs="Simplified Arabic"/>
          <w:rtl/>
        </w:rPr>
      </w:pPr>
      <w:r>
        <w:rPr>
          <w:rFonts w:hint="cs" w:cs="Simplified Arabic"/>
          <w:rtl/>
        </w:rPr>
        <w:t>لغايات إعمال المادة (40):</w:t>
      </w:r>
    </w:p>
    <w:p w14:paraId="22B85FE2">
      <w:pPr>
        <w:ind w:left="0" w:right="0"/>
        <w:jc w:val="right"/>
        <w:rPr>
          <w:rFonts w:hint="cs" w:cs="Simplified Arabic"/>
          <w:rtl/>
        </w:rPr>
      </w:pPr>
      <w:r>
        <w:rPr>
          <w:rFonts w:hint="cs" w:cs="Simplified Arabic"/>
          <w:rtl/>
        </w:rPr>
        <w:t>1. لصاحب العمل بناء على قرار قضائي وقف دفع مكافأة نهاية الخدمة في حال ارتكاب العامل لمخالفة متعمدة واردة في لائحة الجزاءات المصادق عليها ونتج عنها ضرر جسيم أو خسارة جسيمة متحقق منها.</w:t>
      </w:r>
    </w:p>
    <w:p w14:paraId="63F1C31C">
      <w:pPr>
        <w:ind w:left="0" w:right="0"/>
        <w:jc w:val="right"/>
        <w:rPr>
          <w:rFonts w:hint="cs" w:cs="Simplified Arabic"/>
          <w:rtl/>
        </w:rPr>
      </w:pPr>
      <w:r>
        <w:rPr>
          <w:rFonts w:hint="cs" w:cs="Simplified Arabic"/>
          <w:rtl/>
        </w:rPr>
        <w:t>2. يحق لصاحب العمل تطبيق العقوبة القصوى بالفصل للمخالفات المنصوص عليها في النظام الداخلي بشرط مراعاة التدرج في فرض العقوبة المنصوص عليها في لائحة الجزاءات ومراعاة الشروط التي يتطلبها قانون العمل.</w:t>
      </w:r>
    </w:p>
    <w:p w14:paraId="6E8CBA56">
      <w:pPr>
        <w:ind w:left="0" w:right="0"/>
        <w:jc w:val="right"/>
        <w:rPr>
          <w:rFonts w:hint="cs" w:cs="Simplified Arabic"/>
          <w:rtl/>
        </w:rPr>
      </w:pPr>
    </w:p>
    <w:p w14:paraId="7A7E44DC">
      <w:pPr>
        <w:ind w:left="0" w:right="0"/>
        <w:jc w:val="right"/>
        <w:rPr>
          <w:rFonts w:hint="cs" w:cs="Simplified Arabic"/>
          <w:rtl/>
        </w:rPr>
      </w:pPr>
      <w:r>
        <w:rPr>
          <w:rFonts w:hint="cs" w:cs="Simplified Arabic"/>
          <w:rtl/>
        </w:rPr>
        <w:t>مادة (7)</w:t>
      </w:r>
    </w:p>
    <w:p w14:paraId="0E9EA774">
      <w:pPr>
        <w:ind w:left="0" w:right="0"/>
        <w:jc w:val="right"/>
        <w:rPr>
          <w:rFonts w:hint="cs" w:cs="Simplified Arabic"/>
          <w:rtl/>
        </w:rPr>
      </w:pPr>
    </w:p>
    <w:p w14:paraId="0A7EBD64">
      <w:pPr>
        <w:ind w:left="0" w:right="0"/>
        <w:jc w:val="right"/>
        <w:rPr>
          <w:rFonts w:hint="cs" w:cs="Simplified Arabic"/>
          <w:rtl/>
        </w:rPr>
      </w:pPr>
      <w:r>
        <w:rPr>
          <w:rFonts w:hint="cs" w:cs="Simplified Arabic"/>
          <w:rtl/>
        </w:rPr>
        <w:t>على الجهات المختصة كافة-كلَّ فيما يخصّه- تنفيذ أحكام هذا القرار، ويعمل به تاريخ صدوره، وينشر في الجريدة الرسمية.</w:t>
      </w:r>
    </w:p>
    <w:p w14:paraId="22E4FC7C">
      <w:pPr>
        <w:ind w:left="0" w:right="0"/>
        <w:jc w:val="right"/>
        <w:rPr>
          <w:rFonts w:hint="cs" w:cs="Simplified Arabic"/>
          <w:rtl/>
        </w:rPr>
      </w:pPr>
    </w:p>
    <w:p w14:paraId="6732A6F3">
      <w:pPr>
        <w:ind w:left="0" w:right="0"/>
        <w:jc w:val="right"/>
        <w:rPr>
          <w:rFonts w:hint="cs" w:cs="Simplified Arabic"/>
          <w:rtl/>
        </w:rPr>
      </w:pPr>
      <w:r>
        <w:rPr>
          <w:rFonts w:hint="cs" w:cs="Simplified Arabic"/>
          <w:rtl/>
        </w:rPr>
        <w:t>صدر في مدينة رام الله بتاريخ: 26/7/2005 ميلادية</w:t>
      </w:r>
    </w:p>
    <w:p w14:paraId="7AD4B31A">
      <w:pPr>
        <w:ind w:left="0" w:right="0"/>
        <w:jc w:val="right"/>
        <w:rPr>
          <w:rFonts w:hint="cs" w:cs="Simplified Arabic"/>
          <w:rtl/>
        </w:rPr>
      </w:pPr>
      <w:r>
        <w:rPr>
          <w:rFonts w:hint="cs" w:cs="Simplified Arabic"/>
          <w:rtl/>
        </w:rPr>
        <w:t>الموافق 20 جماد آخر 1426 هجرية</w:t>
      </w:r>
    </w:p>
    <w:p w14:paraId="6791E81F">
      <w:pPr>
        <w:ind w:left="0" w:right="0"/>
        <w:jc w:val="right"/>
        <w:rPr>
          <w:rFonts w:hint="cs" w:cs="Simplified Arabic"/>
          <w:rtl/>
        </w:rPr>
      </w:pPr>
    </w:p>
    <w:p w14:paraId="07CE019F">
      <w:pPr>
        <w:ind w:left="0" w:right="0"/>
        <w:jc w:val="right"/>
        <w:rPr>
          <w:rFonts w:hint="cs" w:cs="Simplified Arabic"/>
          <w:rtl/>
        </w:rPr>
      </w:pPr>
      <w:r>
        <w:rPr>
          <w:rFonts w:hint="cs" w:cs="Simplified Arabic"/>
          <w:rtl/>
        </w:rPr>
        <w:t>أحمد قريع</w:t>
      </w:r>
    </w:p>
    <w:p w14:paraId="14CF3A0F">
      <w:pPr>
        <w:ind w:left="0" w:right="0"/>
        <w:jc w:val="right"/>
        <w:rPr>
          <w:rFonts w:hint="cs" w:cs="Simplified Arabic"/>
          <w:rtl/>
        </w:rPr>
      </w:pPr>
      <w:r>
        <w:rPr>
          <w:rFonts w:hint="cs" w:cs="Simplified Arabic"/>
          <w:rtl/>
        </w:rPr>
        <w:t>رئيس مجلس الوزراء</w:t>
      </w:r>
    </w:p>
    <w:p w14:paraId="5935C449">
      <w:pPr>
        <w:ind w:left="0" w:right="0"/>
        <w:jc w:val="right"/>
        <w:rPr>
          <w:rFonts w:hint="cs" w:cs="Simplified Arabic"/>
          <w:rtl/>
        </w:rPr>
      </w:pPr>
    </w:p>
    <w:p w14:paraId="56927D9E">
      <w:pPr>
        <w:ind w:left="0" w:right="0"/>
        <w:jc w:val="right"/>
        <w:rPr>
          <w:rFonts w:hint="cs" w:cs="Simplified Arabic"/>
          <w:rtl/>
        </w:rPr>
      </w:pPr>
    </w:p>
    <w:p w14:paraId="07C8A46F">
      <w:pPr>
        <w:ind w:left="0" w:right="0"/>
        <w:jc w:val="right"/>
        <w:rPr>
          <w:rFonts w:hint="cs" w:cs="Simplified Arabic"/>
          <w:rtl/>
        </w:rPr>
      </w:pPr>
    </w:p>
    <w:p w14:paraId="3E6CD6C1">
      <w:pPr>
        <w:ind w:left="0" w:right="0"/>
        <w:jc w:val="right"/>
        <w:rPr>
          <w:rFonts w:hint="cs" w:cs="Simplified Arabic"/>
          <w:rtl/>
        </w:rPr>
      </w:pPr>
    </w:p>
    <w:p w14:paraId="40C32AC8">
      <w:pPr>
        <w:ind w:left="0" w:right="0"/>
        <w:jc w:val="right"/>
      </w:pPr>
    </w:p>
    <w:p w14:paraId="2AEBF719">
      <w:pPr>
        <w:ind w:left="0" w:right="0"/>
        <w:jc w:val="right"/>
        <w:rPr>
          <w:rFonts w:hint="cs" w:cs="Simplified Arabic"/>
        </w:rPr>
      </w:pPr>
    </w:p>
    <w:sectPr>
      <w:pgSz w:w="11906" w:h="16838"/>
      <w:pgMar w:top="1008" w:right="1008" w:bottom="720" w:left="864" w:header="720" w:footer="720" w:gutter="0"/>
      <w:cols w:space="720" w:num="1"/>
      <w:bidi/>
      <w:rtlGutter w:val="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implified Arabic">
    <w:panose1 w:val="02020603050405020304"/>
    <w:charset w:val="00"/>
    <w:family w:val="roman"/>
    <w:pitch w:val="default"/>
    <w:sig w:usb0="00002003" w:usb1="80000000" w:usb2="00000008" w:usb3="00000000" w:csb0="00000041" w:csb1="200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hyphenationZone w:val="360"/>
  <w:drawingGridHorizontalSpacing w:val="187"/>
  <w:displayHorizontalDrawingGridEvery w:val="1"/>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E2182"/>
    <w:rsid w:val="00007E8B"/>
    <w:rsid w:val="00047AF3"/>
    <w:rsid w:val="00056208"/>
    <w:rsid w:val="00060B04"/>
    <w:rsid w:val="00071240"/>
    <w:rsid w:val="00081CE4"/>
    <w:rsid w:val="000829BB"/>
    <w:rsid w:val="0009126C"/>
    <w:rsid w:val="0009475D"/>
    <w:rsid w:val="00096561"/>
    <w:rsid w:val="000A4868"/>
    <w:rsid w:val="000D4191"/>
    <w:rsid w:val="000E6D59"/>
    <w:rsid w:val="001E394B"/>
    <w:rsid w:val="001E4457"/>
    <w:rsid w:val="0024179D"/>
    <w:rsid w:val="00262276"/>
    <w:rsid w:val="002A68AD"/>
    <w:rsid w:val="002E658C"/>
    <w:rsid w:val="00301611"/>
    <w:rsid w:val="00332AD1"/>
    <w:rsid w:val="00344F62"/>
    <w:rsid w:val="00361452"/>
    <w:rsid w:val="00373CD3"/>
    <w:rsid w:val="003805EB"/>
    <w:rsid w:val="00384B5E"/>
    <w:rsid w:val="00397D8A"/>
    <w:rsid w:val="003D2569"/>
    <w:rsid w:val="003E45BC"/>
    <w:rsid w:val="00400259"/>
    <w:rsid w:val="00435E43"/>
    <w:rsid w:val="00447293"/>
    <w:rsid w:val="00470D19"/>
    <w:rsid w:val="004837B1"/>
    <w:rsid w:val="00497ED0"/>
    <w:rsid w:val="004C61FF"/>
    <w:rsid w:val="004D1C7A"/>
    <w:rsid w:val="004E7E4A"/>
    <w:rsid w:val="004F3F59"/>
    <w:rsid w:val="004F516C"/>
    <w:rsid w:val="00514BD1"/>
    <w:rsid w:val="00566110"/>
    <w:rsid w:val="005A658F"/>
    <w:rsid w:val="005E7037"/>
    <w:rsid w:val="00611ABA"/>
    <w:rsid w:val="006423FA"/>
    <w:rsid w:val="0067658F"/>
    <w:rsid w:val="00683D3F"/>
    <w:rsid w:val="006E579F"/>
    <w:rsid w:val="006F0CE1"/>
    <w:rsid w:val="00744DB6"/>
    <w:rsid w:val="00750157"/>
    <w:rsid w:val="00751B4D"/>
    <w:rsid w:val="00770510"/>
    <w:rsid w:val="00780E12"/>
    <w:rsid w:val="007D03FA"/>
    <w:rsid w:val="007F2F32"/>
    <w:rsid w:val="0081173E"/>
    <w:rsid w:val="00821E7E"/>
    <w:rsid w:val="008900E4"/>
    <w:rsid w:val="008A218A"/>
    <w:rsid w:val="008E43F2"/>
    <w:rsid w:val="008E4CA0"/>
    <w:rsid w:val="009275C2"/>
    <w:rsid w:val="009425DC"/>
    <w:rsid w:val="009560F2"/>
    <w:rsid w:val="009A0901"/>
    <w:rsid w:val="009A144B"/>
    <w:rsid w:val="009B6372"/>
    <w:rsid w:val="00A13A7B"/>
    <w:rsid w:val="00A27697"/>
    <w:rsid w:val="00A34FDC"/>
    <w:rsid w:val="00A42BDF"/>
    <w:rsid w:val="00A8057C"/>
    <w:rsid w:val="00A904DC"/>
    <w:rsid w:val="00A91DE7"/>
    <w:rsid w:val="00A934AF"/>
    <w:rsid w:val="00AA3944"/>
    <w:rsid w:val="00AB0653"/>
    <w:rsid w:val="00AB77C6"/>
    <w:rsid w:val="00AC4404"/>
    <w:rsid w:val="00AC7C74"/>
    <w:rsid w:val="00AE115F"/>
    <w:rsid w:val="00AF180F"/>
    <w:rsid w:val="00AF1A62"/>
    <w:rsid w:val="00BD0B01"/>
    <w:rsid w:val="00BD3E53"/>
    <w:rsid w:val="00C12C03"/>
    <w:rsid w:val="00C4736E"/>
    <w:rsid w:val="00C94203"/>
    <w:rsid w:val="00C95AB1"/>
    <w:rsid w:val="00CB2E8E"/>
    <w:rsid w:val="00CE2182"/>
    <w:rsid w:val="00CF23EC"/>
    <w:rsid w:val="00CF7424"/>
    <w:rsid w:val="00D31008"/>
    <w:rsid w:val="00D3565E"/>
    <w:rsid w:val="00D4779A"/>
    <w:rsid w:val="00D52EAA"/>
    <w:rsid w:val="00D57082"/>
    <w:rsid w:val="00D65E3F"/>
    <w:rsid w:val="00D9269C"/>
    <w:rsid w:val="00DA6A8C"/>
    <w:rsid w:val="00DC6F97"/>
    <w:rsid w:val="00DD3859"/>
    <w:rsid w:val="00DF0960"/>
    <w:rsid w:val="00E73412"/>
    <w:rsid w:val="00ED5B32"/>
    <w:rsid w:val="00EE35FE"/>
    <w:rsid w:val="00F0192A"/>
    <w:rsid w:val="00F449B9"/>
    <w:rsid w:val="00F454FA"/>
    <w:rsid w:val="00F47493"/>
    <w:rsid w:val="00F6672D"/>
    <w:rsid w:val="00FA4AC8"/>
    <w:rsid w:val="00FD330D"/>
    <w:rsid w:val="00FE5E08"/>
    <w:rsid w:val="67F54FA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bidi/>
      <w:ind w:left="0" w:right="0"/>
      <w:jc w:val="left"/>
    </w:pPr>
    <w:rPr>
      <w:sz w:val="24"/>
      <w:szCs w:val="24"/>
      <w:lang w:val="en-US" w:eastAsia="en-US" w:bidi="ar-SA"/>
    </w:rPr>
  </w:style>
  <w:style w:type="character" w:default="1" w:styleId="2">
    <w:name w:val="Default Paragraph Font"/>
    <w:semiHidden/>
    <w:uiPriority w:val="0"/>
  </w:style>
  <w:style w:type="table" w:default="1" w:styleId="3">
    <w:name w:val="Normal Table"/>
    <w:semiHidden/>
    <w:uiPriority w:val="0"/>
    <w:tblPr>
      <w:tblStyle w:val="3"/>
      <w:tblCellMar>
        <w:top w:w="0" w:type="dxa"/>
        <w:left w:w="108" w:type="dxa"/>
        <w:bottom w:w="0" w:type="dxa"/>
        <w:right w:w="108" w:type="dxa"/>
      </w:tblCellMar>
    </w:tblPr>
    <w:trPr>
      <w:wBefore w:w="0" w:type="dxa"/>
    </w:t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418</Words>
  <Characters>2384</Characters>
  <Lines>19</Lines>
  <Paragraphs>5</Paragraphs>
  <TotalTime>0</TotalTime>
  <ScaleCrop>false</ScaleCrop>
  <LinksUpToDate>false</LinksUpToDate>
  <CharactersWithSpaces>2797</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2019-09-25T09:34:00Z</dcterms:created>
  <dc:creator>ryassin</dc:creator>
  <cp:lastModifiedBy>Sohaib Badaha</cp:lastModifiedBy>
  <dcterms:modified xsi:type="dcterms:W3CDTF">2026-04-07T11:15:09Z</dcterms:modified>
  <dc:title>قرار مجلس الوزراء رقم (121) لسنة 2005م</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1033-12.1.0.25830</vt:lpwstr>
  </property>
  <property fmtid="{D5CDD505-2E9C-101B-9397-08002B2CF9AE}" pid="3" name="ICV">
    <vt:lpwstr>F22E30B8200349C38FE31D3E0D124D1A_13</vt:lpwstr>
  </property>
</Properties>
</file>