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OSDU® Integration Technical Guide</w:t>
      </w:r>
    </w:p>
    <w:p>
      <w:pPr>
        <w:jc w:val="center"/>
      </w:pPr>
      <w:r>
        <w:rPr>
          <w:color w:val="44546A"/>
          <w:sz w:val="30"/>
        </w:rPr>
        <w:t>How to integrate an external application with a client OSDU Data Platform deployment</w:t>
      </w:r>
    </w:p>
    <w:p>
      <w:pPr>
        <w:jc w:val="center"/>
      </w:pPr>
      <w:r>
        <w:rPr>
          <w:b/>
          <w:sz w:val="22"/>
        </w:rPr>
        <w:t>Practical API tutorial + Well Insight use case + production checklist</w:t>
      </w:r>
    </w:p>
    <w:p>
      <w:r>
        <w:br/>
      </w:r>
    </w:p>
    <w:tbl>
      <w:tblPr>
        <w:tblW w:type="auto" w:w="0"/>
        <w:jc w:val="center"/>
        <w:tblLook w:firstColumn="1" w:firstRow="1" w:lastColumn="0" w:lastRow="0" w:noHBand="0" w:noVBand="1" w:val="04A0"/>
      </w:tblPr>
      <w:tblGrid>
        <w:gridCol w:w="10166"/>
      </w:tblGrid>
      <w:tr>
        <w:tc>
          <w:tcPr>
            <w:tcW w:type="dxa" w:w="10166"/>
            <w:shd w:fill="FFF2CC"/>
          </w:tcPr>
          <w:p>
            <w:r/>
            <w:r>
              <w:rPr>
                <w:b/>
                <w:color w:val="17365D"/>
              </w:rPr>
              <w:t xml:space="preserve">Important distinction:  </w:t>
            </w:r>
            <w:r>
              <w:t>The Open Group / OSDU websites publish the standard, open-source services and data definitions. Your application integrates with the client’s deployed OSDU endpoint, not directly with opengroup.org. You need the client deployment URL, partition, identity-provider token procedure and entitlements before the examples can run.</w:t>
            </w:r>
          </w:p>
        </w:tc>
      </w:tr>
    </w:tbl>
    <w:p>
      <w:pPr>
        <w:spacing w:after="0"/>
      </w:pPr>
    </w:p>
    <w:p>
      <w:r>
        <w:br/>
      </w:r>
    </w:p>
    <w:p>
      <w:pPr>
        <w:jc w:val="center"/>
      </w:pPr>
      <w:r>
        <w:rPr>
          <w:i/>
          <w:sz w:val="19"/>
        </w:rPr>
        <w:t>Audience: solution architects, backend developers, data engineers, subsurface application teams, platform operators</w:t>
      </w:r>
    </w:p>
    <w:p>
      <w:r>
        <w:br w:type="page"/>
      </w:r>
    </w:p>
    <w:p>
      <w:pPr>
        <w:pStyle w:val="Heading1"/>
      </w:pPr>
      <w:r>
        <w:t>Document Scope</w:t>
      </w:r>
    </w:p>
    <w:p>
      <w:r>
        <w:t>This guide provides an implementation-oriented path for connecting a custom application to an OSDU Data Platform instance. It focuses on the core service APIs most application teams use first and shows an end-to-end use case that can be adapted to a client environment.</w:t>
      </w:r>
    </w:p>
    <w:p>
      <w:pPr>
        <w:pStyle w:val="ListBullet"/>
        <w:spacing w:after="40"/>
      </w:pPr>
      <w:r>
        <w:t>OSDU integration architecture and the role of core services.</w:t>
      </w:r>
    </w:p>
    <w:p>
      <w:pPr>
        <w:pStyle w:val="ListBullet"/>
        <w:spacing w:after="40"/>
      </w:pPr>
      <w:r>
        <w:t>Client information required before development starts.</w:t>
      </w:r>
    </w:p>
    <w:p>
      <w:pPr>
        <w:pStyle w:val="ListBullet"/>
        <w:spacing w:after="40"/>
      </w:pPr>
      <w:r>
        <w:t>Authentication, data partitions, entitlements, ACLs and legal tags.</w:t>
      </w:r>
    </w:p>
    <w:p>
      <w:pPr>
        <w:pStyle w:val="ListBullet"/>
        <w:spacing w:after="40"/>
      </w:pPr>
      <w:r>
        <w:t>Schema discovery, Search Service and Storage Service integration.</w:t>
      </w:r>
    </w:p>
    <w:p>
      <w:pPr>
        <w:pStyle w:val="ListBullet"/>
        <w:spacing w:after="40"/>
      </w:pPr>
      <w:r>
        <w:t>Dataset retrieval flow for files and bulk datasets.</w:t>
      </w:r>
    </w:p>
    <w:p>
      <w:pPr>
        <w:pStyle w:val="ListBullet"/>
        <w:spacing w:after="40"/>
      </w:pPr>
      <w:r>
        <w:t>End-to-end Well Insight application tutorial.</w:t>
      </w:r>
    </w:p>
    <w:p>
      <w:pPr>
        <w:pStyle w:val="ListBullet"/>
        <w:spacing w:after="40"/>
      </w:pPr>
      <w:r>
        <w:t>Optional derived-data write-back with lineage.</w:t>
      </w:r>
    </w:p>
    <w:p>
      <w:pPr>
        <w:pStyle w:val="ListBullet"/>
        <w:spacing w:after="40"/>
      </w:pPr>
      <w:r>
        <w:t>Production hardening, testing and troubleshooting.</w:t>
      </w:r>
    </w:p>
    <w:p>
      <w:pPr>
        <w:pStyle w:val="Heading1"/>
      </w:pPr>
      <w:r>
        <w:t>1. What OSDU Is from an Application Integration Perspective</w:t>
      </w:r>
    </w:p>
    <w:p>
      <w:r>
        <w:t>The OSDU Data Platform is an open-source, standards-based, technology-agnostic data platform for the energy industry. For an application developer, the important point is that OSDU exposes domain data and platform capabilities through service APIs rather than forcing the application to understand the underlying cloud storage or database implementation. [S1][S2]</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vAlign w:val="center"/>
            <w:shd w:fill="2F5597"/>
          </w:tcPr>
          <w:p>
            <w:r/>
            <w:r>
              <w:rPr>
                <w:rFonts w:ascii="Aptos" w:hAnsi="Aptos"/>
                <w:b/>
                <w:color w:val="FFFFFF"/>
                <w:sz w:val="18"/>
              </w:rPr>
              <w:t>Application need</w:t>
            </w:r>
          </w:p>
        </w:tc>
        <w:tc>
          <w:tcPr>
            <w:tcW w:type="dxa" w:w="6480"/>
            <w:vAlign w:val="center"/>
            <w:shd w:fill="2F5597"/>
          </w:tcPr>
          <w:p>
            <w:r/>
            <w:r>
              <w:rPr>
                <w:rFonts w:ascii="Aptos" w:hAnsi="Aptos"/>
                <w:b/>
                <w:color w:val="FFFFFF"/>
                <w:sz w:val="18"/>
              </w:rPr>
              <w:t>OSDU capability commonly used</w:t>
            </w:r>
          </w:p>
        </w:tc>
      </w:tr>
      <w:tr>
        <w:trPr>
          <w:cantSplit/>
        </w:trPr>
        <w:tc>
          <w:tcPr>
            <w:tcW w:type="dxa" w:w="3456"/>
            <w:vAlign w:val="center"/>
          </w:tcPr>
          <w:p>
            <w:r/>
            <w:r>
              <w:rPr>
                <w:rFonts w:ascii="Aptos" w:hAnsi="Aptos"/>
                <w:b w:val="0"/>
                <w:sz w:val="17"/>
              </w:rPr>
              <w:t>Find wells, wellbores, seismic or other records</w:t>
            </w:r>
          </w:p>
        </w:tc>
        <w:tc>
          <w:tcPr>
            <w:tcW w:type="dxa" w:w="6480"/>
            <w:vAlign w:val="center"/>
          </w:tcPr>
          <w:p>
            <w:r/>
            <w:r>
              <w:rPr>
                <w:rFonts w:ascii="Aptos" w:hAnsi="Aptos"/>
                <w:b w:val="0"/>
                <w:sz w:val="17"/>
              </w:rPr>
              <w:t>Search Service</w:t>
            </w:r>
          </w:p>
        </w:tc>
      </w:tr>
      <w:tr>
        <w:trPr>
          <w:cantSplit/>
        </w:trPr>
        <w:tc>
          <w:tcPr>
            <w:tcW w:type="dxa" w:w="3456"/>
            <w:vAlign w:val="center"/>
            <w:shd w:fill="F4F7FB"/>
          </w:tcPr>
          <w:p>
            <w:r/>
            <w:r>
              <w:rPr>
                <w:rFonts w:ascii="Aptos" w:hAnsi="Aptos"/>
                <w:b w:val="0"/>
                <w:sz w:val="17"/>
              </w:rPr>
              <w:t>Read or write record metadata</w:t>
            </w:r>
          </w:p>
        </w:tc>
        <w:tc>
          <w:tcPr>
            <w:tcW w:type="dxa" w:w="6480"/>
            <w:vAlign w:val="center"/>
            <w:shd w:fill="F4F7FB"/>
          </w:tcPr>
          <w:p>
            <w:r/>
            <w:r>
              <w:rPr>
                <w:rFonts w:ascii="Aptos" w:hAnsi="Aptos"/>
                <w:b w:val="0"/>
                <w:sz w:val="17"/>
              </w:rPr>
              <w:t>Storage Service</w:t>
            </w:r>
          </w:p>
        </w:tc>
      </w:tr>
      <w:tr>
        <w:trPr>
          <w:cantSplit/>
        </w:trPr>
        <w:tc>
          <w:tcPr>
            <w:tcW w:type="dxa" w:w="3456"/>
            <w:vAlign w:val="center"/>
          </w:tcPr>
          <w:p>
            <w:r/>
            <w:r>
              <w:rPr>
                <w:rFonts w:ascii="Aptos" w:hAnsi="Aptos"/>
                <w:b w:val="0"/>
                <w:sz w:val="17"/>
              </w:rPr>
              <w:t>Understand or validate record structure</w:t>
            </w:r>
          </w:p>
        </w:tc>
        <w:tc>
          <w:tcPr>
            <w:tcW w:type="dxa" w:w="6480"/>
            <w:vAlign w:val="center"/>
          </w:tcPr>
          <w:p>
            <w:r/>
            <w:r>
              <w:rPr>
                <w:rFonts w:ascii="Aptos" w:hAnsi="Aptos"/>
                <w:b w:val="0"/>
                <w:sz w:val="17"/>
              </w:rPr>
              <w:t>Schema Service / OSDU Data Definitions</w:t>
            </w:r>
          </w:p>
        </w:tc>
      </w:tr>
      <w:tr>
        <w:trPr>
          <w:cantSplit/>
        </w:trPr>
        <w:tc>
          <w:tcPr>
            <w:tcW w:type="dxa" w:w="3456"/>
            <w:vAlign w:val="center"/>
            <w:shd w:fill="F4F7FB"/>
          </w:tcPr>
          <w:p>
            <w:r/>
            <w:r>
              <w:rPr>
                <w:rFonts w:ascii="Aptos" w:hAnsi="Aptos"/>
                <w:b w:val="0"/>
                <w:sz w:val="17"/>
              </w:rPr>
              <w:t>Authorize users and service identities</w:t>
            </w:r>
          </w:p>
        </w:tc>
        <w:tc>
          <w:tcPr>
            <w:tcW w:type="dxa" w:w="6480"/>
            <w:vAlign w:val="center"/>
            <w:shd w:fill="F4F7FB"/>
          </w:tcPr>
          <w:p>
            <w:r/>
            <w:r>
              <w:rPr>
                <w:rFonts w:ascii="Aptos" w:hAnsi="Aptos"/>
                <w:b w:val="0"/>
                <w:sz w:val="17"/>
              </w:rPr>
              <w:t>Entitlements Service + record ACLs</w:t>
            </w:r>
          </w:p>
        </w:tc>
      </w:tr>
      <w:tr>
        <w:trPr>
          <w:cantSplit/>
        </w:trPr>
        <w:tc>
          <w:tcPr>
            <w:tcW w:type="dxa" w:w="3456"/>
            <w:vAlign w:val="center"/>
          </w:tcPr>
          <w:p>
            <w:r/>
            <w:r>
              <w:rPr>
                <w:rFonts w:ascii="Aptos" w:hAnsi="Aptos"/>
                <w:b w:val="0"/>
                <w:sz w:val="17"/>
              </w:rPr>
              <w:t>Apply data compliance constraints</w:t>
            </w:r>
          </w:p>
        </w:tc>
        <w:tc>
          <w:tcPr>
            <w:tcW w:type="dxa" w:w="6480"/>
            <w:vAlign w:val="center"/>
          </w:tcPr>
          <w:p>
            <w:r/>
            <w:r>
              <w:rPr>
                <w:rFonts w:ascii="Aptos" w:hAnsi="Aptos"/>
                <w:b w:val="0"/>
                <w:sz w:val="17"/>
              </w:rPr>
              <w:t>Legal Service + LegalTags</w:t>
            </w:r>
          </w:p>
        </w:tc>
      </w:tr>
      <w:tr>
        <w:trPr>
          <w:cantSplit/>
        </w:trPr>
        <w:tc>
          <w:tcPr>
            <w:tcW w:type="dxa" w:w="3456"/>
            <w:vAlign w:val="center"/>
            <w:shd w:fill="F4F7FB"/>
          </w:tcPr>
          <w:p>
            <w:r/>
            <w:r>
              <w:rPr>
                <w:rFonts w:ascii="Aptos" w:hAnsi="Aptos"/>
                <w:b w:val="0"/>
                <w:sz w:val="17"/>
              </w:rPr>
              <w:t>Get instructions to upload/download file datasets</w:t>
            </w:r>
          </w:p>
        </w:tc>
        <w:tc>
          <w:tcPr>
            <w:tcW w:type="dxa" w:w="6480"/>
            <w:vAlign w:val="center"/>
            <w:shd w:fill="F4F7FB"/>
          </w:tcPr>
          <w:p>
            <w:r/>
            <w:r>
              <w:rPr>
                <w:rFonts w:ascii="Aptos" w:hAnsi="Aptos"/>
                <w:b w:val="0"/>
                <w:sz w:val="17"/>
              </w:rPr>
              <w:t>Dataset Service / relevant DDMS</w:t>
            </w:r>
          </w:p>
        </w:tc>
      </w:tr>
      <w:tr>
        <w:trPr>
          <w:cantSplit/>
        </w:trPr>
        <w:tc>
          <w:tcPr>
            <w:tcW w:type="dxa" w:w="3456"/>
            <w:vAlign w:val="center"/>
          </w:tcPr>
          <w:p>
            <w:r/>
            <w:r>
              <w:rPr>
                <w:rFonts w:ascii="Aptos" w:hAnsi="Aptos"/>
                <w:b w:val="0"/>
                <w:sz w:val="17"/>
              </w:rPr>
              <w:t>Make records searchable after storage changes</w:t>
            </w:r>
          </w:p>
        </w:tc>
        <w:tc>
          <w:tcPr>
            <w:tcW w:type="dxa" w:w="6480"/>
            <w:vAlign w:val="center"/>
          </w:tcPr>
          <w:p>
            <w:r/>
            <w:r>
              <w:rPr>
                <w:rFonts w:ascii="Aptos" w:hAnsi="Aptos"/>
                <w:b w:val="0"/>
                <w:sz w:val="17"/>
              </w:rPr>
              <w:t>Indexer Service (platform-managed, generally not called by normal applications)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8"/>
          </w:tcPr>
          <w:p>
            <w:r/>
            <w:r>
              <w:rPr>
                <w:b/>
                <w:color w:val="17365D"/>
              </w:rPr>
              <w:t xml:space="preserve">Design rule:  </w:t>
            </w:r>
            <w:r>
              <w:t>Treat OSDU as a governed API platform. Do not bypass the OSDU services by reading the cloud database or object store directly unless the client architecture explicitly requires and governs that path.</w:t>
            </w:r>
          </w:p>
        </w:tc>
      </w:tr>
    </w:tbl>
    <w:p>
      <w:pPr>
        <w:spacing w:after="0"/>
      </w:pPr>
    </w:p>
    <w:p>
      <w:r>
        <w:br w:type="page"/>
      </w:r>
    </w:p>
    <w:p>
      <w:pPr>
        <w:pStyle w:val="Heading2"/>
      </w:pPr>
      <w:r>
        <w:t>1.1 Logical integration architecture</w:t>
      </w:r>
    </w:p>
    <w:p>
      <w:pPr>
        <w:pStyle w:val="CodeBlock"/>
        <w:keepLines/>
        <w:spacing w:after="0"/>
        <w:shd w:fill="F2F2F2"/>
      </w:pPr>
      <w:r>
        <w:rPr>
          <w:rFonts w:ascii="Consolas" w:hAnsi="Consolas"/>
          <w:sz w:val="16"/>
        </w:rPr>
        <w:t>+-------------------------+        +---------------------------+</w:t>
      </w:r>
    </w:p>
    <w:p>
      <w:pPr>
        <w:pStyle w:val="CodeBlock"/>
        <w:keepLines/>
        <w:spacing w:after="0"/>
        <w:shd w:fill="F2F2F2"/>
      </w:pPr>
      <w:r>
        <w:rPr>
          <w:rFonts w:ascii="Consolas" w:hAnsi="Consolas"/>
          <w:sz w:val="16"/>
        </w:rPr>
        <w:t>| Your Web / API / Data   |        | Client Identity Provider  |</w:t>
      </w:r>
    </w:p>
    <w:p>
      <w:pPr>
        <w:pStyle w:val="CodeBlock"/>
        <w:keepLines/>
        <w:spacing w:after="0"/>
        <w:shd w:fill="F2F2F2"/>
      </w:pPr>
      <w:r>
        <w:rPr>
          <w:rFonts w:ascii="Consolas" w:hAnsi="Consolas"/>
          <w:sz w:val="16"/>
        </w:rPr>
        <w:t>| Application             |&lt;------&gt;| (token issuance)          |</w:t>
      </w:r>
    </w:p>
    <w:p>
      <w:pPr>
        <w:pStyle w:val="CodeBlock"/>
        <w:keepLines/>
        <w:spacing w:after="0"/>
        <w:shd w:fill="F2F2F2"/>
      </w:pPr>
      <w:r>
        <w:rPr>
          <w:rFonts w:ascii="Consolas" w:hAnsi="Consolas"/>
          <w:sz w:val="16"/>
        </w:rPr>
        <w:t>+------------+------------+        +---------------------------+</w:t>
      </w:r>
    </w:p>
    <w:p>
      <w:pPr>
        <w:pStyle w:val="CodeBlock"/>
        <w:keepLines/>
        <w:spacing w:after="0"/>
        <w:shd w:fill="F2F2F2"/>
      </w:pPr>
      <w:r>
        <w:rPr>
          <w:rFonts w:ascii="Consolas" w:hAnsi="Consolas"/>
          <w:sz w:val="16"/>
        </w:rPr>
        <w:t xml:space="preserve">             |</w:t>
      </w:r>
    </w:p>
    <w:p>
      <w:pPr>
        <w:pStyle w:val="CodeBlock"/>
        <w:keepLines/>
        <w:spacing w:after="0"/>
        <w:shd w:fill="F2F2F2"/>
      </w:pPr>
      <w:r>
        <w:rPr>
          <w:rFonts w:ascii="Consolas" w:hAnsi="Consolas"/>
          <w:sz w:val="16"/>
        </w:rPr>
        <w:t xml:space="preserve">             | Authorization: Bearer &lt;token&gt;</w:t>
      </w:r>
    </w:p>
    <w:p>
      <w:pPr>
        <w:pStyle w:val="CodeBlock"/>
        <w:keepLines/>
        <w:spacing w:after="0"/>
        <w:shd w:fill="F2F2F2"/>
      </w:pPr>
      <w:r>
        <w:rPr>
          <w:rFonts w:ascii="Consolas" w:hAnsi="Consolas"/>
          <w:sz w:val="16"/>
        </w:rPr>
        <w:t xml:space="preserve">             | data-partition-id: &lt;partition&gt;</w:t>
      </w:r>
    </w:p>
    <w:p>
      <w:pPr>
        <w:pStyle w:val="CodeBlock"/>
        <w:keepLines/>
        <w:spacing w:after="0"/>
        <w:shd w:fill="F2F2F2"/>
      </w:pPr>
      <w:r>
        <w:rPr>
          <w:rFonts w:ascii="Consolas" w:hAnsi="Consolas"/>
          <w:sz w:val="16"/>
        </w:rPr>
        <w:t xml:space="preserve">             | correlation-id: &lt;uuid&gt;</w:t>
      </w:r>
    </w:p>
    <w:p>
      <w:pPr>
        <w:pStyle w:val="CodeBlock"/>
        <w:keepLines/>
        <w:spacing w:after="0"/>
        <w:shd w:fill="F2F2F2"/>
      </w:pPr>
      <w:r>
        <w:rPr>
          <w:rFonts w:ascii="Consolas" w:hAnsi="Consolas"/>
          <w:sz w:val="16"/>
        </w:rPr>
        <w:t xml:space="preserve">             v</w:t>
      </w:r>
    </w:p>
    <w:p>
      <w:pPr>
        <w:pStyle w:val="CodeBlock"/>
        <w:keepLines/>
        <w:spacing w:after="0"/>
        <w:shd w:fill="F2F2F2"/>
      </w:pPr>
      <w:r>
        <w:rPr>
          <w:rFonts w:ascii="Consolas" w:hAnsi="Consolas"/>
          <w:sz w:val="16"/>
        </w:rPr>
        <w:t>+------------+--------------------------------------------------+</w:t>
      </w:r>
    </w:p>
    <w:p>
      <w:pPr>
        <w:pStyle w:val="CodeBlock"/>
        <w:keepLines/>
        <w:spacing w:after="0"/>
        <w:shd w:fill="F2F2F2"/>
      </w:pPr>
      <w:r>
        <w:rPr>
          <w:rFonts w:ascii="Consolas" w:hAnsi="Consolas"/>
          <w:sz w:val="16"/>
        </w:rPr>
        <w:t>|              Client OSDU API Gateway / Ingress               |</w:t>
      </w:r>
    </w:p>
    <w:p>
      <w:pPr>
        <w:pStyle w:val="CodeBlock"/>
        <w:keepLines/>
        <w:spacing w:after="0"/>
        <w:shd w:fill="F2F2F2"/>
      </w:pPr>
      <w:r>
        <w:rPr>
          <w:rFonts w:ascii="Consolas" w:hAnsi="Consolas"/>
          <w:sz w:val="16"/>
        </w:rPr>
        <w:t>+-------+----------+----------+----------+----------+-------------+</w:t>
      </w:r>
    </w:p>
    <w:p>
      <w:pPr>
        <w:pStyle w:val="CodeBlock"/>
        <w:keepLines/>
        <w:spacing w:after="0"/>
        <w:shd w:fill="F2F2F2"/>
      </w:pPr>
      <w:r>
        <w:rPr>
          <w:rFonts w:ascii="Consolas" w:hAnsi="Consolas"/>
          <w:sz w:val="16"/>
        </w:rPr>
        <w:t xml:space="preserve">        |          |          |          |          |</w:t>
      </w:r>
    </w:p>
    <w:p>
      <w:pPr>
        <w:pStyle w:val="CodeBlock"/>
        <w:keepLines/>
        <w:spacing w:after="0"/>
        <w:shd w:fill="F2F2F2"/>
      </w:pPr>
      <w:r>
        <w:rPr>
          <w:rFonts w:ascii="Consolas" w:hAnsi="Consolas"/>
          <w:sz w:val="16"/>
        </w:rPr>
        <w:t xml:space="preserve">        v          v          v          v          v</w:t>
      </w:r>
    </w:p>
    <w:p>
      <w:pPr>
        <w:pStyle w:val="CodeBlock"/>
        <w:keepLines/>
        <w:spacing w:after="0"/>
        <w:shd w:fill="F2F2F2"/>
      </w:pPr>
      <w:r>
        <w:rPr>
          <w:rFonts w:ascii="Consolas" w:hAnsi="Consolas"/>
          <w:sz w:val="16"/>
        </w:rPr>
        <w:t xml:space="preserve">   Entitlements  Search    Storage    Schema     Legal       Dataset/DDMS</w:t>
      </w:r>
    </w:p>
    <w:p>
      <w:pPr>
        <w:pStyle w:val="CodeBlock"/>
        <w:keepLines/>
        <w:spacing w:after="0"/>
        <w:shd w:fill="F2F2F2"/>
      </w:pPr>
      <w:r>
        <w:rPr>
          <w:rFonts w:ascii="Consolas" w:hAnsi="Consolas"/>
          <w:sz w:val="16"/>
        </w:rPr>
        <w:t xml:space="preserve">                       |       |</w:t>
      </w:r>
    </w:p>
    <w:p>
      <w:pPr>
        <w:pStyle w:val="CodeBlock"/>
        <w:keepLines/>
        <w:spacing w:after="0"/>
        <w:shd w:fill="F2F2F2"/>
      </w:pPr>
      <w:r>
        <w:rPr>
          <w:rFonts w:ascii="Consolas" w:hAnsi="Consolas"/>
          <w:sz w:val="16"/>
        </w:rPr>
        <w:t xml:space="preserve">                       |       +---- record-change event ----+</w:t>
      </w:r>
    </w:p>
    <w:p>
      <w:pPr>
        <w:pStyle w:val="CodeBlock"/>
        <w:keepLines/>
        <w:spacing w:after="0"/>
        <w:shd w:fill="F2F2F2"/>
      </w:pPr>
      <w:r>
        <w:rPr>
          <w:rFonts w:ascii="Consolas" w:hAnsi="Consolas"/>
          <w:sz w:val="16"/>
        </w:rPr>
        <w:t xml:space="preserve">                       |                                  Indexer</w:t>
      </w:r>
    </w:p>
    <w:p>
      <w:pPr>
        <w:pStyle w:val="CodeBlock"/>
        <w:keepLines/>
        <w:spacing w:after="0"/>
        <w:shd w:fill="F2F2F2"/>
      </w:pPr>
      <w:r>
        <w:rPr>
          <w:rFonts w:ascii="Consolas" w:hAnsi="Consolas"/>
          <w:sz w:val="16"/>
        </w:rPr>
        <w:t xml:space="preserve">                       +---------------- indexed data &lt;-----+</w:t>
      </w:r>
    </w:p>
    <w:p>
      <w:pPr>
        <w:spacing w:after="0"/>
      </w:pPr>
    </w:p>
    <w:p>
      <w:r>
        <w:t>The Indexer processes record-change events generated from Storage and supports Search. This means a successful Storage write and immediate Search visibility are separate events; production code should allow for indexing latency. [S10]</w:t>
      </w:r>
    </w:p>
    <w:p>
      <w:pPr>
        <w:pStyle w:val="Heading1"/>
      </w:pPr>
      <w:r>
        <w:t>2. Information You Need from the Client Before Coding</w:t>
      </w:r>
    </w:p>
    <w:p>
      <w:r>
        <w:t>Ask the client OSDU platform team for the following integration contract. The exact identity-provider flow, API gateway prefix and available service versions depend on the deployment, so this discovery step prevents hard-coding assumptions.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vAlign w:val="center"/>
            <w:shd w:fill="2F5597"/>
          </w:tcPr>
          <w:p>
            <w:r/>
            <w:r>
              <w:rPr>
                <w:rFonts w:ascii="Aptos" w:hAnsi="Aptos"/>
                <w:b/>
                <w:color w:val="FFFFFF"/>
                <w:sz w:val="18"/>
              </w:rPr>
              <w:t>Item</w:t>
            </w:r>
          </w:p>
        </w:tc>
        <w:tc>
          <w:tcPr>
            <w:tcW w:type="dxa" w:w="3096"/>
            <w:vAlign w:val="center"/>
            <w:shd w:fill="2F5597"/>
          </w:tcPr>
          <w:p>
            <w:r/>
            <w:r>
              <w:rPr>
                <w:rFonts w:ascii="Aptos" w:hAnsi="Aptos"/>
                <w:b/>
                <w:color w:val="FFFFFF"/>
                <w:sz w:val="18"/>
              </w:rPr>
              <w:t>Example placeholder</w:t>
            </w:r>
          </w:p>
        </w:tc>
        <w:tc>
          <w:tcPr>
            <w:tcW w:type="dxa" w:w="4320"/>
            <w:vAlign w:val="center"/>
            <w:shd w:fill="2F5597"/>
          </w:tcPr>
          <w:p>
            <w:r/>
            <w:r>
              <w:rPr>
                <w:rFonts w:ascii="Aptos" w:hAnsi="Aptos"/>
                <w:b/>
                <w:color w:val="FFFFFF"/>
                <w:sz w:val="18"/>
              </w:rPr>
              <w:t>Why it matters</w:t>
            </w:r>
          </w:p>
        </w:tc>
      </w:tr>
      <w:tr>
        <w:trPr>
          <w:cantSplit/>
        </w:trPr>
        <w:tc>
          <w:tcPr>
            <w:tcW w:type="dxa" w:w="2592"/>
            <w:vAlign w:val="center"/>
          </w:tcPr>
          <w:p>
            <w:r/>
            <w:r>
              <w:rPr>
                <w:rFonts w:ascii="Aptos" w:hAnsi="Aptos"/>
                <w:b w:val="0"/>
                <w:sz w:val="17"/>
              </w:rPr>
              <w:t>OSDU base URL</w:t>
            </w:r>
          </w:p>
        </w:tc>
        <w:tc>
          <w:tcPr>
            <w:tcW w:type="dxa" w:w="3096"/>
            <w:vAlign w:val="center"/>
          </w:tcPr>
          <w:p>
            <w:r/>
            <w:r>
              <w:rPr>
                <w:rFonts w:ascii="Aptos" w:hAnsi="Aptos"/>
                <w:b w:val="0"/>
                <w:sz w:val="17"/>
              </w:rPr>
              <w:t>https://&lt;client-osdu-host&gt;</w:t>
            </w:r>
          </w:p>
        </w:tc>
        <w:tc>
          <w:tcPr>
            <w:tcW w:type="dxa" w:w="4320"/>
            <w:vAlign w:val="center"/>
          </w:tcPr>
          <w:p>
            <w:r/>
            <w:r>
              <w:rPr>
                <w:rFonts w:ascii="Aptos" w:hAnsi="Aptos"/>
                <w:b w:val="0"/>
                <w:sz w:val="17"/>
              </w:rPr>
              <w:t>Base address for all service calls</w:t>
            </w:r>
          </w:p>
        </w:tc>
      </w:tr>
      <w:tr>
        <w:trPr>
          <w:cantSplit/>
        </w:trPr>
        <w:tc>
          <w:tcPr>
            <w:tcW w:type="dxa" w:w="2592"/>
            <w:vAlign w:val="center"/>
            <w:shd w:fill="F4F7FB"/>
          </w:tcPr>
          <w:p>
            <w:r/>
            <w:r>
              <w:rPr>
                <w:rFonts w:ascii="Aptos" w:hAnsi="Aptos"/>
                <w:b w:val="0"/>
                <w:sz w:val="17"/>
              </w:rPr>
              <w:t>Data partition</w:t>
            </w:r>
          </w:p>
        </w:tc>
        <w:tc>
          <w:tcPr>
            <w:tcW w:type="dxa" w:w="3096"/>
            <w:vAlign w:val="center"/>
            <w:shd w:fill="F4F7FB"/>
          </w:tcPr>
          <w:p>
            <w:r/>
            <w:r>
              <w:rPr>
                <w:rFonts w:ascii="Aptos" w:hAnsi="Aptos"/>
                <w:b w:val="0"/>
                <w:sz w:val="17"/>
              </w:rPr>
              <w:t>&lt;partition&gt;</w:t>
            </w:r>
          </w:p>
        </w:tc>
        <w:tc>
          <w:tcPr>
            <w:tcW w:type="dxa" w:w="4320"/>
            <w:vAlign w:val="center"/>
            <w:shd w:fill="F4F7FB"/>
          </w:tcPr>
          <w:p>
            <w:r/>
            <w:r>
              <w:rPr>
                <w:rFonts w:ascii="Aptos" w:hAnsi="Aptos"/>
                <w:b w:val="0"/>
                <w:sz w:val="17"/>
              </w:rPr>
              <w:t>Required partition context for OSDU service calls</w:t>
            </w:r>
          </w:p>
        </w:tc>
      </w:tr>
      <w:tr>
        <w:trPr>
          <w:cantSplit/>
        </w:trPr>
        <w:tc>
          <w:tcPr>
            <w:tcW w:type="dxa" w:w="2592"/>
            <w:vAlign w:val="center"/>
          </w:tcPr>
          <w:p>
            <w:r/>
            <w:r>
              <w:rPr>
                <w:rFonts w:ascii="Aptos" w:hAnsi="Aptos"/>
                <w:b w:val="0"/>
                <w:sz w:val="17"/>
              </w:rPr>
              <w:t>Token acquisition procedure</w:t>
            </w:r>
          </w:p>
        </w:tc>
        <w:tc>
          <w:tcPr>
            <w:tcW w:type="dxa" w:w="3096"/>
            <w:vAlign w:val="center"/>
          </w:tcPr>
          <w:p>
            <w:r/>
            <w:r>
              <w:rPr>
                <w:rFonts w:ascii="Aptos" w:hAnsi="Aptos"/>
                <w:b w:val="0"/>
                <w:sz w:val="17"/>
              </w:rPr>
              <w:t>Client IdP documentation</w:t>
            </w:r>
          </w:p>
        </w:tc>
        <w:tc>
          <w:tcPr>
            <w:tcW w:type="dxa" w:w="4320"/>
            <w:vAlign w:val="center"/>
          </w:tcPr>
          <w:p>
            <w:r/>
            <w:r>
              <w:rPr>
                <w:rFonts w:ascii="Aptos" w:hAnsi="Aptos"/>
                <w:b w:val="0"/>
                <w:sz w:val="17"/>
              </w:rPr>
              <w:t>OSDU APIs expect a Bearer token; token issuance is deployment-specific</w:t>
            </w:r>
          </w:p>
        </w:tc>
      </w:tr>
      <w:tr>
        <w:trPr>
          <w:cantSplit/>
        </w:trPr>
        <w:tc>
          <w:tcPr>
            <w:tcW w:type="dxa" w:w="2592"/>
            <w:vAlign w:val="center"/>
            <w:shd w:fill="F4F7FB"/>
          </w:tcPr>
          <w:p>
            <w:r/>
            <w:r>
              <w:rPr>
                <w:rFonts w:ascii="Aptos" w:hAnsi="Aptos"/>
                <w:b w:val="0"/>
                <w:sz w:val="17"/>
              </w:rPr>
              <w:t>Application/service identity</w:t>
            </w:r>
          </w:p>
        </w:tc>
        <w:tc>
          <w:tcPr>
            <w:tcW w:type="dxa" w:w="3096"/>
            <w:vAlign w:val="center"/>
            <w:shd w:fill="F4F7FB"/>
          </w:tcPr>
          <w:p>
            <w:r/>
            <w:r>
              <w:rPr>
                <w:rFonts w:ascii="Aptos" w:hAnsi="Aptos"/>
                <w:b w:val="0"/>
                <w:sz w:val="17"/>
              </w:rPr>
              <w:t>client ID / workload identity</w:t>
            </w:r>
          </w:p>
        </w:tc>
        <w:tc>
          <w:tcPr>
            <w:tcW w:type="dxa" w:w="4320"/>
            <w:vAlign w:val="center"/>
            <w:shd w:fill="F4F7FB"/>
          </w:tcPr>
          <w:p>
            <w:r/>
            <w:r>
              <w:rPr>
                <w:rFonts w:ascii="Aptos" w:hAnsi="Aptos"/>
                <w:b w:val="0"/>
                <w:sz w:val="17"/>
              </w:rPr>
              <w:t>Needed for server-to-server integration</w:t>
            </w:r>
          </w:p>
        </w:tc>
      </w:tr>
      <w:tr>
        <w:trPr>
          <w:cantSplit/>
        </w:trPr>
        <w:tc>
          <w:tcPr>
            <w:tcW w:type="dxa" w:w="2592"/>
            <w:vAlign w:val="center"/>
          </w:tcPr>
          <w:p>
            <w:r/>
            <w:r>
              <w:rPr>
                <w:rFonts w:ascii="Aptos" w:hAnsi="Aptos"/>
                <w:b w:val="0"/>
                <w:sz w:val="17"/>
              </w:rPr>
              <w:t>Entitlement groups</w:t>
            </w:r>
          </w:p>
        </w:tc>
        <w:tc>
          <w:tcPr>
            <w:tcW w:type="dxa" w:w="3096"/>
            <w:vAlign w:val="center"/>
          </w:tcPr>
          <w:p>
            <w:r/>
            <w:r>
              <w:rPr>
                <w:rFonts w:ascii="Aptos" w:hAnsi="Aptos"/>
                <w:b w:val="0"/>
                <w:sz w:val="17"/>
              </w:rPr>
              <w:t>service.search.user, service.storage.viewer, data.* groups</w:t>
            </w:r>
          </w:p>
        </w:tc>
        <w:tc>
          <w:tcPr>
            <w:tcW w:type="dxa" w:w="4320"/>
            <w:vAlign w:val="center"/>
          </w:tcPr>
          <w:p>
            <w:r/>
            <w:r>
              <w:rPr>
                <w:rFonts w:ascii="Aptos" w:hAnsi="Aptos"/>
                <w:b w:val="0"/>
                <w:sz w:val="17"/>
              </w:rPr>
              <w:t>Determines service and data access</w:t>
            </w:r>
          </w:p>
        </w:tc>
      </w:tr>
      <w:tr>
        <w:trPr>
          <w:cantSplit/>
        </w:trPr>
        <w:tc>
          <w:tcPr>
            <w:tcW w:type="dxa" w:w="2592"/>
            <w:vAlign w:val="center"/>
            <w:shd w:fill="F4F7FB"/>
          </w:tcPr>
          <w:p>
            <w:r/>
            <w:r>
              <w:rPr>
                <w:rFonts w:ascii="Aptos" w:hAnsi="Aptos"/>
                <w:b w:val="0"/>
                <w:sz w:val="17"/>
              </w:rPr>
              <w:t>Data ACL groups</w:t>
            </w:r>
          </w:p>
        </w:tc>
        <w:tc>
          <w:tcPr>
            <w:tcW w:type="dxa" w:w="3096"/>
            <w:vAlign w:val="center"/>
            <w:shd w:fill="F4F7FB"/>
          </w:tcPr>
          <w:p>
            <w:r/>
            <w:r>
              <w:rPr>
                <w:rFonts w:ascii="Aptos" w:hAnsi="Aptos"/>
                <w:b w:val="0"/>
                <w:sz w:val="17"/>
              </w:rPr>
              <w:t>data.&lt;domain&gt;.viewers / owners</w:t>
            </w:r>
          </w:p>
        </w:tc>
        <w:tc>
          <w:tcPr>
            <w:tcW w:type="dxa" w:w="4320"/>
            <w:vAlign w:val="center"/>
            <w:shd w:fill="F4F7FB"/>
          </w:tcPr>
          <w:p>
            <w:r/>
            <w:r>
              <w:rPr>
                <w:rFonts w:ascii="Aptos" w:hAnsi="Aptos"/>
                <w:b w:val="0"/>
                <w:sz w:val="17"/>
              </w:rPr>
              <w:t>Placed on records and used for data authorization</w:t>
            </w:r>
          </w:p>
        </w:tc>
      </w:tr>
      <w:tr>
        <w:trPr>
          <w:cantSplit/>
        </w:trPr>
        <w:tc>
          <w:tcPr>
            <w:tcW w:type="dxa" w:w="2592"/>
            <w:vAlign w:val="center"/>
          </w:tcPr>
          <w:p>
            <w:r/>
            <w:r>
              <w:rPr>
                <w:rFonts w:ascii="Aptos" w:hAnsi="Aptos"/>
                <w:b w:val="0"/>
                <w:sz w:val="17"/>
              </w:rPr>
              <w:t>Approved LegalTag(s)</w:t>
            </w:r>
          </w:p>
        </w:tc>
        <w:tc>
          <w:tcPr>
            <w:tcW w:type="dxa" w:w="3096"/>
            <w:vAlign w:val="center"/>
          </w:tcPr>
          <w:p>
            <w:r/>
            <w:r>
              <w:rPr>
                <w:rFonts w:ascii="Aptos" w:hAnsi="Aptos"/>
                <w:b w:val="0"/>
                <w:sz w:val="17"/>
              </w:rPr>
              <w:t>&lt;partition&gt;-&lt;tag&gt;</w:t>
            </w:r>
          </w:p>
        </w:tc>
        <w:tc>
          <w:tcPr>
            <w:tcW w:type="dxa" w:w="4320"/>
            <w:vAlign w:val="center"/>
          </w:tcPr>
          <w:p>
            <w:r/>
            <w:r>
              <w:rPr>
                <w:rFonts w:ascii="Aptos" w:hAnsi="Aptos"/>
                <w:b w:val="0"/>
                <w:sz w:val="17"/>
              </w:rPr>
              <w:t>Required for ingestion of source/non-derived data</w:t>
            </w:r>
          </w:p>
        </w:tc>
      </w:tr>
      <w:tr>
        <w:trPr>
          <w:cantSplit/>
        </w:trPr>
        <w:tc>
          <w:tcPr>
            <w:tcW w:type="dxa" w:w="2592"/>
            <w:vAlign w:val="center"/>
            <w:shd w:fill="F4F7FB"/>
          </w:tcPr>
          <w:p>
            <w:r/>
            <w:r>
              <w:rPr>
                <w:rFonts w:ascii="Aptos" w:hAnsi="Aptos"/>
                <w:b w:val="0"/>
                <w:sz w:val="17"/>
              </w:rPr>
              <w:t>Allowed OSDU kinds / schemas</w:t>
            </w:r>
          </w:p>
        </w:tc>
        <w:tc>
          <w:tcPr>
            <w:tcW w:type="dxa" w:w="3096"/>
            <w:vAlign w:val="center"/>
            <w:shd w:fill="F4F7FB"/>
          </w:tcPr>
          <w:p>
            <w:r/>
            <w:r>
              <w:rPr>
                <w:rFonts w:ascii="Aptos" w:hAnsi="Aptos"/>
                <w:b w:val="0"/>
                <w:sz w:val="17"/>
              </w:rPr>
              <w:t>e.g., Well / Wellbore</w:t>
            </w:r>
          </w:p>
        </w:tc>
        <w:tc>
          <w:tcPr>
            <w:tcW w:type="dxa" w:w="4320"/>
            <w:vAlign w:val="center"/>
            <w:shd w:fill="F4F7FB"/>
          </w:tcPr>
          <w:p>
            <w:r/>
            <w:r>
              <w:rPr>
                <w:rFonts w:ascii="Aptos" w:hAnsi="Aptos"/>
                <w:b w:val="0"/>
                <w:sz w:val="17"/>
              </w:rPr>
              <w:t>Prevents schema-version mismatch</w:t>
            </w:r>
          </w:p>
        </w:tc>
      </w:tr>
      <w:tr>
        <w:trPr>
          <w:cantSplit/>
        </w:trPr>
        <w:tc>
          <w:tcPr>
            <w:tcW w:type="dxa" w:w="2592"/>
            <w:vAlign w:val="center"/>
          </w:tcPr>
          <w:p>
            <w:r/>
            <w:r>
              <w:rPr>
                <w:rFonts w:ascii="Aptos" w:hAnsi="Aptos"/>
                <w:b w:val="0"/>
                <w:sz w:val="17"/>
              </w:rPr>
              <w:t>Swagger / OpenAPI endpoints</w:t>
            </w:r>
          </w:p>
        </w:tc>
        <w:tc>
          <w:tcPr>
            <w:tcW w:type="dxa" w:w="3096"/>
            <w:vAlign w:val="center"/>
          </w:tcPr>
          <w:p>
            <w:r/>
            <w:r>
              <w:rPr>
                <w:rFonts w:ascii="Aptos" w:hAnsi="Aptos"/>
                <w:b w:val="0"/>
                <w:sz w:val="17"/>
              </w:rPr>
              <w:t>client service swagger pages</w:t>
            </w:r>
          </w:p>
        </w:tc>
        <w:tc>
          <w:tcPr>
            <w:tcW w:type="dxa" w:w="4320"/>
            <w:vAlign w:val="center"/>
          </w:tcPr>
          <w:p>
            <w:r/>
            <w:r>
              <w:rPr>
                <w:rFonts w:ascii="Aptos" w:hAnsi="Aptos"/>
                <w:b w:val="0"/>
                <w:sz w:val="17"/>
              </w:rPr>
              <w:t>Confirms exact paths and deployed versions</w:t>
            </w:r>
          </w:p>
        </w:tc>
      </w:tr>
      <w:tr>
        <w:trPr>
          <w:cantSplit/>
        </w:trPr>
        <w:tc>
          <w:tcPr>
            <w:tcW w:type="dxa" w:w="2592"/>
            <w:vAlign w:val="center"/>
            <w:shd w:fill="F4F7FB"/>
          </w:tcPr>
          <w:p>
            <w:r/>
            <w:r>
              <w:rPr>
                <w:rFonts w:ascii="Aptos" w:hAnsi="Aptos"/>
                <w:b w:val="0"/>
                <w:sz w:val="17"/>
              </w:rPr>
              <w:t>Network/TLS requirements</w:t>
            </w:r>
          </w:p>
        </w:tc>
        <w:tc>
          <w:tcPr>
            <w:tcW w:type="dxa" w:w="3096"/>
            <w:vAlign w:val="center"/>
            <w:shd w:fill="F4F7FB"/>
          </w:tcPr>
          <w:p>
            <w:r/>
            <w:r>
              <w:rPr>
                <w:rFonts w:ascii="Aptos" w:hAnsi="Aptos"/>
                <w:b w:val="0"/>
                <w:sz w:val="17"/>
              </w:rPr>
              <w:t>VPN, private endpoint, mTLS, proxy</w:t>
            </w:r>
          </w:p>
        </w:tc>
        <w:tc>
          <w:tcPr>
            <w:tcW w:type="dxa" w:w="4320"/>
            <w:vAlign w:val="center"/>
            <w:shd w:fill="F4F7FB"/>
          </w:tcPr>
          <w:p>
            <w:r/>
            <w:r>
              <w:rPr>
                <w:rFonts w:ascii="Aptos" w:hAnsi="Aptos"/>
                <w:b w:val="0"/>
                <w:sz w:val="17"/>
              </w:rPr>
              <w:t>Required to reach the deployment</w:t>
            </w:r>
          </w:p>
        </w:tc>
      </w:tr>
      <w:tr>
        <w:trPr>
          <w:cantSplit/>
        </w:trPr>
        <w:tc>
          <w:tcPr>
            <w:tcW w:type="dxa" w:w="2592"/>
            <w:vAlign w:val="center"/>
          </w:tcPr>
          <w:p>
            <w:r/>
            <w:r>
              <w:rPr>
                <w:rFonts w:ascii="Aptos" w:hAnsi="Aptos"/>
                <w:b w:val="0"/>
                <w:sz w:val="17"/>
              </w:rPr>
              <w:t>Rate limits / payload limits</w:t>
            </w:r>
          </w:p>
        </w:tc>
        <w:tc>
          <w:tcPr>
            <w:tcW w:type="dxa" w:w="3096"/>
            <w:vAlign w:val="center"/>
          </w:tcPr>
          <w:p>
            <w:r/>
            <w:r>
              <w:rPr>
                <w:rFonts w:ascii="Aptos" w:hAnsi="Aptos"/>
                <w:b w:val="0"/>
                <w:sz w:val="17"/>
              </w:rPr>
              <w:t>client gateway policy</w:t>
            </w:r>
          </w:p>
        </w:tc>
        <w:tc>
          <w:tcPr>
            <w:tcW w:type="dxa" w:w="4320"/>
            <w:vAlign w:val="center"/>
          </w:tcPr>
          <w:p>
            <w:r/>
            <w:r>
              <w:rPr>
                <w:rFonts w:ascii="Aptos" w:hAnsi="Aptos"/>
                <w:b w:val="0"/>
                <w:sz w:val="17"/>
              </w:rPr>
              <w:t>Needed for batching, retry and concurrency design</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tcPr>
          <w:p>
            <w:r/>
            <w:r>
              <w:rPr>
                <w:b/>
                <w:color w:val="17365D"/>
              </w:rPr>
              <w:t xml:space="preserve">Do not assume schema versions:  </w:t>
            </w:r>
            <w:r>
              <w:t>A currently published OSDU Well definition includes kind osdu:wks:master-data--Well:1.4.0, but the client may run a different supported milestone or schema set. Query the client Schema Service and use the version actually deployed. [S9]</w:t>
            </w:r>
          </w:p>
        </w:tc>
      </w:tr>
    </w:tbl>
    <w:p>
      <w:pPr>
        <w:spacing w:after="0"/>
      </w:pPr>
    </w:p>
    <w:p>
      <w:pPr>
        <w:pStyle w:val="Heading1"/>
      </w:pPr>
      <w:r>
        <w:t>3. Common Request Contract</w:t>
      </w:r>
    </w:p>
    <w:p>
      <w:r>
        <w:t>OSDU service requests commonly carry a Bearer token and a data partition header. Official service documentation also recommends a correlation ID for tracing across services. [S3][S4]</w:t>
      </w:r>
    </w:p>
    <w:p>
      <w:pPr>
        <w:pStyle w:val="CodeBlock"/>
        <w:keepLines/>
        <w:spacing w:after="0"/>
        <w:shd w:fill="F2F2F2"/>
      </w:pPr>
      <w:r>
        <w:rPr>
          <w:rFonts w:ascii="Consolas" w:hAnsi="Consolas"/>
          <w:sz w:val="16"/>
        </w:rPr>
        <w:t>Authorization: Bearer &lt;ACCESS_TOKEN&gt;</w:t>
      </w:r>
    </w:p>
    <w:p>
      <w:pPr>
        <w:pStyle w:val="CodeBlock"/>
        <w:keepLines/>
        <w:spacing w:after="0"/>
        <w:shd w:fill="F2F2F2"/>
      </w:pPr>
      <w:r>
        <w:rPr>
          <w:rFonts w:ascii="Consolas" w:hAnsi="Consolas"/>
          <w:sz w:val="16"/>
        </w:rPr>
        <w:t>data-partition-id: &lt;PARTITION&gt;</w:t>
      </w:r>
    </w:p>
    <w:p>
      <w:pPr>
        <w:pStyle w:val="CodeBlock"/>
        <w:keepLines/>
        <w:spacing w:after="0"/>
        <w:shd w:fill="F2F2F2"/>
      </w:pPr>
      <w:r>
        <w:rPr>
          <w:rFonts w:ascii="Consolas" w:hAnsi="Consolas"/>
          <w:sz w:val="16"/>
        </w:rPr>
        <w:t>Content-Type: application/json</w:t>
      </w:r>
    </w:p>
    <w:p>
      <w:pPr>
        <w:pStyle w:val="CodeBlock"/>
        <w:keepLines/>
        <w:spacing w:after="0"/>
        <w:shd w:fill="F2F2F2"/>
      </w:pPr>
      <w:r>
        <w:rPr>
          <w:rFonts w:ascii="Consolas" w:hAnsi="Consolas"/>
          <w:sz w:val="16"/>
        </w:rPr>
        <w:t>correlation-id: &lt;UUID&gt;</w:t>
      </w:r>
    </w:p>
    <w:p>
      <w:pPr>
        <w:spacing w:after="0"/>
      </w:pPr>
    </w:p>
    <w:p>
      <w:r>
        <w:t>Use lowercase or canonical HTTP header spelling consistently in your client. HTTP headers are case-insensitive, but infrastructure policies and documentation are easier to troubleshoot when the same names are used everywhere.</w:t>
      </w:r>
    </w:p>
    <w:p>
      <w:pPr>
        <w:pStyle w:val="Heading2"/>
      </w:pPr>
      <w:r>
        <w:t>3.1 Environment variables used in this tutorial</w:t>
      </w:r>
    </w:p>
    <w:p>
      <w:pPr>
        <w:pStyle w:val="CodeBlock"/>
        <w:keepLines/>
        <w:spacing w:after="0"/>
        <w:shd w:fill="F2F2F2"/>
      </w:pPr>
      <w:r>
        <w:rPr>
          <w:rFonts w:ascii="Consolas" w:hAnsi="Consolas"/>
          <w:sz w:val="16"/>
        </w:rPr>
        <w:t>export OSDU_BASE_URL="https://&lt;client-osdu-host&gt;"</w:t>
      </w:r>
    </w:p>
    <w:p>
      <w:pPr>
        <w:pStyle w:val="CodeBlock"/>
        <w:keepLines/>
        <w:spacing w:after="0"/>
        <w:shd w:fill="F2F2F2"/>
      </w:pPr>
      <w:r>
        <w:rPr>
          <w:rFonts w:ascii="Consolas" w:hAnsi="Consolas"/>
          <w:sz w:val="16"/>
        </w:rPr>
        <w:t>export OSDU_PARTITION="&lt;partition&gt;"</w:t>
      </w:r>
    </w:p>
    <w:p>
      <w:pPr>
        <w:pStyle w:val="CodeBlock"/>
        <w:keepLines/>
        <w:spacing w:after="0"/>
        <w:shd w:fill="F2F2F2"/>
      </w:pPr>
      <w:r>
        <w:rPr>
          <w:rFonts w:ascii="Consolas" w:hAnsi="Consolas"/>
          <w:sz w:val="16"/>
        </w:rPr>
        <w:t>export OSDU_ACCESS_TOKEN="&lt;short-lived-bearer-token&gt;"</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 Confirm these route prefixes from the client's Swagger/OpenAPI.</w:t>
      </w:r>
    </w:p>
    <w:p>
      <w:pPr>
        <w:pStyle w:val="CodeBlock"/>
        <w:keepLines/>
        <w:spacing w:after="0"/>
        <w:shd w:fill="F2F2F2"/>
      </w:pPr>
      <w:r>
        <w:rPr>
          <w:rFonts w:ascii="Consolas" w:hAnsi="Consolas"/>
          <w:sz w:val="16"/>
        </w:rPr>
        <w:t>export OSDU_SEARCH_PATH="/api/search/v2"</w:t>
      </w:r>
    </w:p>
    <w:p>
      <w:pPr>
        <w:pStyle w:val="CodeBlock"/>
        <w:keepLines/>
        <w:spacing w:after="0"/>
        <w:shd w:fill="F2F2F2"/>
      </w:pPr>
      <w:r>
        <w:rPr>
          <w:rFonts w:ascii="Consolas" w:hAnsi="Consolas"/>
          <w:sz w:val="16"/>
        </w:rPr>
        <w:t>export OSDU_STORAGE_PATH="/api/storage/v2"</w:t>
      </w:r>
    </w:p>
    <w:p>
      <w:pPr>
        <w:pStyle w:val="CodeBlock"/>
        <w:keepLines/>
        <w:spacing w:after="0"/>
        <w:shd w:fill="F2F2F2"/>
      </w:pPr>
      <w:r>
        <w:rPr>
          <w:rFonts w:ascii="Consolas" w:hAnsi="Consolas"/>
          <w:sz w:val="16"/>
        </w:rPr>
        <w:t>export OSDU_SCHEMA_PATH="/api/schema-service/v1"</w:t>
      </w:r>
    </w:p>
    <w:p>
      <w:pPr>
        <w:pStyle w:val="CodeBlock"/>
        <w:keepLines/>
        <w:spacing w:after="0"/>
        <w:shd w:fill="F2F2F2"/>
      </w:pPr>
      <w:r>
        <w:rPr>
          <w:rFonts w:ascii="Consolas" w:hAnsi="Consolas"/>
          <w:sz w:val="16"/>
        </w:rPr>
        <w:t>export OSDU_LEGAL_PATH="/api/legal/v1"</w:t>
      </w:r>
    </w:p>
    <w:p>
      <w:pPr>
        <w:pStyle w:val="CodeBlock"/>
        <w:keepLines/>
        <w:spacing w:after="0"/>
        <w:shd w:fill="F2F2F2"/>
      </w:pPr>
      <w:r>
        <w:rPr>
          <w:rFonts w:ascii="Consolas" w:hAnsi="Consolas"/>
          <w:sz w:val="16"/>
        </w:rPr>
        <w:t>export OSDU_ENTITLEMENTS_PATH="/entitlements/v1"</w:t>
      </w:r>
    </w:p>
    <w:p>
      <w:pPr>
        <w:pStyle w:val="CodeBlock"/>
        <w:keepLines/>
        <w:spacing w:after="0"/>
        <w:shd w:fill="F2F2F2"/>
      </w:pPr>
      <w:r>
        <w:rPr>
          <w:rFonts w:ascii="Consolas" w:hAnsi="Consolas"/>
          <w:sz w:val="16"/>
        </w:rPr>
        <w:t>export OSDU_DATASET_PATH="/api/dataset/v1"</w:t>
      </w:r>
    </w:p>
    <w:p>
      <w:pPr>
        <w:spacing w:after="0"/>
      </w:pPr>
    </w:p>
    <w:tbl>
      <w:tblPr>
        <w:tblW w:type="auto" w:w="0"/>
        <w:jc w:val="center"/>
        <w:tblLook w:firstColumn="1" w:firstRow="1" w:lastColumn="0" w:lastRow="0" w:noHBand="0" w:noVBand="1" w:val="04A0"/>
      </w:tblPr>
      <w:tblGrid>
        <w:gridCol w:w="10166"/>
      </w:tblGrid>
      <w:tr>
        <w:tc>
          <w:tcPr>
            <w:tcW w:type="dxa" w:w="10166"/>
            <w:shd w:fill="EAF2F8"/>
          </w:tcPr>
          <w:p>
            <w:r/>
            <w:r>
              <w:rPr>
                <w:b/>
                <w:color w:val="17365D"/>
              </w:rPr>
              <w:t xml:space="preserve">Gateway variation:  </w:t>
            </w:r>
            <w:r>
              <w:t>The official service documentation exposes service context paths, but a client gateway can add or change a prefix. Treat each route above as a deployment configuration value, not a compiled constant.</w:t>
            </w:r>
          </w:p>
        </w:tc>
      </w:tr>
    </w:tbl>
    <w:p>
      <w:pPr>
        <w:spacing w:after="0"/>
      </w:pPr>
    </w:p>
    <w:p>
      <w:r>
        <w:br w:type="page"/>
      </w:r>
    </w:p>
    <w:p>
      <w:pPr>
        <w:pStyle w:val="Heading1"/>
      </w:pPr>
      <w:r>
        <w:t>4. Step 1 - Verify Identity and Entitlements</w:t>
      </w:r>
    </w:p>
    <w:p>
      <w:r>
        <w:t>The Entitlements Service is OSDU’s authorization/group service. Data groups provide data authorization, service groups provide service permissions, and user groups support hierarchical grouping. The current Entitlements documentation exposes an endpoint to list the groups resolved for the caller. [S3]</w:t>
      </w:r>
    </w:p>
    <w:p>
      <w:pPr>
        <w:pStyle w:val="CodeBlock"/>
        <w:keepLines/>
        <w:spacing w:after="0"/>
        <w:shd w:fill="F2F2F2"/>
      </w:pPr>
      <w:r>
        <w:rPr>
          <w:rFonts w:ascii="Consolas" w:hAnsi="Consolas"/>
          <w:sz w:val="16"/>
        </w:rPr>
        <w:t>curl -sS   -H "Authorization: Bearer $OSDU_ACCESS_TOKEN"   -H "data-partition-id: $OSDU_PARTITION"   "$OSDU_BASE_URL$OSDU_ENTITLEMENTS_PATH/groups?roleRequired=true"</w:t>
      </w:r>
    </w:p>
    <w:p>
      <w:pPr>
        <w:spacing w:after="0"/>
      </w:pPr>
    </w:p>
    <w:p>
      <w:r>
        <w:t>Validate that the application identity has both the service-level permissions needed for the API and membership in data groups that allow access to the target records. OSDU authorization is not only “can I call Search?”; it also includes “can I see this record’s ACL groups?” [S3]</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2F5597"/>
          </w:tcPr>
          <w:p>
            <w:r/>
            <w:r>
              <w:rPr>
                <w:rFonts w:ascii="Aptos" w:hAnsi="Aptos"/>
                <w:b/>
                <w:color w:val="FFFFFF"/>
                <w:sz w:val="18"/>
              </w:rPr>
              <w:t>Integration mode</w:t>
            </w:r>
          </w:p>
        </w:tc>
        <w:tc>
          <w:tcPr>
            <w:tcW w:type="dxa" w:w="5083"/>
            <w:vAlign w:val="center"/>
            <w:shd w:fill="2F5597"/>
          </w:tcPr>
          <w:p>
            <w:r/>
            <w:r>
              <w:rPr>
                <w:rFonts w:ascii="Aptos" w:hAnsi="Aptos"/>
                <w:b/>
                <w:color w:val="FFFFFF"/>
                <w:sz w:val="18"/>
              </w:rPr>
              <w:t>Typical minimum capability to request from platform team</w:t>
            </w:r>
          </w:p>
        </w:tc>
      </w:tr>
      <w:tr>
        <w:trPr>
          <w:cantSplit/>
        </w:trPr>
        <w:tc>
          <w:tcPr>
            <w:tcW w:type="dxa" w:w="5083"/>
            <w:vAlign w:val="center"/>
          </w:tcPr>
          <w:p>
            <w:r/>
            <w:r>
              <w:rPr>
                <w:rFonts w:ascii="Aptos" w:hAnsi="Aptos"/>
                <w:b w:val="0"/>
                <w:sz w:val="17"/>
              </w:rPr>
              <w:t>Read-only discovery</w:t>
            </w:r>
          </w:p>
        </w:tc>
        <w:tc>
          <w:tcPr>
            <w:tcW w:type="dxa" w:w="5083"/>
            <w:vAlign w:val="center"/>
          </w:tcPr>
          <w:p>
            <w:r/>
            <w:r>
              <w:rPr>
                <w:rFonts w:ascii="Aptos" w:hAnsi="Aptos"/>
                <w:b w:val="0"/>
                <w:sz w:val="17"/>
              </w:rPr>
              <w:t>Search user/viewer capability + membership in target data viewer groups</w:t>
            </w:r>
          </w:p>
        </w:tc>
      </w:tr>
      <w:tr>
        <w:trPr>
          <w:cantSplit/>
        </w:trPr>
        <w:tc>
          <w:tcPr>
            <w:tcW w:type="dxa" w:w="5083"/>
            <w:vAlign w:val="center"/>
            <w:shd w:fill="F4F7FB"/>
          </w:tcPr>
          <w:p>
            <w:r/>
            <w:r>
              <w:rPr>
                <w:rFonts w:ascii="Aptos" w:hAnsi="Aptos"/>
                <w:b w:val="0"/>
                <w:sz w:val="17"/>
              </w:rPr>
              <w:t>Read record details</w:t>
            </w:r>
          </w:p>
        </w:tc>
        <w:tc>
          <w:tcPr>
            <w:tcW w:type="dxa" w:w="5083"/>
            <w:vAlign w:val="center"/>
            <w:shd w:fill="F4F7FB"/>
          </w:tcPr>
          <w:p>
            <w:r/>
            <w:r>
              <w:rPr>
                <w:rFonts w:ascii="Aptos" w:hAnsi="Aptos"/>
                <w:b w:val="0"/>
                <w:sz w:val="17"/>
              </w:rPr>
              <w:t>Storage viewer capability + target data viewer groups</w:t>
            </w:r>
          </w:p>
        </w:tc>
      </w:tr>
      <w:tr>
        <w:trPr>
          <w:cantSplit/>
        </w:trPr>
        <w:tc>
          <w:tcPr>
            <w:tcW w:type="dxa" w:w="5083"/>
            <w:vAlign w:val="center"/>
          </w:tcPr>
          <w:p>
            <w:r/>
            <w:r>
              <w:rPr>
                <w:rFonts w:ascii="Aptos" w:hAnsi="Aptos"/>
                <w:b w:val="0"/>
                <w:sz w:val="17"/>
              </w:rPr>
              <w:t>Write/update records</w:t>
            </w:r>
          </w:p>
        </w:tc>
        <w:tc>
          <w:tcPr>
            <w:tcW w:type="dxa" w:w="5083"/>
            <w:vAlign w:val="center"/>
          </w:tcPr>
          <w:p>
            <w:r/>
            <w:r>
              <w:rPr>
                <w:rFonts w:ascii="Aptos" w:hAnsi="Aptos"/>
                <w:b w:val="0"/>
                <w:sz w:val="17"/>
              </w:rPr>
              <w:t>Storage creator/editor capability + target owner groups + legal/schema prerequisites</w:t>
            </w:r>
          </w:p>
        </w:tc>
      </w:tr>
      <w:tr>
        <w:trPr>
          <w:cantSplit/>
        </w:trPr>
        <w:tc>
          <w:tcPr>
            <w:tcW w:type="dxa" w:w="5083"/>
            <w:vAlign w:val="center"/>
            <w:shd w:fill="F4F7FB"/>
          </w:tcPr>
          <w:p>
            <w:r/>
            <w:r>
              <w:rPr>
                <w:rFonts w:ascii="Aptos" w:hAnsi="Aptos"/>
                <w:b w:val="0"/>
                <w:sz w:val="17"/>
              </w:rPr>
              <w:t>Manage schema</w:t>
            </w:r>
          </w:p>
        </w:tc>
        <w:tc>
          <w:tcPr>
            <w:tcW w:type="dxa" w:w="5083"/>
            <w:vAlign w:val="center"/>
            <w:shd w:fill="F4F7FB"/>
          </w:tcPr>
          <w:p>
            <w:r/>
            <w:r>
              <w:rPr>
                <w:rFonts w:ascii="Aptos" w:hAnsi="Aptos"/>
                <w:b w:val="0"/>
                <w:sz w:val="17"/>
              </w:rPr>
              <w:t>Schema editor/admin capability; usually platform/data governance controlled</w:t>
            </w:r>
          </w:p>
        </w:tc>
      </w:tr>
      <w:tr>
        <w:trPr>
          <w:cantSplit/>
        </w:trPr>
        <w:tc>
          <w:tcPr>
            <w:tcW w:type="dxa" w:w="5083"/>
            <w:vAlign w:val="center"/>
          </w:tcPr>
          <w:p>
            <w:r/>
            <w:r>
              <w:rPr>
                <w:rFonts w:ascii="Aptos" w:hAnsi="Aptos"/>
                <w:b w:val="0"/>
                <w:sz w:val="17"/>
              </w:rPr>
              <w:t>Manage LegalTags</w:t>
            </w:r>
          </w:p>
        </w:tc>
        <w:tc>
          <w:tcPr>
            <w:tcW w:type="dxa" w:w="5083"/>
            <w:vAlign w:val="center"/>
          </w:tcPr>
          <w:p>
            <w:r/>
            <w:r>
              <w:rPr>
                <w:rFonts w:ascii="Aptos" w:hAnsi="Aptos"/>
                <w:b w:val="0"/>
                <w:sz w:val="17"/>
              </w:rPr>
              <w:t>Legal editor/admin capability; usually governance controlled</w:t>
            </w:r>
          </w:p>
        </w:tc>
      </w:tr>
    </w:tbl>
    <w:p>
      <w:pPr>
        <w:spacing w:after="0"/>
      </w:pPr>
    </w:p>
    <w:p>
      <w:pPr>
        <w:pStyle w:val="Heading1"/>
      </w:pPr>
      <w:r>
        <w:t>5. Step 2 - Discover and Validate the Schema</w:t>
      </w:r>
    </w:p>
    <w:p>
      <w:r>
        <w:t>OSDU records carry a kind identifying the schema. A kind such as osdu:wks:master-data--Well:1.4.0 tells the application which OSDU schema defines the record. The Schema Service can retrieve a schema by kind. OSDU also publishes shared data definitions in its official repository. [S5][S9]</w:t>
      </w:r>
    </w:p>
    <w:p>
      <w:pPr>
        <w:pStyle w:val="CodeBlock"/>
        <w:keepLines/>
        <w:spacing w:after="0"/>
        <w:shd w:fill="F2F2F2"/>
      </w:pPr>
      <w:r>
        <w:rPr>
          <w:rFonts w:ascii="Consolas" w:hAnsi="Consolas"/>
          <w:sz w:val="16"/>
        </w:rPr>
        <w:t>WELL_KIND="osdu:wks:master-data--Well:1.4.0"</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curl -sS   -H "Authorization: Bearer $OSDU_ACCESS_TOKEN"   -H "data-partition-id: $OSDU_PARTITION"   "$OSDU_BASE_URL$OSDU_SCHEMA_PATH/schema/$WELL_KIND"</w:t>
      </w:r>
    </w:p>
    <w:p>
      <w:pPr>
        <w:spacing w:after="0"/>
      </w:pPr>
    </w:p>
    <w:p>
      <w:r>
        <w:t>Recommended implementation: at application startup, validate that the configured kinds exist. For highly coupled applications, also verify required fields are present and fail fast with a clear compatibility message rather than returning partial data later.</w:t>
      </w:r>
    </w:p>
    <w:p>
      <w:pPr>
        <w:pStyle w:val="Heading1"/>
      </w:pPr>
      <w:r>
        <w:t>6. Step 3 - Search for Wells</w:t>
      </w:r>
    </w:p>
    <w:p>
      <w:r>
        <w:t>The Search Service provides a JSON-style query language and supports full-text, range and geo-spatial querying. The current Search API documents POST /api/search/v2/query as the primary query endpoint. [S6]</w:t>
      </w:r>
    </w:p>
    <w:p>
      <w:pPr>
        <w:pStyle w:val="CodeBlock"/>
        <w:keepLines/>
        <w:spacing w:after="0"/>
        <w:shd w:fill="F2F2F2"/>
      </w:pPr>
      <w:r>
        <w:rPr>
          <w:rFonts w:ascii="Consolas" w:hAnsi="Consolas"/>
          <w:sz w:val="16"/>
        </w:rPr>
        <w:t>curl -sS -X POST   "$OSDU_BASE_URL$OSDU_SEARCH_PATH/query"   -H "Authorization: Bearer $OSDU_ACCESS_TOKEN"   -H "data-partition-id: $OSDU_PARTITION"   -H "Content-Type: application/json"   -d '{</w:t>
      </w:r>
    </w:p>
    <w:p>
      <w:pPr>
        <w:pStyle w:val="CodeBlock"/>
        <w:keepLines/>
        <w:spacing w:after="0"/>
        <w:shd w:fill="F2F2F2"/>
      </w:pPr>
      <w:r>
        <w:rPr>
          <w:rFonts w:ascii="Consolas" w:hAnsi="Consolas"/>
          <w:sz w:val="16"/>
        </w:rPr>
        <w:t xml:space="preserve">        "kind": "osdu:wks:master-data--Well:1.4.0",</w:t>
      </w:r>
    </w:p>
    <w:p>
      <w:pPr>
        <w:pStyle w:val="CodeBlock"/>
        <w:keepLines/>
        <w:spacing w:after="0"/>
        <w:shd w:fill="F2F2F2"/>
      </w:pPr>
      <w:r>
        <w:rPr>
          <w:rFonts w:ascii="Consolas" w:hAnsi="Consolas"/>
          <w:sz w:val="16"/>
        </w:rPr>
        <w:t xml:space="preserve">        "limit": 20,</w:t>
      </w:r>
    </w:p>
    <w:p>
      <w:pPr>
        <w:pStyle w:val="CodeBlock"/>
        <w:keepLines/>
        <w:spacing w:after="0"/>
        <w:shd w:fill="F2F2F2"/>
      </w:pPr>
      <w:r>
        <w:rPr>
          <w:rFonts w:ascii="Consolas" w:hAnsi="Consolas"/>
          <w:sz w:val="16"/>
        </w:rPr>
        <w:t xml:space="preserve">        "returnedFields": [</w:t>
      </w:r>
    </w:p>
    <w:p>
      <w:pPr>
        <w:pStyle w:val="CodeBlock"/>
        <w:keepLines/>
        <w:spacing w:after="0"/>
        <w:shd w:fill="F2F2F2"/>
      </w:pPr>
      <w:r>
        <w:rPr>
          <w:rFonts w:ascii="Consolas" w:hAnsi="Consolas"/>
          <w:sz w:val="16"/>
        </w:rPr>
        <w:t xml:space="preserve">          "id",</w:t>
      </w:r>
    </w:p>
    <w:p>
      <w:pPr>
        <w:pStyle w:val="CodeBlock"/>
        <w:keepLines/>
        <w:spacing w:after="0"/>
        <w:shd w:fill="F2F2F2"/>
      </w:pPr>
      <w:r>
        <w:rPr>
          <w:rFonts w:ascii="Consolas" w:hAnsi="Consolas"/>
          <w:sz w:val="16"/>
        </w:rPr>
        <w:t xml:space="preserve">          "kind",</w:t>
      </w:r>
    </w:p>
    <w:p>
      <w:pPr>
        <w:pStyle w:val="CodeBlock"/>
        <w:keepLines/>
        <w:spacing w:after="0"/>
        <w:shd w:fill="F2F2F2"/>
      </w:pPr>
      <w:r>
        <w:rPr>
          <w:rFonts w:ascii="Consolas" w:hAnsi="Consolas"/>
          <w:sz w:val="16"/>
        </w:rPr>
        <w:t xml:space="preserve">          "version",</w:t>
      </w:r>
    </w:p>
    <w:p>
      <w:pPr>
        <w:pStyle w:val="CodeBlock"/>
        <w:keepLines/>
        <w:spacing w:after="0"/>
        <w:shd w:fill="F2F2F2"/>
      </w:pPr>
      <w:r>
        <w:rPr>
          <w:rFonts w:ascii="Consolas" w:hAnsi="Consolas"/>
          <w:sz w:val="16"/>
        </w:rPr>
        <w:t xml:space="preserve">          "data.FacilityName"</w:t>
      </w:r>
    </w:p>
    <w:p>
      <w:pPr>
        <w:pStyle w:val="CodeBlock"/>
        <w:keepLines/>
        <w:spacing w:after="0"/>
        <w:shd w:fill="F2F2F2"/>
      </w:pPr>
      <w:r>
        <w:rPr>
          <w:rFonts w:ascii="Consolas" w:hAnsi="Consolas"/>
          <w:sz w:val="16"/>
        </w:rPr>
        <w:t xml:space="preserve">        ]</w:t>
      </w:r>
    </w:p>
    <w:p>
      <w:pPr>
        <w:pStyle w:val="CodeBlock"/>
        <w:keepLines/>
        <w:spacing w:after="0"/>
        <w:shd w:fill="F2F2F2"/>
      </w:pPr>
      <w:r>
        <w:rPr>
          <w:rFonts w:ascii="Consolas" w:hAnsi="Consolas"/>
          <w:sz w:val="16"/>
        </w:rPr>
        <w:t xml:space="preserve">      }' </w:t>
      </w:r>
    </w:p>
    <w:p>
      <w:pPr>
        <w:spacing w:after="0"/>
      </w:pPr>
    </w:p>
    <w:p>
      <w:r>
        <w:t>For a filtered search, use only fields confirmed in the deployed schema. The official Search documentation demonstrates query expressions such as data.FacilityName:"A34" for Well records. [S6]</w:t>
      </w:r>
    </w:p>
    <w:p>
      <w:pPr>
        <w:pStyle w:val="CodeBlock"/>
        <w:keepLines/>
        <w:spacing w:after="0"/>
        <w:shd w:fill="F2F2F2"/>
      </w:pPr>
      <w:r>
        <w:rPr>
          <w:rFonts w:ascii="Consolas" w:hAnsi="Consolas"/>
          <w:sz w:val="16"/>
        </w:rPr>
        <w:t>{</w:t>
      </w:r>
    </w:p>
    <w:p>
      <w:pPr>
        <w:pStyle w:val="CodeBlock"/>
        <w:keepLines/>
        <w:spacing w:after="0"/>
        <w:shd w:fill="F2F2F2"/>
      </w:pPr>
      <w:r>
        <w:rPr>
          <w:rFonts w:ascii="Consolas" w:hAnsi="Consolas"/>
          <w:sz w:val="16"/>
        </w:rPr>
        <w:t xml:space="preserve">  "kind": "osdu:wks:master-data--Well:1.4.0",</w:t>
      </w:r>
    </w:p>
    <w:p>
      <w:pPr>
        <w:pStyle w:val="CodeBlock"/>
        <w:keepLines/>
        <w:spacing w:after="0"/>
        <w:shd w:fill="F2F2F2"/>
      </w:pPr>
      <w:r>
        <w:rPr>
          <w:rFonts w:ascii="Consolas" w:hAnsi="Consolas"/>
          <w:sz w:val="16"/>
        </w:rPr>
        <w:t xml:space="preserve">  "query": "data.FacilityName:"A34"",</w:t>
      </w:r>
    </w:p>
    <w:p>
      <w:pPr>
        <w:pStyle w:val="CodeBlock"/>
        <w:keepLines/>
        <w:spacing w:after="0"/>
        <w:shd w:fill="F2F2F2"/>
      </w:pPr>
      <w:r>
        <w:rPr>
          <w:rFonts w:ascii="Consolas" w:hAnsi="Consolas"/>
          <w:sz w:val="16"/>
        </w:rPr>
        <w:t xml:space="preserve">  "limit": 20</w:t>
      </w:r>
    </w:p>
    <w:p>
      <w:pPr>
        <w:pStyle w:val="CodeBlock"/>
        <w:keepLines/>
        <w:spacing w:after="0"/>
        <w:shd w:fill="F2F2F2"/>
      </w:pPr>
      <w:r>
        <w:rPr>
          <w:rFonts w:ascii="Consolas" w:hAnsi="Consolas"/>
          <w:sz w:val="16"/>
        </w:rPr>
        <w:t>}</w:t>
      </w:r>
    </w:p>
    <w:p>
      <w:pPr>
        <w:spacing w:after="0"/>
      </w:pPr>
    </w:p>
    <w:tbl>
      <w:tblPr>
        <w:tblW w:type="auto" w:w="0"/>
        <w:jc w:val="center"/>
        <w:tblLook w:firstColumn="1" w:firstRow="1" w:lastColumn="0" w:lastRow="0" w:noHBand="0" w:noVBand="1" w:val="04A0"/>
      </w:tblPr>
      <w:tblGrid>
        <w:gridCol w:w="10166"/>
      </w:tblGrid>
      <w:tr>
        <w:tc>
          <w:tcPr>
            <w:tcW w:type="dxa" w:w="10166"/>
            <w:shd w:fill="EAF2F8"/>
          </w:tcPr>
          <w:p>
            <w:r/>
            <w:r>
              <w:rPr>
                <w:b/>
                <w:color w:val="17365D"/>
              </w:rPr>
              <w:t xml:space="preserve">Pagination:  </w:t>
            </w:r>
            <w:r>
              <w:t>For large result sets, follow the Search Service pagination/cursor capability used by the client deployment. Avoid attempting to download an entire partition in one request.</w:t>
            </w:r>
          </w:p>
        </w:tc>
      </w:tr>
    </w:tbl>
    <w:p>
      <w:pPr>
        <w:spacing w:after="0"/>
      </w:pPr>
    </w:p>
    <w:p>
      <w:pPr>
        <w:pStyle w:val="Heading1"/>
      </w:pPr>
      <w:r>
        <w:t>7. Step 4 - Retrieve the Full OSDU Record</w:t>
      </w:r>
    </w:p>
    <w:p>
      <w:r>
        <w:t>Search is optimized for discovery. Once you have the record ID, use Storage Service when your application needs the authoritative stored record/version. Storage manages the metadata lifecycle including persistence, update, deletion and versioning. [S7]</w:t>
      </w:r>
    </w:p>
    <w:p>
      <w:pPr>
        <w:pStyle w:val="CodeBlock"/>
        <w:keepLines/>
        <w:spacing w:after="0"/>
        <w:shd w:fill="F2F2F2"/>
      </w:pPr>
      <w:r>
        <w:rPr>
          <w:rFonts w:ascii="Consolas" w:hAnsi="Consolas"/>
          <w:sz w:val="16"/>
        </w:rPr>
        <w:t>RECORD_ID="&lt;id-returned-by-search&gt;"</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curl -sS   -H "Authorization: Bearer $OSDU_ACCESS_TOKEN"   -H "data-partition-id: $OSDU_PARTITION"   "$OSDU_BASE_URL$OSDU_STORAGE_PATH/records/$RECORD_ID"</w:t>
      </w:r>
    </w:p>
    <w:p>
      <w:pPr>
        <w:spacing w:after="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vAlign w:val="center"/>
            <w:shd w:fill="2F5597"/>
          </w:tcPr>
          <w:p>
            <w:r/>
            <w:r>
              <w:rPr>
                <w:rFonts w:ascii="Aptos" w:hAnsi="Aptos"/>
                <w:b/>
                <w:color w:val="FFFFFF"/>
                <w:sz w:val="18"/>
              </w:rPr>
              <w:t>Storage operation</w:t>
            </w:r>
          </w:p>
        </w:tc>
        <w:tc>
          <w:tcPr>
            <w:tcW w:type="dxa" w:w="4032"/>
            <w:vAlign w:val="center"/>
            <w:shd w:fill="2F5597"/>
          </w:tcPr>
          <w:p>
            <w:r/>
            <w:r>
              <w:rPr>
                <w:rFonts w:ascii="Aptos" w:hAnsi="Aptos"/>
                <w:b/>
                <w:color w:val="FFFFFF"/>
                <w:sz w:val="18"/>
              </w:rPr>
              <w:t>Endpoint pattern</w:t>
            </w:r>
          </w:p>
        </w:tc>
        <w:tc>
          <w:tcPr>
            <w:tcW w:type="dxa" w:w="3888"/>
            <w:vAlign w:val="center"/>
            <w:shd w:fill="2F5597"/>
          </w:tcPr>
          <w:p>
            <w:r/>
            <w:r>
              <w:rPr>
                <w:rFonts w:ascii="Aptos" w:hAnsi="Aptos"/>
                <w:b/>
                <w:color w:val="FFFFFF"/>
                <w:sz w:val="18"/>
              </w:rPr>
              <w:t>Purpose</w:t>
            </w:r>
          </w:p>
        </w:tc>
      </w:tr>
      <w:tr>
        <w:trPr>
          <w:cantSplit/>
        </w:trPr>
        <w:tc>
          <w:tcPr>
            <w:tcW w:type="dxa" w:w="2088"/>
            <w:vAlign w:val="center"/>
          </w:tcPr>
          <w:p>
            <w:r/>
            <w:r>
              <w:rPr>
                <w:rFonts w:ascii="Aptos" w:hAnsi="Aptos"/>
                <w:b w:val="0"/>
                <w:sz w:val="17"/>
              </w:rPr>
              <w:t>Get latest record</w:t>
            </w:r>
          </w:p>
        </w:tc>
        <w:tc>
          <w:tcPr>
            <w:tcW w:type="dxa" w:w="4032"/>
            <w:vAlign w:val="center"/>
          </w:tcPr>
          <w:p>
            <w:r/>
            <w:r>
              <w:rPr>
                <w:rFonts w:ascii="Aptos" w:hAnsi="Aptos"/>
                <w:b w:val="0"/>
                <w:sz w:val="17"/>
              </w:rPr>
              <w:t>GET /api/storage/v2/records/{id}</w:t>
            </w:r>
          </w:p>
        </w:tc>
        <w:tc>
          <w:tcPr>
            <w:tcW w:type="dxa" w:w="3888"/>
            <w:vAlign w:val="center"/>
          </w:tcPr>
          <w:p>
            <w:r/>
            <w:r>
              <w:rPr>
                <w:rFonts w:ascii="Aptos" w:hAnsi="Aptos"/>
                <w:b w:val="0"/>
                <w:sz w:val="17"/>
              </w:rPr>
              <w:t>Retrieve latest stored version</w:t>
            </w:r>
          </w:p>
        </w:tc>
      </w:tr>
      <w:tr>
        <w:trPr>
          <w:cantSplit/>
        </w:trPr>
        <w:tc>
          <w:tcPr>
            <w:tcW w:type="dxa" w:w="2088"/>
            <w:vAlign w:val="center"/>
            <w:shd w:fill="F4F7FB"/>
          </w:tcPr>
          <w:p>
            <w:r/>
            <w:r>
              <w:rPr>
                <w:rFonts w:ascii="Aptos" w:hAnsi="Aptos"/>
                <w:b w:val="0"/>
                <w:sz w:val="17"/>
              </w:rPr>
              <w:t>Get specific version</w:t>
            </w:r>
          </w:p>
        </w:tc>
        <w:tc>
          <w:tcPr>
            <w:tcW w:type="dxa" w:w="4032"/>
            <w:vAlign w:val="center"/>
            <w:shd w:fill="F4F7FB"/>
          </w:tcPr>
          <w:p>
            <w:r/>
            <w:r>
              <w:rPr>
                <w:rFonts w:ascii="Aptos" w:hAnsi="Aptos"/>
                <w:b w:val="0"/>
                <w:sz w:val="17"/>
              </w:rPr>
              <w:t>GET /api/storage/v2/records/{id}/{version}</w:t>
            </w:r>
          </w:p>
        </w:tc>
        <w:tc>
          <w:tcPr>
            <w:tcW w:type="dxa" w:w="3888"/>
            <w:vAlign w:val="center"/>
            <w:shd w:fill="F4F7FB"/>
          </w:tcPr>
          <w:p>
            <w:r/>
            <w:r>
              <w:rPr>
                <w:rFonts w:ascii="Aptos" w:hAnsi="Aptos"/>
                <w:b w:val="0"/>
                <w:sz w:val="17"/>
              </w:rPr>
              <w:t>Reproduce a prior state / lineage input</w:t>
            </w:r>
          </w:p>
        </w:tc>
      </w:tr>
      <w:tr>
        <w:trPr>
          <w:cantSplit/>
        </w:trPr>
        <w:tc>
          <w:tcPr>
            <w:tcW w:type="dxa" w:w="2088"/>
            <w:vAlign w:val="center"/>
          </w:tcPr>
          <w:p>
            <w:r/>
            <w:r>
              <w:rPr>
                <w:rFonts w:ascii="Aptos" w:hAnsi="Aptos"/>
                <w:b w:val="0"/>
                <w:sz w:val="17"/>
              </w:rPr>
              <w:t>List versions</w:t>
            </w:r>
          </w:p>
        </w:tc>
        <w:tc>
          <w:tcPr>
            <w:tcW w:type="dxa" w:w="4032"/>
            <w:vAlign w:val="center"/>
          </w:tcPr>
          <w:p>
            <w:r/>
            <w:r>
              <w:rPr>
                <w:rFonts w:ascii="Aptos" w:hAnsi="Aptos"/>
                <w:b w:val="0"/>
                <w:sz w:val="17"/>
              </w:rPr>
              <w:t>GET /api/storage/v2/records/versions/{id}</w:t>
            </w:r>
          </w:p>
        </w:tc>
        <w:tc>
          <w:tcPr>
            <w:tcW w:type="dxa" w:w="3888"/>
            <w:vAlign w:val="center"/>
          </w:tcPr>
          <w:p>
            <w:r/>
            <w:r>
              <w:rPr>
                <w:rFonts w:ascii="Aptos" w:hAnsi="Aptos"/>
                <w:b w:val="0"/>
                <w:sz w:val="17"/>
              </w:rPr>
              <w:t>Audit record history</w:t>
            </w:r>
          </w:p>
        </w:tc>
      </w:tr>
      <w:tr>
        <w:trPr>
          <w:cantSplit/>
        </w:trPr>
        <w:tc>
          <w:tcPr>
            <w:tcW w:type="dxa" w:w="2088"/>
            <w:vAlign w:val="center"/>
            <w:shd w:fill="F4F7FB"/>
          </w:tcPr>
          <w:p>
            <w:r/>
            <w:r>
              <w:rPr>
                <w:rFonts w:ascii="Aptos" w:hAnsi="Aptos"/>
                <w:b w:val="0"/>
                <w:sz w:val="17"/>
              </w:rPr>
              <w:t>Create or update</w:t>
            </w:r>
          </w:p>
        </w:tc>
        <w:tc>
          <w:tcPr>
            <w:tcW w:type="dxa" w:w="4032"/>
            <w:vAlign w:val="center"/>
            <w:shd w:fill="F4F7FB"/>
          </w:tcPr>
          <w:p>
            <w:r/>
            <w:r>
              <w:rPr>
                <w:rFonts w:ascii="Aptos" w:hAnsi="Aptos"/>
                <w:b w:val="0"/>
                <w:sz w:val="17"/>
              </w:rPr>
              <w:t>PUT /api/storage/v2/records</w:t>
            </w:r>
          </w:p>
        </w:tc>
        <w:tc>
          <w:tcPr>
            <w:tcW w:type="dxa" w:w="3888"/>
            <w:vAlign w:val="center"/>
            <w:shd w:fill="F4F7FB"/>
          </w:tcPr>
          <w:p>
            <w:r/>
            <w:r>
              <w:rPr>
                <w:rFonts w:ascii="Aptos" w:hAnsi="Aptos"/>
                <w:b w:val="0"/>
                <w:sz w:val="17"/>
              </w:rPr>
              <w:t>Main metadata ingestion/update path</w:t>
            </w:r>
          </w:p>
        </w:tc>
      </w:tr>
      <w:tr>
        <w:trPr>
          <w:cantSplit/>
        </w:trPr>
        <w:tc>
          <w:tcPr>
            <w:tcW w:type="dxa" w:w="2088"/>
            <w:vAlign w:val="center"/>
          </w:tcPr>
          <w:p>
            <w:r/>
            <w:r>
              <w:rPr>
                <w:rFonts w:ascii="Aptos" w:hAnsi="Aptos"/>
                <w:b w:val="0"/>
                <w:sz w:val="17"/>
              </w:rPr>
              <w:t>Partial update</w:t>
            </w:r>
          </w:p>
        </w:tc>
        <w:tc>
          <w:tcPr>
            <w:tcW w:type="dxa" w:w="4032"/>
            <w:vAlign w:val="center"/>
          </w:tcPr>
          <w:p>
            <w:r/>
            <w:r>
              <w:rPr>
                <w:rFonts w:ascii="Aptos" w:hAnsi="Aptos"/>
                <w:b w:val="0"/>
                <w:sz w:val="17"/>
              </w:rPr>
              <w:t>PATCH /api/storage/v2/records/{id}</w:t>
            </w:r>
          </w:p>
        </w:tc>
        <w:tc>
          <w:tcPr>
            <w:tcW w:type="dxa" w:w="3888"/>
            <w:vAlign w:val="center"/>
          </w:tcPr>
          <w:p>
            <w:r/>
            <w:r>
              <w:rPr>
                <w:rFonts w:ascii="Aptos" w:hAnsi="Aptos"/>
                <w:b w:val="0"/>
                <w:sz w:val="17"/>
              </w:rPr>
              <w:t>Merge-patch supported fields</w:t>
            </w:r>
          </w:p>
        </w:tc>
      </w:tr>
      <w:tr>
        <w:trPr>
          <w:cantSplit/>
        </w:trPr>
        <w:tc>
          <w:tcPr>
            <w:tcW w:type="dxa" w:w="2088"/>
            <w:vAlign w:val="center"/>
            <w:shd w:fill="F4F7FB"/>
          </w:tcPr>
          <w:p>
            <w:r/>
            <w:r>
              <w:rPr>
                <w:rFonts w:ascii="Aptos" w:hAnsi="Aptos"/>
                <w:b w:val="0"/>
                <w:sz w:val="17"/>
              </w:rPr>
              <w:t>Logical delete</w:t>
            </w:r>
          </w:p>
        </w:tc>
        <w:tc>
          <w:tcPr>
            <w:tcW w:type="dxa" w:w="4032"/>
            <w:vAlign w:val="center"/>
            <w:shd w:fill="F4F7FB"/>
          </w:tcPr>
          <w:p>
            <w:r/>
            <w:r>
              <w:rPr>
                <w:rFonts w:ascii="Aptos" w:hAnsi="Aptos"/>
                <w:b w:val="0"/>
                <w:sz w:val="17"/>
              </w:rPr>
              <w:t>POST /api/storage/v2/records/{id}:delete</w:t>
            </w:r>
          </w:p>
        </w:tc>
        <w:tc>
          <w:tcPr>
            <w:tcW w:type="dxa" w:w="3888"/>
            <w:vAlign w:val="center"/>
            <w:shd w:fill="F4F7FB"/>
          </w:tcPr>
          <w:p>
            <w:r/>
            <w:r>
              <w:rPr>
                <w:rFonts w:ascii="Aptos" w:hAnsi="Aptos"/>
                <w:b w:val="0"/>
                <w:sz w:val="17"/>
              </w:rPr>
              <w:t>Soft-delete a record</w:t>
            </w:r>
          </w:p>
        </w:tc>
      </w:tr>
    </w:tbl>
    <w:p>
      <w:pPr>
        <w:spacing w:after="0"/>
      </w:pPr>
    </w:p>
    <w:p>
      <w:pPr>
        <w:pStyle w:val="Heading1"/>
      </w:pPr>
      <w:r>
        <w:t>8. Step 5 - Retrieve Associated File/Dataset Content (When Needed)</w:t>
      </w:r>
    </w:p>
    <w:p>
      <w:r>
        <w:t>OSDU separates record metadata from dataset/file transfer mechanics. The Dataset Service supports workflows to get storage instructions, get retrieval instructions, register a dataset, and retrieve dataset registry information. [S8]</w:t>
      </w:r>
    </w:p>
    <w:p>
      <w:pPr>
        <w:spacing w:after="40"/>
        <w:ind w:left="403" w:hanging="317"/>
      </w:pPr>
      <w:r>
        <w:t>1.  From the Well/Wellbore or work-product-component relationship, identify the dataset record or DDMS object your application needs.</w:t>
      </w:r>
    </w:p>
    <w:p>
      <w:pPr>
        <w:spacing w:after="40"/>
        <w:ind w:left="403" w:hanging="317"/>
      </w:pPr>
      <w:r>
        <w:t>2.  Call the client Dataset Service or the relevant domain data management service (DDMS) to obtain retrieval instructions.</w:t>
      </w:r>
    </w:p>
    <w:p>
      <w:pPr>
        <w:spacing w:after="40"/>
        <w:ind w:left="403" w:hanging="317"/>
      </w:pPr>
      <w:r>
        <w:t>3.  Use the returned provider-specific signed URL/instruction exactly as returned; do not construct object-store URLs yourself.</w:t>
      </w:r>
    </w:p>
    <w:p>
      <w:pPr>
        <w:spacing w:after="40"/>
        <w:ind w:left="403" w:hanging="317"/>
      </w:pPr>
      <w:r>
        <w:t>4.  Respect expiry, data residency and authorization constraints on the returned instruction.</w:t>
      </w:r>
    </w:p>
    <w:p>
      <w:pPr>
        <w:pStyle w:val="CodeBlock"/>
        <w:keepLines/>
        <w:spacing w:after="0"/>
        <w:shd w:fill="F2F2F2"/>
      </w:pPr>
      <w:r>
        <w:rPr>
          <w:rFonts w:ascii="Consolas" w:hAnsi="Consolas"/>
          <w:sz w:val="16"/>
        </w:rPr>
        <w:t># Exact request/response fields vary by deployed Dataset Service version.</w:t>
      </w:r>
    </w:p>
    <w:p>
      <w:pPr>
        <w:pStyle w:val="CodeBlock"/>
        <w:keepLines/>
        <w:spacing w:after="0"/>
        <w:shd w:fill="F2F2F2"/>
      </w:pPr>
      <w:r>
        <w:rPr>
          <w:rFonts w:ascii="Consolas" w:hAnsi="Consolas"/>
          <w:sz w:val="16"/>
        </w:rPr>
        <w:t># Confirm from the client's Swagger:</w:t>
      </w:r>
    </w:p>
    <w:p>
      <w:pPr>
        <w:pStyle w:val="CodeBlock"/>
        <w:keepLines/>
        <w:spacing w:after="0"/>
        <w:shd w:fill="F2F2F2"/>
      </w:pPr>
      <w:r>
        <w:rPr>
          <w:rFonts w:ascii="Consolas" w:hAnsi="Consolas"/>
          <w:sz w:val="16"/>
        </w:rPr>
        <w:t>GET  $OSDU_BASE_URL$OSDU_DATASET_PATH/getRetrievalInstructions</w:t>
      </w:r>
    </w:p>
    <w:p>
      <w:pPr>
        <w:pStyle w:val="CodeBlock"/>
        <w:keepLines/>
        <w:spacing w:after="0"/>
        <w:shd w:fill="F2F2F2"/>
      </w:pPr>
      <w:r>
        <w:rPr>
          <w:rFonts w:ascii="Consolas" w:hAnsi="Consolas"/>
          <w:sz w:val="16"/>
        </w:rPr>
        <w:t>POST $OSDU_BASE_URL$OSDU_DATASET_PATH/getRetrievalInstructions</w:t>
      </w:r>
    </w:p>
    <w:p>
      <w:pPr>
        <w:spacing w:after="0"/>
      </w:pPr>
    </w:p>
    <w:tbl>
      <w:tblPr>
        <w:tblW w:type="auto" w:w="0"/>
        <w:jc w:val="center"/>
        <w:tblLook w:firstColumn="1" w:firstRow="1" w:lastColumn="0" w:lastRow="0" w:noHBand="0" w:noVBand="1" w:val="04A0"/>
      </w:tblPr>
      <w:tblGrid>
        <w:gridCol w:w="10166"/>
      </w:tblGrid>
      <w:tr>
        <w:tc>
          <w:tcPr>
            <w:tcW w:type="dxa" w:w="10166"/>
            <w:shd w:fill="EAF2F8"/>
          </w:tcPr>
          <w:p>
            <w:r/>
            <w:r>
              <w:rPr>
                <w:b/>
                <w:color w:val="17365D"/>
              </w:rPr>
              <w:t xml:space="preserve">Swagger first:  </w:t>
            </w:r>
            <w:r>
              <w:t>The official Dataset Service publishes OpenAPI/Swagger endpoints specifically so clients can inspect the deployed API contract. Use the client deployment’s Swagger as the source of truth for the exact request body. [S8]</w:t>
            </w:r>
          </w:p>
        </w:tc>
      </w:tr>
    </w:tbl>
    <w:p>
      <w:pPr>
        <w:spacing w:after="0"/>
      </w:pPr>
    </w:p>
    <w:p>
      <w:pPr>
        <w:pStyle w:val="Heading1"/>
      </w:pPr>
      <w:r>
        <w:t>9. Reusable Python OSDU REST Client</w:t>
      </w:r>
    </w:p>
    <w:p>
      <w:r>
        <w:t>The following minimal client keeps OSDU-specific headers in one place and makes routes configurable. It intentionally does not implement token acquisition because that is controlled by the client deployment’s identity provider.</w:t>
      </w:r>
    </w:p>
    <w:p>
      <w:pPr>
        <w:pStyle w:val="CodeBlock"/>
        <w:keepLines/>
        <w:spacing w:after="0"/>
        <w:shd w:fill="F2F2F2"/>
      </w:pPr>
      <w:r>
        <w:rPr>
          <w:rFonts w:ascii="Consolas" w:hAnsi="Consolas"/>
          <w:sz w:val="16"/>
        </w:rPr>
        <w:t>import os</w:t>
      </w:r>
    </w:p>
    <w:p>
      <w:pPr>
        <w:pStyle w:val="CodeBlock"/>
        <w:keepLines/>
        <w:spacing w:after="0"/>
        <w:shd w:fill="F2F2F2"/>
      </w:pPr>
      <w:r>
        <w:rPr>
          <w:rFonts w:ascii="Consolas" w:hAnsi="Consolas"/>
          <w:sz w:val="16"/>
        </w:rPr>
        <w:t>import time</w:t>
      </w:r>
    </w:p>
    <w:p>
      <w:pPr>
        <w:pStyle w:val="CodeBlock"/>
        <w:keepLines/>
        <w:spacing w:after="0"/>
        <w:shd w:fill="F2F2F2"/>
      </w:pPr>
      <w:r>
        <w:rPr>
          <w:rFonts w:ascii="Consolas" w:hAnsi="Consolas"/>
          <w:sz w:val="16"/>
        </w:rPr>
        <w:t>import uuid</w:t>
      </w:r>
    </w:p>
    <w:p>
      <w:pPr>
        <w:pStyle w:val="CodeBlock"/>
        <w:keepLines/>
        <w:spacing w:after="0"/>
        <w:shd w:fill="F2F2F2"/>
      </w:pPr>
      <w:r>
        <w:rPr>
          <w:rFonts w:ascii="Consolas" w:hAnsi="Consolas"/>
          <w:sz w:val="16"/>
        </w:rPr>
        <w:t>from urllib.parse import quote</w:t>
      </w:r>
    </w:p>
    <w:p>
      <w:pPr>
        <w:pStyle w:val="CodeBlock"/>
        <w:keepLines/>
        <w:spacing w:after="0"/>
        <w:shd w:fill="F2F2F2"/>
      </w:pPr>
      <w:r>
        <w:rPr>
          <w:rFonts w:ascii="Consolas" w:hAnsi="Consolas"/>
          <w:sz w:val="16"/>
        </w:rPr>
        <w:t>import requests</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BASE = os.environ["OSDU_BASE_URL"].rstrip("/")</w:t>
      </w:r>
    </w:p>
    <w:p>
      <w:pPr>
        <w:pStyle w:val="CodeBlock"/>
        <w:keepLines/>
        <w:spacing w:after="0"/>
        <w:shd w:fill="F2F2F2"/>
      </w:pPr>
      <w:r>
        <w:rPr>
          <w:rFonts w:ascii="Consolas" w:hAnsi="Consolas"/>
          <w:sz w:val="16"/>
        </w:rPr>
        <w:t>PARTITION = os.environ["OSDU_PARTITION"]</w:t>
      </w:r>
    </w:p>
    <w:p>
      <w:pPr>
        <w:pStyle w:val="CodeBlock"/>
        <w:keepLines/>
        <w:spacing w:after="0"/>
        <w:shd w:fill="F2F2F2"/>
      </w:pPr>
      <w:r>
        <w:rPr>
          <w:rFonts w:ascii="Consolas" w:hAnsi="Consolas"/>
          <w:sz w:val="16"/>
        </w:rPr>
        <w:t>TOKEN = os.environ["OSDU_ACCESS_TOKEN"]</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SEARCH = os.getenv("OSDU_SEARCH_PATH", "/api/search/v2")</w:t>
      </w:r>
    </w:p>
    <w:p>
      <w:pPr>
        <w:pStyle w:val="CodeBlock"/>
        <w:keepLines/>
        <w:spacing w:after="0"/>
        <w:shd w:fill="F2F2F2"/>
      </w:pPr>
      <w:r>
        <w:rPr>
          <w:rFonts w:ascii="Consolas" w:hAnsi="Consolas"/>
          <w:sz w:val="16"/>
        </w:rPr>
        <w:t>STORAGE = os.getenv("OSDU_STORAGE_PATH", "/api/storage/v2")</w:t>
      </w:r>
    </w:p>
    <w:p>
      <w:pPr>
        <w:pStyle w:val="CodeBlock"/>
        <w:keepLines/>
        <w:spacing w:after="0"/>
        <w:shd w:fill="F2F2F2"/>
      </w:pPr>
      <w:r>
        <w:rPr>
          <w:rFonts w:ascii="Consolas" w:hAnsi="Consolas"/>
          <w:sz w:val="16"/>
        </w:rPr>
        <w:t>SCHEMA = os.getenv("OSDU_SCHEMA_PATH", "/api/schema-service/v1")</w:t>
      </w:r>
    </w:p>
    <w:p>
      <w:pPr>
        <w:pStyle w:val="CodeBlock"/>
        <w:keepLines/>
        <w:spacing w:after="0"/>
        <w:shd w:fill="F2F2F2"/>
      </w:pPr>
      <w:r>
        <w:rPr>
          <w:rFonts w:ascii="Consolas" w:hAnsi="Consolas"/>
          <w:sz w:val="16"/>
        </w:rPr>
        <w:t>ENTITLEMENTS = os.getenv("OSDU_ENTITLEMENTS_PATH", "/entitlements/v1")</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class OsduClient:</w:t>
      </w:r>
    </w:p>
    <w:p>
      <w:pPr>
        <w:pStyle w:val="CodeBlock"/>
        <w:keepLines/>
        <w:spacing w:after="0"/>
        <w:shd w:fill="F2F2F2"/>
      </w:pPr>
      <w:r>
        <w:rPr>
          <w:rFonts w:ascii="Consolas" w:hAnsi="Consolas"/>
          <w:sz w:val="16"/>
        </w:rPr>
        <w:t xml:space="preserve">    def __init__(self, base=BASE, partition=PARTITION, token=TOKEN):</w:t>
      </w:r>
    </w:p>
    <w:p>
      <w:pPr>
        <w:pStyle w:val="CodeBlock"/>
        <w:keepLines/>
        <w:spacing w:after="0"/>
        <w:shd w:fill="F2F2F2"/>
      </w:pPr>
      <w:r>
        <w:rPr>
          <w:rFonts w:ascii="Consolas" w:hAnsi="Consolas"/>
          <w:sz w:val="16"/>
        </w:rPr>
        <w:t xml:space="preserve">        self.base = base</w:t>
      </w:r>
    </w:p>
    <w:p>
      <w:pPr>
        <w:pStyle w:val="CodeBlock"/>
        <w:keepLines/>
        <w:spacing w:after="0"/>
        <w:shd w:fill="F2F2F2"/>
      </w:pPr>
      <w:r>
        <w:rPr>
          <w:rFonts w:ascii="Consolas" w:hAnsi="Consolas"/>
          <w:sz w:val="16"/>
        </w:rPr>
        <w:t xml:space="preserve">        self.partition = partition</w:t>
      </w:r>
    </w:p>
    <w:p>
      <w:pPr>
        <w:pStyle w:val="CodeBlock"/>
        <w:keepLines/>
        <w:spacing w:after="0"/>
        <w:shd w:fill="F2F2F2"/>
      </w:pPr>
      <w:r>
        <w:rPr>
          <w:rFonts w:ascii="Consolas" w:hAnsi="Consolas"/>
          <w:sz w:val="16"/>
        </w:rPr>
        <w:t xml:space="preserve">        self.token = token</w:t>
      </w:r>
    </w:p>
    <w:p>
      <w:pPr>
        <w:pStyle w:val="CodeBlock"/>
        <w:keepLines/>
        <w:spacing w:after="0"/>
        <w:shd w:fill="F2F2F2"/>
      </w:pPr>
      <w:r>
        <w:rPr>
          <w:rFonts w:ascii="Consolas" w:hAnsi="Consolas"/>
          <w:sz w:val="16"/>
        </w:rPr>
        <w:t xml:space="preserve">        self.session = requests.Session()</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 xml:space="preserve">    def headers(self):</w:t>
      </w:r>
    </w:p>
    <w:p>
      <w:pPr>
        <w:pStyle w:val="CodeBlock"/>
        <w:keepLines/>
        <w:spacing w:after="0"/>
        <w:shd w:fill="F2F2F2"/>
      </w:pPr>
      <w:r>
        <w:rPr>
          <w:rFonts w:ascii="Consolas" w:hAnsi="Consolas"/>
          <w:sz w:val="16"/>
        </w:rPr>
        <w:t xml:space="preserve">        return {</w:t>
      </w:r>
    </w:p>
    <w:p>
      <w:pPr>
        <w:pStyle w:val="CodeBlock"/>
        <w:keepLines/>
        <w:spacing w:after="0"/>
        <w:shd w:fill="F2F2F2"/>
      </w:pPr>
      <w:r>
        <w:rPr>
          <w:rFonts w:ascii="Consolas" w:hAnsi="Consolas"/>
          <w:sz w:val="16"/>
        </w:rPr>
        <w:t xml:space="preserve">            "Authorization": f"Bearer {self.token}",</w:t>
      </w:r>
    </w:p>
    <w:p>
      <w:pPr>
        <w:pStyle w:val="CodeBlock"/>
        <w:keepLines/>
        <w:spacing w:after="0"/>
        <w:shd w:fill="F2F2F2"/>
      </w:pPr>
      <w:r>
        <w:rPr>
          <w:rFonts w:ascii="Consolas" w:hAnsi="Consolas"/>
          <w:sz w:val="16"/>
        </w:rPr>
        <w:t xml:space="preserve">            "data-partition-id": self.partition,</w:t>
      </w:r>
    </w:p>
    <w:p>
      <w:pPr>
        <w:pStyle w:val="CodeBlock"/>
        <w:keepLines/>
        <w:spacing w:after="0"/>
        <w:shd w:fill="F2F2F2"/>
      </w:pPr>
      <w:r>
        <w:rPr>
          <w:rFonts w:ascii="Consolas" w:hAnsi="Consolas"/>
          <w:sz w:val="16"/>
        </w:rPr>
        <w:t xml:space="preserve">            "Content-Type": "application/json",</w:t>
      </w:r>
    </w:p>
    <w:p>
      <w:pPr>
        <w:pStyle w:val="CodeBlock"/>
        <w:keepLines/>
        <w:spacing w:after="0"/>
        <w:shd w:fill="F2F2F2"/>
      </w:pPr>
      <w:r>
        <w:rPr>
          <w:rFonts w:ascii="Consolas" w:hAnsi="Consolas"/>
          <w:sz w:val="16"/>
        </w:rPr>
        <w:t xml:space="preserve">            "correlation-id": str(uuid.uuid4()),</w:t>
      </w:r>
    </w:p>
    <w:p>
      <w:pPr>
        <w:pStyle w:val="CodeBlock"/>
        <w:keepLines/>
        <w:spacing w:after="0"/>
        <w:shd w:fill="F2F2F2"/>
      </w:pPr>
      <w:r>
        <w:rPr>
          <w:rFonts w:ascii="Consolas" w:hAnsi="Consolas"/>
          <w:sz w:val="16"/>
        </w:rPr>
        <w:t xml:space="preserve">        }</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 xml:space="preserve">    def request(self, method, path, **kwargs):</w:t>
      </w:r>
    </w:p>
    <w:p>
      <w:pPr>
        <w:pStyle w:val="CodeBlock"/>
        <w:keepLines/>
        <w:spacing w:after="0"/>
        <w:shd w:fill="F2F2F2"/>
      </w:pPr>
      <w:r>
        <w:rPr>
          <w:rFonts w:ascii="Consolas" w:hAnsi="Consolas"/>
          <w:sz w:val="16"/>
        </w:rPr>
        <w:t xml:space="preserve">        url = self.base + path</w:t>
      </w:r>
    </w:p>
    <w:p>
      <w:pPr>
        <w:pStyle w:val="CodeBlock"/>
        <w:keepLines/>
        <w:spacing w:after="0"/>
        <w:shd w:fill="F2F2F2"/>
      </w:pPr>
      <w:r>
        <w:rPr>
          <w:rFonts w:ascii="Consolas" w:hAnsi="Consolas"/>
          <w:sz w:val="16"/>
        </w:rPr>
        <w:t xml:space="preserve">        for attempt in range(5):</w:t>
      </w:r>
    </w:p>
    <w:p>
      <w:pPr>
        <w:pStyle w:val="CodeBlock"/>
        <w:keepLines/>
        <w:spacing w:after="0"/>
        <w:shd w:fill="F2F2F2"/>
      </w:pPr>
      <w:r>
        <w:rPr>
          <w:rFonts w:ascii="Consolas" w:hAnsi="Consolas"/>
          <w:sz w:val="16"/>
        </w:rPr>
        <w:t xml:space="preserve">            r = self.session.request(method, url, headers=self.headers(), timeout=30, **kwargs)</w:t>
      </w:r>
    </w:p>
    <w:p>
      <w:pPr>
        <w:pStyle w:val="CodeBlock"/>
        <w:keepLines/>
        <w:spacing w:after="0"/>
        <w:shd w:fill="F2F2F2"/>
      </w:pPr>
      <w:r>
        <w:rPr>
          <w:rFonts w:ascii="Consolas" w:hAnsi="Consolas"/>
          <w:sz w:val="16"/>
        </w:rPr>
        <w:t xml:space="preserve">            if r.status_code not in (429, 502, 503, 504):</w:t>
      </w:r>
    </w:p>
    <w:p>
      <w:pPr>
        <w:pStyle w:val="CodeBlock"/>
        <w:keepLines/>
        <w:spacing w:after="0"/>
        <w:shd w:fill="F2F2F2"/>
      </w:pPr>
      <w:r>
        <w:rPr>
          <w:rFonts w:ascii="Consolas" w:hAnsi="Consolas"/>
          <w:sz w:val="16"/>
        </w:rPr>
        <w:t xml:space="preserve">                r.raise_for_status()</w:t>
      </w:r>
    </w:p>
    <w:p>
      <w:pPr>
        <w:pStyle w:val="CodeBlock"/>
        <w:keepLines/>
        <w:spacing w:after="0"/>
        <w:shd w:fill="F2F2F2"/>
      </w:pPr>
      <w:r>
        <w:rPr>
          <w:rFonts w:ascii="Consolas" w:hAnsi="Consolas"/>
          <w:sz w:val="16"/>
        </w:rPr>
        <w:t xml:space="preserve">                return r</w:t>
      </w:r>
    </w:p>
    <w:p>
      <w:pPr>
        <w:pStyle w:val="CodeBlock"/>
        <w:keepLines/>
        <w:spacing w:after="0"/>
        <w:shd w:fill="F2F2F2"/>
      </w:pPr>
      <w:r>
        <w:rPr>
          <w:rFonts w:ascii="Consolas" w:hAnsi="Consolas"/>
          <w:sz w:val="16"/>
        </w:rPr>
        <w:t xml:space="preserve">            time.sleep(min(2 ** attempt, 16))</w:t>
      </w:r>
    </w:p>
    <w:p>
      <w:pPr>
        <w:pStyle w:val="CodeBlock"/>
        <w:keepLines/>
        <w:spacing w:after="0"/>
        <w:shd w:fill="F2F2F2"/>
      </w:pPr>
      <w:r>
        <w:rPr>
          <w:rFonts w:ascii="Consolas" w:hAnsi="Consolas"/>
          <w:sz w:val="16"/>
        </w:rPr>
        <w:t xml:space="preserve">        r.raise_for_status()</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 xml:space="preserve">    def groups(self):</w:t>
      </w:r>
    </w:p>
    <w:p>
      <w:pPr>
        <w:pStyle w:val="CodeBlock"/>
        <w:keepLines/>
        <w:spacing w:after="0"/>
        <w:shd w:fill="F2F2F2"/>
      </w:pPr>
      <w:r>
        <w:rPr>
          <w:rFonts w:ascii="Consolas" w:hAnsi="Consolas"/>
          <w:sz w:val="16"/>
        </w:rPr>
        <w:t xml:space="preserve">        return self.request("GET", ENTITLEMENTS + "/groups?roleRequired=true").json()</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 xml:space="preserve">    def schema(self, kind):</w:t>
      </w:r>
    </w:p>
    <w:p>
      <w:pPr>
        <w:pStyle w:val="CodeBlock"/>
        <w:keepLines/>
        <w:spacing w:after="0"/>
        <w:shd w:fill="F2F2F2"/>
      </w:pPr>
      <w:r>
        <w:rPr>
          <w:rFonts w:ascii="Consolas" w:hAnsi="Consolas"/>
          <w:sz w:val="16"/>
        </w:rPr>
        <w:t xml:space="preserve">        return self.request("GET", SCHEMA + "/schema/" + quote(kind, safe=":")).json()</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 xml:space="preserve">    def search(self, kind, query=None, limit=20, returned_fields=None):</w:t>
      </w:r>
    </w:p>
    <w:p>
      <w:pPr>
        <w:pStyle w:val="CodeBlock"/>
        <w:keepLines/>
        <w:spacing w:after="0"/>
        <w:shd w:fill="F2F2F2"/>
      </w:pPr>
      <w:r>
        <w:rPr>
          <w:rFonts w:ascii="Consolas" w:hAnsi="Consolas"/>
          <w:sz w:val="16"/>
        </w:rPr>
        <w:t xml:space="preserve">        payload = {"kind": kind, "limit": limit}</w:t>
      </w:r>
    </w:p>
    <w:p>
      <w:pPr>
        <w:pStyle w:val="CodeBlock"/>
        <w:keepLines/>
        <w:spacing w:after="0"/>
        <w:shd w:fill="F2F2F2"/>
      </w:pPr>
      <w:r>
        <w:rPr>
          <w:rFonts w:ascii="Consolas" w:hAnsi="Consolas"/>
          <w:sz w:val="16"/>
        </w:rPr>
        <w:t xml:space="preserve">        if query:</w:t>
      </w:r>
    </w:p>
    <w:p>
      <w:pPr>
        <w:pStyle w:val="CodeBlock"/>
        <w:keepLines/>
        <w:spacing w:after="0"/>
        <w:shd w:fill="F2F2F2"/>
      </w:pPr>
      <w:r>
        <w:rPr>
          <w:rFonts w:ascii="Consolas" w:hAnsi="Consolas"/>
          <w:sz w:val="16"/>
        </w:rPr>
        <w:t xml:space="preserve">            payload["query"] = query</w:t>
      </w:r>
    </w:p>
    <w:p>
      <w:pPr>
        <w:pStyle w:val="CodeBlock"/>
        <w:keepLines/>
        <w:spacing w:after="0"/>
        <w:shd w:fill="F2F2F2"/>
      </w:pPr>
      <w:r>
        <w:rPr>
          <w:rFonts w:ascii="Consolas" w:hAnsi="Consolas"/>
          <w:sz w:val="16"/>
        </w:rPr>
        <w:t xml:space="preserve">        if returned_fields:</w:t>
      </w:r>
    </w:p>
    <w:p>
      <w:pPr>
        <w:pStyle w:val="CodeBlock"/>
        <w:keepLines/>
        <w:spacing w:after="0"/>
        <w:shd w:fill="F2F2F2"/>
      </w:pPr>
      <w:r>
        <w:rPr>
          <w:rFonts w:ascii="Consolas" w:hAnsi="Consolas"/>
          <w:sz w:val="16"/>
        </w:rPr>
        <w:t xml:space="preserve">            payload["returnedFields"] = returned_fields</w:t>
      </w:r>
    </w:p>
    <w:p>
      <w:pPr>
        <w:pStyle w:val="CodeBlock"/>
        <w:keepLines/>
        <w:spacing w:after="0"/>
        <w:shd w:fill="F2F2F2"/>
      </w:pPr>
      <w:r>
        <w:rPr>
          <w:rFonts w:ascii="Consolas" w:hAnsi="Consolas"/>
          <w:sz w:val="16"/>
        </w:rPr>
        <w:t xml:space="preserve">        return self.request("POST", SEARCH + "/query", json=payload).json()</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 xml:space="preserve">    def record(self, record_id):</w:t>
      </w:r>
    </w:p>
    <w:p>
      <w:pPr>
        <w:pStyle w:val="CodeBlock"/>
        <w:keepLines/>
        <w:spacing w:after="0"/>
        <w:shd w:fill="F2F2F2"/>
      </w:pPr>
      <w:r>
        <w:rPr>
          <w:rFonts w:ascii="Consolas" w:hAnsi="Consolas"/>
          <w:sz w:val="16"/>
        </w:rPr>
        <w:t xml:space="preserve">        rid = quote(record_id, safe=":")</w:t>
      </w:r>
    </w:p>
    <w:p>
      <w:pPr>
        <w:pStyle w:val="CodeBlock"/>
        <w:keepLines/>
        <w:spacing w:after="0"/>
        <w:shd w:fill="F2F2F2"/>
      </w:pPr>
      <w:r>
        <w:rPr>
          <w:rFonts w:ascii="Consolas" w:hAnsi="Consolas"/>
          <w:sz w:val="16"/>
        </w:rPr>
        <w:t xml:space="preserve">        return self.request("GET", STORAGE + "/records/" + rid).json()</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 xml:space="preserve">    def put_records(self, records):</w:t>
      </w:r>
    </w:p>
    <w:p>
      <w:pPr>
        <w:pStyle w:val="CodeBlock"/>
        <w:keepLines/>
        <w:spacing w:after="0"/>
        <w:shd w:fill="F2F2F2"/>
      </w:pPr>
      <w:r>
        <w:rPr>
          <w:rFonts w:ascii="Consolas" w:hAnsi="Consolas"/>
          <w:sz w:val="16"/>
        </w:rPr>
        <w:t xml:space="preserve">        return self.request("PUT", STORAGE + "/records", json=records).json()</w:t>
      </w:r>
    </w:p>
    <w:p>
      <w:pPr>
        <w:spacing w:after="0"/>
      </w:pPr>
    </w:p>
    <w:p>
      <w:r>
        <w:br w:type="page"/>
      </w:r>
    </w:p>
    <w:p>
      <w:pPr>
        <w:pStyle w:val="Heading1"/>
      </w:pPr>
      <w:r>
        <w:t>10. End-to-End Use Case: Well Insight Application</w:t>
      </w:r>
    </w:p>
    <w:p>
      <w:r>
        <w:t>Use case: a subsurface application lets a geoscientist search wells, inspect governed OSDU metadata, calculate an application-specific “data readiness” or “risk” score, and optionally publish the derived result back to OSDU for other applications to consume.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2F5597"/>
          </w:tcPr>
          <w:p>
            <w:r/>
            <w:r>
              <w:rPr>
                <w:rFonts w:ascii="Aptos" w:hAnsi="Aptos"/>
                <w:b/>
                <w:color w:val="FFFFFF"/>
                <w:sz w:val="18"/>
              </w:rPr>
              <w:t>Actor</w:t>
            </w:r>
          </w:p>
        </w:tc>
        <w:tc>
          <w:tcPr>
            <w:tcW w:type="dxa" w:w="5083"/>
            <w:vAlign w:val="center"/>
            <w:shd w:fill="2F5597"/>
          </w:tcPr>
          <w:p>
            <w:r/>
            <w:r>
              <w:rPr>
                <w:rFonts w:ascii="Aptos" w:hAnsi="Aptos"/>
                <w:b/>
                <w:color w:val="FFFFFF"/>
                <w:sz w:val="18"/>
              </w:rPr>
              <w:t>Goal</w:t>
            </w:r>
          </w:p>
        </w:tc>
      </w:tr>
      <w:tr>
        <w:trPr>
          <w:cantSplit/>
        </w:trPr>
        <w:tc>
          <w:tcPr>
            <w:tcW w:type="dxa" w:w="5083"/>
            <w:vAlign w:val="center"/>
          </w:tcPr>
          <w:p>
            <w:r/>
            <w:r>
              <w:rPr>
                <w:rFonts w:ascii="Aptos" w:hAnsi="Aptos"/>
                <w:b w:val="0"/>
                <w:sz w:val="17"/>
              </w:rPr>
              <w:t>Geoscientist / engineer</w:t>
            </w:r>
          </w:p>
        </w:tc>
        <w:tc>
          <w:tcPr>
            <w:tcW w:type="dxa" w:w="5083"/>
            <w:vAlign w:val="center"/>
          </w:tcPr>
          <w:p>
            <w:r/>
            <w:r>
              <w:rPr>
                <w:rFonts w:ascii="Aptos" w:hAnsi="Aptos"/>
                <w:b w:val="0"/>
                <w:sz w:val="17"/>
              </w:rPr>
              <w:t>Find a well and view trusted metadata</w:t>
            </w:r>
          </w:p>
        </w:tc>
      </w:tr>
      <w:tr>
        <w:trPr>
          <w:cantSplit/>
        </w:trPr>
        <w:tc>
          <w:tcPr>
            <w:tcW w:type="dxa" w:w="5083"/>
            <w:vAlign w:val="center"/>
            <w:shd w:fill="F4F7FB"/>
          </w:tcPr>
          <w:p>
            <w:r/>
            <w:r>
              <w:rPr>
                <w:rFonts w:ascii="Aptos" w:hAnsi="Aptos"/>
                <w:b w:val="0"/>
                <w:sz w:val="17"/>
              </w:rPr>
              <w:t>Well Insight application</w:t>
            </w:r>
          </w:p>
        </w:tc>
        <w:tc>
          <w:tcPr>
            <w:tcW w:type="dxa" w:w="5083"/>
            <w:vAlign w:val="center"/>
            <w:shd w:fill="F4F7FB"/>
          </w:tcPr>
          <w:p>
            <w:r/>
            <w:r>
              <w:rPr>
                <w:rFonts w:ascii="Aptos" w:hAnsi="Aptos"/>
                <w:b w:val="0"/>
                <w:sz w:val="17"/>
              </w:rPr>
              <w:t>Query OSDU without owning a separate master copy of well metadata</w:t>
            </w:r>
          </w:p>
        </w:tc>
      </w:tr>
      <w:tr>
        <w:trPr>
          <w:cantSplit/>
        </w:trPr>
        <w:tc>
          <w:tcPr>
            <w:tcW w:type="dxa" w:w="5083"/>
            <w:vAlign w:val="center"/>
          </w:tcPr>
          <w:p>
            <w:r/>
            <w:r>
              <w:rPr>
                <w:rFonts w:ascii="Aptos" w:hAnsi="Aptos"/>
                <w:b w:val="0"/>
                <w:sz w:val="17"/>
              </w:rPr>
              <w:t>OSDU platform</w:t>
            </w:r>
          </w:p>
        </w:tc>
        <w:tc>
          <w:tcPr>
            <w:tcW w:type="dxa" w:w="5083"/>
            <w:vAlign w:val="center"/>
          </w:tcPr>
          <w:p>
            <w:r/>
            <w:r>
              <w:rPr>
                <w:rFonts w:ascii="Aptos" w:hAnsi="Aptos"/>
                <w:b w:val="0"/>
                <w:sz w:val="17"/>
              </w:rPr>
              <w:t>Enforce partition, entitlement, ACL, legal and schema rules</w:t>
            </w:r>
          </w:p>
        </w:tc>
      </w:tr>
      <w:tr>
        <w:trPr>
          <w:cantSplit/>
        </w:trPr>
        <w:tc>
          <w:tcPr>
            <w:tcW w:type="dxa" w:w="5083"/>
            <w:vAlign w:val="center"/>
            <w:shd w:fill="F4F7FB"/>
          </w:tcPr>
          <w:p>
            <w:r/>
            <w:r>
              <w:rPr>
                <w:rFonts w:ascii="Aptos" w:hAnsi="Aptos"/>
                <w:b w:val="0"/>
                <w:sz w:val="17"/>
              </w:rPr>
              <w:t>Data governance team</w:t>
            </w:r>
          </w:p>
        </w:tc>
        <w:tc>
          <w:tcPr>
            <w:tcW w:type="dxa" w:w="5083"/>
            <w:vAlign w:val="center"/>
            <w:shd w:fill="F4F7FB"/>
          </w:tcPr>
          <w:p>
            <w:r/>
            <w:r>
              <w:rPr>
                <w:rFonts w:ascii="Aptos" w:hAnsi="Aptos"/>
                <w:b w:val="0"/>
                <w:sz w:val="17"/>
              </w:rPr>
              <w:t>Control write-back schema, ACL and legal/lineage policy</w:t>
            </w:r>
          </w:p>
        </w:tc>
      </w:tr>
    </w:tbl>
    <w:p>
      <w:pPr>
        <w:spacing w:after="0"/>
      </w:pPr>
    </w:p>
    <w:p>
      <w:pPr>
        <w:pStyle w:val="Heading2"/>
      </w:pPr>
      <w:r>
        <w:t>10.1 Read path</w:t>
      </w:r>
    </w:p>
    <w:p>
      <w:pPr>
        <w:spacing w:after="40"/>
        <w:ind w:left="403" w:hanging="317"/>
      </w:pPr>
      <w:r>
        <w:t>1.  Application obtains a short-lived access token using the client-approved identity flow.</w:t>
      </w:r>
    </w:p>
    <w:p>
      <w:pPr>
        <w:spacing w:after="40"/>
        <w:ind w:left="403" w:hanging="317"/>
      </w:pPr>
      <w:r>
        <w:t>2.  Application calls Entitlements to validate expected groups and fails clearly if permissions are missing.</w:t>
      </w:r>
    </w:p>
    <w:p>
      <w:pPr>
        <w:spacing w:after="40"/>
        <w:ind w:left="403" w:hanging="317"/>
      </w:pPr>
      <w:r>
        <w:t>3.  Application validates the configured Well kind through Schema Service.</w:t>
      </w:r>
    </w:p>
    <w:p>
      <w:pPr>
        <w:spacing w:after="40"/>
        <w:ind w:left="403" w:hanging="317"/>
      </w:pPr>
      <w:r>
        <w:t>4.  User searches Wells through Search Service.</w:t>
      </w:r>
    </w:p>
    <w:p>
      <w:pPr>
        <w:spacing w:after="40"/>
        <w:ind w:left="403" w:hanging="317"/>
      </w:pPr>
      <w:r>
        <w:t>5.  Application loads the selected Well record from Storage Service.</w:t>
      </w:r>
    </w:p>
    <w:p>
      <w:pPr>
        <w:spacing w:after="40"/>
        <w:ind w:left="403" w:hanging="317"/>
      </w:pPr>
      <w:r>
        <w:t>6.  If file/bulk data is required, application follows Dataset/DDMS retrieval instructions.</w:t>
      </w:r>
    </w:p>
    <w:p>
      <w:pPr>
        <w:spacing w:after="40"/>
        <w:ind w:left="403" w:hanging="317"/>
      </w:pPr>
      <w:r>
        <w:t>7.  Application computes its local insight and presents it without changing the source record.</w:t>
      </w:r>
    </w:p>
    <w:p>
      <w:pPr>
        <w:pStyle w:val="Heading2"/>
      </w:pPr>
      <w:r>
        <w:t>10.2 Example read-path code</w:t>
      </w:r>
    </w:p>
    <w:p>
      <w:pPr>
        <w:pStyle w:val="CodeBlock"/>
        <w:keepLines/>
        <w:spacing w:after="0"/>
        <w:shd w:fill="F2F2F2"/>
      </w:pPr>
      <w:r>
        <w:rPr>
          <w:rFonts w:ascii="Consolas" w:hAnsi="Consolas"/>
          <w:sz w:val="16"/>
        </w:rPr>
        <w:t>client = OsduClient()</w:t>
      </w:r>
    </w:p>
    <w:p>
      <w:pPr>
        <w:pStyle w:val="CodeBlock"/>
        <w:keepLines/>
        <w:spacing w:after="0"/>
        <w:shd w:fill="F2F2F2"/>
      </w:pPr>
      <w:r>
        <w:rPr>
          <w:rFonts w:ascii="Consolas" w:hAnsi="Consolas"/>
          <w:sz w:val="16"/>
        </w:rPr>
        <w:t>WELL_KIND = "osdu:wks:master-data--Well:1.4.0"</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 1) fail early if the schema is unavailable</w:t>
      </w:r>
    </w:p>
    <w:p>
      <w:pPr>
        <w:pStyle w:val="CodeBlock"/>
        <w:keepLines/>
        <w:spacing w:after="0"/>
        <w:shd w:fill="F2F2F2"/>
      </w:pPr>
      <w:r>
        <w:rPr>
          <w:rFonts w:ascii="Consolas" w:hAnsi="Consolas"/>
          <w:sz w:val="16"/>
        </w:rPr>
        <w:t>well_schema = client.schema(WELL_KIND)</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 2) search for a well by facility name</w:t>
      </w:r>
    </w:p>
    <w:p>
      <w:pPr>
        <w:pStyle w:val="CodeBlock"/>
        <w:keepLines/>
        <w:spacing w:after="0"/>
        <w:shd w:fill="F2F2F2"/>
      </w:pPr>
      <w:r>
        <w:rPr>
          <w:rFonts w:ascii="Consolas" w:hAnsi="Consolas"/>
          <w:sz w:val="16"/>
        </w:rPr>
        <w:t>result = client.search(</w:t>
      </w:r>
    </w:p>
    <w:p>
      <w:pPr>
        <w:pStyle w:val="CodeBlock"/>
        <w:keepLines/>
        <w:spacing w:after="0"/>
        <w:shd w:fill="F2F2F2"/>
      </w:pPr>
      <w:r>
        <w:rPr>
          <w:rFonts w:ascii="Consolas" w:hAnsi="Consolas"/>
          <w:sz w:val="16"/>
        </w:rPr>
        <w:t xml:space="preserve">    WELL_KIND,</w:t>
      </w:r>
    </w:p>
    <w:p>
      <w:pPr>
        <w:pStyle w:val="CodeBlock"/>
        <w:keepLines/>
        <w:spacing w:after="0"/>
        <w:shd w:fill="F2F2F2"/>
      </w:pPr>
      <w:r>
        <w:rPr>
          <w:rFonts w:ascii="Consolas" w:hAnsi="Consolas"/>
          <w:sz w:val="16"/>
        </w:rPr>
        <w:t xml:space="preserve">    query='data.FacilityName:"A34"',</w:t>
      </w:r>
    </w:p>
    <w:p>
      <w:pPr>
        <w:pStyle w:val="CodeBlock"/>
        <w:keepLines/>
        <w:spacing w:after="0"/>
        <w:shd w:fill="F2F2F2"/>
      </w:pPr>
      <w:r>
        <w:rPr>
          <w:rFonts w:ascii="Consolas" w:hAnsi="Consolas"/>
          <w:sz w:val="16"/>
        </w:rPr>
        <w:t xml:space="preserve">    limit=10,</w:t>
      </w:r>
    </w:p>
    <w:p>
      <w:pPr>
        <w:pStyle w:val="CodeBlock"/>
        <w:keepLines/>
        <w:spacing w:after="0"/>
        <w:shd w:fill="F2F2F2"/>
      </w:pPr>
      <w:r>
        <w:rPr>
          <w:rFonts w:ascii="Consolas" w:hAnsi="Consolas"/>
          <w:sz w:val="16"/>
        </w:rPr>
        <w:t xml:space="preserve">    returned_fields=["id", "kind", "version", "data.FacilityName"]</w:t>
      </w:r>
    </w:p>
    <w:p>
      <w:pPr>
        <w:pStyle w:val="CodeBlock"/>
        <w:keepLines/>
        <w:spacing w:after="0"/>
        <w:shd w:fill="F2F2F2"/>
      </w:pPr>
      <w:r>
        <w:rPr>
          <w:rFonts w:ascii="Consolas" w:hAnsi="Consolas"/>
          <w:sz w:val="16"/>
        </w:rPr>
        <w:t>)</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if not result.get("results"):</w:t>
      </w:r>
    </w:p>
    <w:p>
      <w:pPr>
        <w:pStyle w:val="CodeBlock"/>
        <w:keepLines/>
        <w:spacing w:after="0"/>
        <w:shd w:fill="F2F2F2"/>
      </w:pPr>
      <w:r>
        <w:rPr>
          <w:rFonts w:ascii="Consolas" w:hAnsi="Consolas"/>
          <w:sz w:val="16"/>
        </w:rPr>
        <w:t xml:space="preserve">    raise RuntimeError("No matching Well records visible to this identity")</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 3) retrieve the authoritative stored record</w:t>
      </w:r>
    </w:p>
    <w:p>
      <w:pPr>
        <w:pStyle w:val="CodeBlock"/>
        <w:keepLines/>
        <w:spacing w:after="0"/>
        <w:shd w:fill="F2F2F2"/>
      </w:pPr>
      <w:r>
        <w:rPr>
          <w:rFonts w:ascii="Consolas" w:hAnsi="Consolas"/>
          <w:sz w:val="16"/>
        </w:rPr>
        <w:t>well_id = result["results"][0]["id"]</w:t>
      </w:r>
    </w:p>
    <w:p>
      <w:pPr>
        <w:pStyle w:val="CodeBlock"/>
        <w:keepLines/>
        <w:spacing w:after="0"/>
        <w:shd w:fill="F2F2F2"/>
      </w:pPr>
      <w:r>
        <w:rPr>
          <w:rFonts w:ascii="Consolas" w:hAnsi="Consolas"/>
          <w:sz w:val="16"/>
        </w:rPr>
        <w:t>well = client.record(well_id)</w:t>
      </w:r>
    </w:p>
    <w:p>
      <w:pPr>
        <w:pStyle w:val="CodeBlock"/>
        <w:keepLines/>
        <w:spacing w:after="0"/>
        <w:shd w:fill="F2F2F2"/>
      </w:pPr>
      <w:r>
        <w:rPr>
          <w:rFonts w:ascii="Consolas" w:hAnsi="Consolas"/>
          <w:sz w:val="16"/>
        </w:rPr>
        <w:t>print(well["id"], well.get("version"), well.get("data", {}).get("FacilityName"))</w:t>
      </w:r>
    </w:p>
    <w:p>
      <w:pPr>
        <w:spacing w:after="0"/>
      </w:pPr>
    </w:p>
    <w:p>
      <w:pPr>
        <w:pStyle w:val="Heading2"/>
      </w:pPr>
      <w:r>
        <w:t>10.3 Optional write-back path for a derived result</w:t>
      </w:r>
    </w:p>
    <w:p>
      <w:r>
        <w:t>Do not modify the standard Well master record merely to store an application result. A cleaner pattern is an approved derived/custom record kind with a relationship or lineage reference back to the source Well. Before implementing this path, the client data-governance team should approve the schema, ACL groups and legal/lineage treatment.</w:t>
      </w:r>
    </w:p>
    <w:tbl>
      <w:tblPr>
        <w:tblW w:type="auto" w:w="0"/>
        <w:jc w:val="center"/>
        <w:tblLook w:firstColumn="1" w:firstRow="1" w:lastColumn="0" w:lastRow="0" w:noHBand="0" w:noVBand="1" w:val="04A0"/>
      </w:tblPr>
      <w:tblGrid>
        <w:gridCol w:w="10166"/>
      </w:tblGrid>
      <w:tr>
        <w:tc>
          <w:tcPr>
            <w:tcW w:type="dxa" w:w="10166"/>
            <w:shd w:fill="EAF2F8"/>
          </w:tcPr>
          <w:p>
            <w:r/>
            <w:r>
              <w:rPr>
                <w:b/>
                <w:color w:val="17365D"/>
              </w:rPr>
              <w:t xml:space="preserve">Legal and lineage:  </w:t>
            </w:r>
            <w:r>
              <w:t>OSDU Legal documentation distinguishes source data from derivative data. Derived records can carry ancestry pointing to parent record IDs/versions so compliance can be derived from the parents. [S4]</w:t>
            </w:r>
          </w:p>
        </w:tc>
      </w:tr>
    </w:tbl>
    <w:p>
      <w:pPr>
        <w:spacing w:after="0"/>
      </w:pPr>
    </w:p>
    <w:p>
      <w:pPr>
        <w:pStyle w:val="CodeBlock"/>
        <w:keepLines/>
        <w:spacing w:after="0"/>
        <w:shd w:fill="F2F2F2"/>
      </w:pPr>
      <w:r>
        <w:rPr>
          <w:rFonts w:ascii="Consolas" w:hAnsi="Consolas"/>
          <w:sz w:val="16"/>
        </w:rPr>
        <w:t># Illustrative only: the client must register/approve this schema first.</w:t>
      </w:r>
    </w:p>
    <w:p>
      <w:pPr>
        <w:pStyle w:val="CodeBlock"/>
        <w:keepLines/>
        <w:spacing w:after="0"/>
        <w:shd w:fill="F2F2F2"/>
      </w:pPr>
      <w:r>
        <w:rPr>
          <w:rFonts w:ascii="Consolas" w:hAnsi="Consolas"/>
          <w:sz w:val="16"/>
        </w:rPr>
        <w:t>DERIVED_KIND = "client:wks:work-product-component--WellInsight:1.0.0"</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source_id = well["id"]</w:t>
      </w:r>
    </w:p>
    <w:p>
      <w:pPr>
        <w:pStyle w:val="CodeBlock"/>
        <w:keepLines/>
        <w:spacing w:after="0"/>
        <w:shd w:fill="F2F2F2"/>
      </w:pPr>
      <w:r>
        <w:rPr>
          <w:rFonts w:ascii="Consolas" w:hAnsi="Consolas"/>
          <w:sz w:val="16"/>
        </w:rPr>
        <w:t>source_version = str(well["version"])</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record = {</w:t>
      </w:r>
    </w:p>
    <w:p>
      <w:pPr>
        <w:pStyle w:val="CodeBlock"/>
        <w:keepLines/>
        <w:spacing w:after="0"/>
        <w:shd w:fill="F2F2F2"/>
      </w:pPr>
      <w:r>
        <w:rPr>
          <w:rFonts w:ascii="Consolas" w:hAnsi="Consolas"/>
          <w:sz w:val="16"/>
        </w:rPr>
        <w:t xml:space="preserve">    "kind": DERIVED_KIND,</w:t>
      </w:r>
    </w:p>
    <w:p>
      <w:pPr>
        <w:pStyle w:val="CodeBlock"/>
        <w:keepLines/>
        <w:spacing w:after="0"/>
        <w:shd w:fill="F2F2F2"/>
      </w:pPr>
      <w:r>
        <w:rPr>
          <w:rFonts w:ascii="Consolas" w:hAnsi="Consolas"/>
          <w:sz w:val="16"/>
        </w:rPr>
        <w:t xml:space="preserve">    "acl": {</w:t>
      </w:r>
    </w:p>
    <w:p>
      <w:pPr>
        <w:pStyle w:val="CodeBlock"/>
        <w:keepLines/>
        <w:spacing w:after="0"/>
        <w:shd w:fill="F2F2F2"/>
      </w:pPr>
      <w:r>
        <w:rPr>
          <w:rFonts w:ascii="Consolas" w:hAnsi="Consolas"/>
          <w:sz w:val="16"/>
        </w:rPr>
        <w:t xml:space="preserve">        "viewers": ["data.wellinsight.viewers@&lt;partition&gt;.&lt;domain&gt;"],</w:t>
      </w:r>
    </w:p>
    <w:p>
      <w:pPr>
        <w:pStyle w:val="CodeBlock"/>
        <w:keepLines/>
        <w:spacing w:after="0"/>
        <w:shd w:fill="F2F2F2"/>
      </w:pPr>
      <w:r>
        <w:rPr>
          <w:rFonts w:ascii="Consolas" w:hAnsi="Consolas"/>
          <w:sz w:val="16"/>
        </w:rPr>
        <w:t xml:space="preserve">        "owners":  ["data.wellinsight.owners@&lt;partition&gt;.&lt;domain&gt;"]</w:t>
      </w:r>
    </w:p>
    <w:p>
      <w:pPr>
        <w:pStyle w:val="CodeBlock"/>
        <w:keepLines/>
        <w:spacing w:after="0"/>
        <w:shd w:fill="F2F2F2"/>
      </w:pPr>
      <w:r>
        <w:rPr>
          <w:rFonts w:ascii="Consolas" w:hAnsi="Consolas"/>
          <w:sz w:val="16"/>
        </w:rPr>
        <w:t xml:space="preserve">    },</w:t>
      </w:r>
    </w:p>
    <w:p>
      <w:pPr>
        <w:pStyle w:val="CodeBlock"/>
        <w:keepLines/>
        <w:spacing w:after="0"/>
        <w:shd w:fill="F2F2F2"/>
      </w:pPr>
      <w:r>
        <w:rPr>
          <w:rFonts w:ascii="Consolas" w:hAnsi="Consolas"/>
          <w:sz w:val="16"/>
        </w:rPr>
        <w:t xml:space="preserve">    "legal": {</w:t>
      </w:r>
    </w:p>
    <w:p>
      <w:pPr>
        <w:pStyle w:val="CodeBlock"/>
        <w:keepLines/>
        <w:spacing w:after="0"/>
        <w:shd w:fill="F2F2F2"/>
      </w:pPr>
      <w:r>
        <w:rPr>
          <w:rFonts w:ascii="Consolas" w:hAnsi="Consolas"/>
          <w:sz w:val="16"/>
        </w:rPr>
        <w:t xml:space="preserve">        "otherRelevantDataCountries": ["&lt;ISO-2-country-code&gt;"]</w:t>
      </w:r>
    </w:p>
    <w:p>
      <w:pPr>
        <w:pStyle w:val="CodeBlock"/>
        <w:keepLines/>
        <w:spacing w:after="0"/>
        <w:shd w:fill="F2F2F2"/>
      </w:pPr>
      <w:r>
        <w:rPr>
          <w:rFonts w:ascii="Consolas" w:hAnsi="Consolas"/>
          <w:sz w:val="16"/>
        </w:rPr>
        <w:t xml:space="preserve">    },</w:t>
      </w:r>
    </w:p>
    <w:p>
      <w:pPr>
        <w:pStyle w:val="CodeBlock"/>
        <w:keepLines/>
        <w:spacing w:after="0"/>
        <w:shd w:fill="F2F2F2"/>
      </w:pPr>
      <w:r>
        <w:rPr>
          <w:rFonts w:ascii="Consolas" w:hAnsi="Consolas"/>
          <w:sz w:val="16"/>
        </w:rPr>
        <w:t xml:space="preserve">    "ancestry": {</w:t>
      </w:r>
    </w:p>
    <w:p>
      <w:pPr>
        <w:pStyle w:val="CodeBlock"/>
        <w:keepLines/>
        <w:spacing w:after="0"/>
        <w:shd w:fill="F2F2F2"/>
      </w:pPr>
      <w:r>
        <w:rPr>
          <w:rFonts w:ascii="Consolas" w:hAnsi="Consolas"/>
          <w:sz w:val="16"/>
        </w:rPr>
        <w:t xml:space="preserve">        "parents": [f"{source_id}:{source_version}"]</w:t>
      </w:r>
    </w:p>
    <w:p>
      <w:pPr>
        <w:pStyle w:val="CodeBlock"/>
        <w:keepLines/>
        <w:spacing w:after="0"/>
        <w:shd w:fill="F2F2F2"/>
      </w:pPr>
      <w:r>
        <w:rPr>
          <w:rFonts w:ascii="Consolas" w:hAnsi="Consolas"/>
          <w:sz w:val="16"/>
        </w:rPr>
        <w:t xml:space="preserve">    },</w:t>
      </w:r>
    </w:p>
    <w:p>
      <w:pPr>
        <w:pStyle w:val="CodeBlock"/>
        <w:keepLines/>
        <w:spacing w:after="0"/>
        <w:shd w:fill="F2F2F2"/>
      </w:pPr>
      <w:r>
        <w:rPr>
          <w:rFonts w:ascii="Consolas" w:hAnsi="Consolas"/>
          <w:sz w:val="16"/>
        </w:rPr>
        <w:t xml:space="preserve">    "data": {</w:t>
      </w:r>
    </w:p>
    <w:p>
      <w:pPr>
        <w:pStyle w:val="CodeBlock"/>
        <w:keepLines/>
        <w:spacing w:after="0"/>
        <w:shd w:fill="F2F2F2"/>
      </w:pPr>
      <w:r>
        <w:rPr>
          <w:rFonts w:ascii="Consolas" w:hAnsi="Consolas"/>
          <w:sz w:val="16"/>
        </w:rPr>
        <w:t xml:space="preserve">        "SourceWellID": source_id,</w:t>
      </w:r>
    </w:p>
    <w:p>
      <w:pPr>
        <w:pStyle w:val="CodeBlock"/>
        <w:keepLines/>
        <w:spacing w:after="0"/>
        <w:shd w:fill="F2F2F2"/>
      </w:pPr>
      <w:r>
        <w:rPr>
          <w:rFonts w:ascii="Consolas" w:hAnsi="Consolas"/>
          <w:sz w:val="16"/>
        </w:rPr>
        <w:t xml:space="preserve">        "Score": 0.87,</w:t>
      </w:r>
    </w:p>
    <w:p>
      <w:pPr>
        <w:pStyle w:val="CodeBlock"/>
        <w:keepLines/>
        <w:spacing w:after="0"/>
        <w:shd w:fill="F2F2F2"/>
      </w:pPr>
      <w:r>
        <w:rPr>
          <w:rFonts w:ascii="Consolas" w:hAnsi="Consolas"/>
          <w:sz w:val="16"/>
        </w:rPr>
        <w:t xml:space="preserve">        "AssessmentType": "data-readiness",</w:t>
      </w:r>
    </w:p>
    <w:p>
      <w:pPr>
        <w:pStyle w:val="CodeBlock"/>
        <w:keepLines/>
        <w:spacing w:after="0"/>
        <w:shd w:fill="F2F2F2"/>
      </w:pPr>
      <w:r>
        <w:rPr>
          <w:rFonts w:ascii="Consolas" w:hAnsi="Consolas"/>
          <w:sz w:val="16"/>
        </w:rPr>
        <w:t xml:space="preserve">        "AlgorithmVersion": "1.0.0"</w:t>
      </w:r>
    </w:p>
    <w:p>
      <w:pPr>
        <w:pStyle w:val="CodeBlock"/>
        <w:keepLines/>
        <w:spacing w:after="0"/>
        <w:shd w:fill="F2F2F2"/>
      </w:pPr>
      <w:r>
        <w:rPr>
          <w:rFonts w:ascii="Consolas" w:hAnsi="Consolas"/>
          <w:sz w:val="16"/>
        </w:rPr>
        <w:t xml:space="preserve">    }</w:t>
      </w:r>
    </w:p>
    <w:p>
      <w:pPr>
        <w:pStyle w:val="CodeBlock"/>
        <w:keepLines/>
        <w:spacing w:after="0"/>
        <w:shd w:fill="F2F2F2"/>
      </w:pPr>
      <w:r>
        <w:rPr>
          <w:rFonts w:ascii="Consolas" w:hAnsi="Consolas"/>
          <w:sz w:val="16"/>
        </w:rPr>
        <w:t>}</w:t>
      </w:r>
    </w:p>
    <w:p>
      <w:pPr>
        <w:pStyle w:val="CodeBlock"/>
        <w:keepLines/>
        <w:spacing w:after="0"/>
        <w:shd w:fill="F2F2F2"/>
      </w:pPr>
      <w:r>
        <w:rPr>
          <w:rFonts w:ascii="Consolas" w:hAnsi="Consolas"/>
          <w:sz w:val="16"/>
        </w:rPr>
      </w:r>
    </w:p>
    <w:p>
      <w:pPr>
        <w:pStyle w:val="CodeBlock"/>
        <w:keepLines/>
        <w:spacing w:after="0"/>
        <w:shd w:fill="F2F2F2"/>
      </w:pPr>
      <w:r>
        <w:rPr>
          <w:rFonts w:ascii="Consolas" w:hAnsi="Consolas"/>
          <w:sz w:val="16"/>
        </w:rPr>
        <w:t>response = client.put_records([record])</w:t>
      </w:r>
    </w:p>
    <w:p>
      <w:pPr>
        <w:pStyle w:val="CodeBlock"/>
        <w:keepLines/>
        <w:spacing w:after="0"/>
        <w:shd w:fill="F2F2F2"/>
      </w:pPr>
      <w:r>
        <w:rPr>
          <w:rFonts w:ascii="Consolas" w:hAnsi="Consolas"/>
          <w:sz w:val="16"/>
        </w:rPr>
        <w:t>print(response)</w:t>
      </w:r>
    </w:p>
    <w:p>
      <w:pPr>
        <w:spacing w:after="0"/>
      </w:pPr>
    </w:p>
    <w:p>
      <w:r>
        <w:t>For non-derived/source data ingestion, assign a valid LegalTag as required by the client policy. The Legal Service documentation states that data being ingested needs a LegalTag and shows GET /api/legal/v1/legaltags?valid=true for discovering valid tags. [S4]</w:t>
      </w:r>
    </w:p>
    <w:p>
      <w:pPr>
        <w:pStyle w:val="Heading2"/>
      </w:pPr>
      <w:r>
        <w:t>10.4 Search-after-write behavior</w:t>
      </w:r>
    </w:p>
    <w:p>
      <w:r>
        <w:t>Storage persistence and Search indexing are decoupled. The Indexer consumes record-change events and updates the searchable index; indexing status can be monitored by platform-side mechanisms. Therefore, after a successful write, use bounded retry/backoff before expecting the record to appear in Search. Do not treat a brief Search miss as a failed Storage write. [S10]</w:t>
      </w:r>
    </w:p>
    <w:p>
      <w:pPr>
        <w:pStyle w:val="Heading1"/>
      </w:pPr>
      <w:r>
        <w:t>11. Metadata Ingestion Checklist</w:t>
      </w:r>
    </w:p>
    <w:p>
      <w:r>
        <w:t>The Storage ingestion documentation gives the core order of operations: valid user, partition, data groups, kind/schema, LegalTag and finally PUT records. [S11]</w:t>
      </w:r>
    </w:p>
    <w:p>
      <w:pPr>
        <w:spacing w:after="40"/>
        <w:ind w:left="403" w:hanging="317"/>
      </w:pPr>
      <w:r>
        <w:t>1.  Confirm the caller is a valid identity in the target data partition.</w:t>
      </w:r>
    </w:p>
    <w:p>
      <w:pPr>
        <w:spacing w:after="40"/>
        <w:ind w:left="403" w:hanging="317"/>
      </w:pPr>
      <w:r>
        <w:t>2.  Confirm viewer and owner data groups exist and the service identity is a member where required.</w:t>
      </w:r>
    </w:p>
    <w:p>
      <w:pPr>
        <w:spacing w:after="40"/>
        <w:ind w:left="403" w:hanging="317"/>
      </w:pPr>
      <w:r>
        <w:t>3.  Confirm the record kind exists in Schema Service.</w:t>
      </w:r>
    </w:p>
    <w:p>
      <w:pPr>
        <w:spacing w:after="40"/>
        <w:ind w:left="403" w:hanging="317"/>
      </w:pPr>
      <w:r>
        <w:t>4.  For source/non-derived data, select an approved valid LegalTag.</w:t>
      </w:r>
    </w:p>
    <w:p>
      <w:pPr>
        <w:spacing w:after="40"/>
        <w:ind w:left="403" w:hanging="317"/>
      </w:pPr>
      <w:r>
        <w:t>5.  Build the record with kind, acl, legal and data sections.</w:t>
      </w:r>
    </w:p>
    <w:p>
      <w:pPr>
        <w:spacing w:after="40"/>
        <w:ind w:left="403" w:hanging="317"/>
      </w:pPr>
      <w:r>
        <w:t>6.  Validate required domain fields and OSDU references before calling Storage.</w:t>
      </w:r>
    </w:p>
    <w:p>
      <w:pPr>
        <w:spacing w:after="40"/>
        <w:ind w:left="403" w:hanging="317"/>
      </w:pPr>
      <w:r>
        <w:t>7.  PUT records in controlled batches.</w:t>
      </w:r>
    </w:p>
    <w:p>
      <w:pPr>
        <w:spacing w:after="40"/>
        <w:ind w:left="403" w:hanging="317"/>
      </w:pPr>
      <w:r>
        <w:t>8.  Capture the returned record IDs/versions and correlation ID in application logs.</w:t>
      </w:r>
    </w:p>
    <w:p>
      <w:pPr>
        <w:spacing w:after="40"/>
        <w:ind w:left="403" w:hanging="317"/>
      </w:pPr>
      <w:r>
        <w:t>9.  Allow time for indexing and verify discoverability through Search.</w:t>
      </w:r>
    </w:p>
    <w:p>
      <w:pPr>
        <w:spacing w:after="40"/>
        <w:ind w:left="403" w:hanging="317"/>
      </w:pPr>
      <w:r>
        <w:t>10.  Run functional authorization tests with both allowed and denied users.</w:t>
      </w:r>
    </w:p>
    <w:p>
      <w:pPr>
        <w:pStyle w:val="Heading2"/>
      </w:pPr>
      <w:r>
        <w:t>11.1 Generic source-data record shape</w:t>
      </w:r>
    </w:p>
    <w:p>
      <w:pPr>
        <w:pStyle w:val="CodeBlock"/>
        <w:keepLines/>
        <w:spacing w:after="0"/>
        <w:shd w:fill="F2F2F2"/>
      </w:pPr>
      <w:r>
        <w:rPr>
          <w:rFonts w:ascii="Consolas" w:hAnsi="Consolas"/>
          <w:sz w:val="16"/>
        </w:rPr>
        <w:t>[</w:t>
      </w:r>
    </w:p>
    <w:p>
      <w:pPr>
        <w:pStyle w:val="CodeBlock"/>
        <w:keepLines/>
        <w:spacing w:after="0"/>
        <w:shd w:fill="F2F2F2"/>
      </w:pPr>
      <w:r>
        <w:rPr>
          <w:rFonts w:ascii="Consolas" w:hAnsi="Consolas"/>
          <w:sz w:val="16"/>
        </w:rPr>
        <w:t xml:space="preserve">  {</w:t>
      </w:r>
    </w:p>
    <w:p>
      <w:pPr>
        <w:pStyle w:val="CodeBlock"/>
        <w:keepLines/>
        <w:spacing w:after="0"/>
        <w:shd w:fill="F2F2F2"/>
      </w:pPr>
      <w:r>
        <w:rPr>
          <w:rFonts w:ascii="Consolas" w:hAnsi="Consolas"/>
          <w:sz w:val="16"/>
        </w:rPr>
        <w:t xml:space="preserve">    "kind": "&lt;approved-kind&gt;",</w:t>
      </w:r>
    </w:p>
    <w:p>
      <w:pPr>
        <w:pStyle w:val="CodeBlock"/>
        <w:keepLines/>
        <w:spacing w:after="0"/>
        <w:shd w:fill="F2F2F2"/>
      </w:pPr>
      <w:r>
        <w:rPr>
          <w:rFonts w:ascii="Consolas" w:hAnsi="Consolas"/>
          <w:sz w:val="16"/>
        </w:rPr>
        <w:t xml:space="preserve">    "acl": {</w:t>
      </w:r>
    </w:p>
    <w:p>
      <w:pPr>
        <w:pStyle w:val="CodeBlock"/>
        <w:keepLines/>
        <w:spacing w:after="0"/>
        <w:shd w:fill="F2F2F2"/>
      </w:pPr>
      <w:r>
        <w:rPr>
          <w:rFonts w:ascii="Consolas" w:hAnsi="Consolas"/>
          <w:sz w:val="16"/>
        </w:rPr>
        <w:t xml:space="preserve">      "viewers": ["data.&lt;name&gt;.viewers@&lt;partition&gt;.&lt;domain&gt;"],</w:t>
      </w:r>
    </w:p>
    <w:p>
      <w:pPr>
        <w:pStyle w:val="CodeBlock"/>
        <w:keepLines/>
        <w:spacing w:after="0"/>
        <w:shd w:fill="F2F2F2"/>
      </w:pPr>
      <w:r>
        <w:rPr>
          <w:rFonts w:ascii="Consolas" w:hAnsi="Consolas"/>
          <w:sz w:val="16"/>
        </w:rPr>
        <w:t xml:space="preserve">      "owners":  ["data.&lt;name&gt;.owners@&lt;partition&gt;.&lt;domain&gt;"]</w:t>
      </w:r>
    </w:p>
    <w:p>
      <w:pPr>
        <w:pStyle w:val="CodeBlock"/>
        <w:keepLines/>
        <w:spacing w:after="0"/>
        <w:shd w:fill="F2F2F2"/>
      </w:pPr>
      <w:r>
        <w:rPr>
          <w:rFonts w:ascii="Consolas" w:hAnsi="Consolas"/>
          <w:sz w:val="16"/>
        </w:rPr>
        <w:t xml:space="preserve">    },</w:t>
      </w:r>
    </w:p>
    <w:p>
      <w:pPr>
        <w:pStyle w:val="CodeBlock"/>
        <w:keepLines/>
        <w:spacing w:after="0"/>
        <w:shd w:fill="F2F2F2"/>
      </w:pPr>
      <w:r>
        <w:rPr>
          <w:rFonts w:ascii="Consolas" w:hAnsi="Consolas"/>
          <w:sz w:val="16"/>
        </w:rPr>
        <w:t xml:space="preserve">    "legal": {</w:t>
      </w:r>
    </w:p>
    <w:p>
      <w:pPr>
        <w:pStyle w:val="CodeBlock"/>
        <w:keepLines/>
        <w:spacing w:after="0"/>
        <w:shd w:fill="F2F2F2"/>
      </w:pPr>
      <w:r>
        <w:rPr>
          <w:rFonts w:ascii="Consolas" w:hAnsi="Consolas"/>
          <w:sz w:val="16"/>
        </w:rPr>
        <w:t xml:space="preserve">      "legaltags": ["&lt;partition&gt;-&lt;approved-legal-tag&gt;"],</w:t>
      </w:r>
    </w:p>
    <w:p>
      <w:pPr>
        <w:pStyle w:val="CodeBlock"/>
        <w:keepLines/>
        <w:spacing w:after="0"/>
        <w:shd w:fill="F2F2F2"/>
      </w:pPr>
      <w:r>
        <w:rPr>
          <w:rFonts w:ascii="Consolas" w:hAnsi="Consolas"/>
          <w:sz w:val="16"/>
        </w:rPr>
        <w:t xml:space="preserve">      "otherRelevantDataCountries": ["&lt;ISO-2-country-code&gt;"]</w:t>
      </w:r>
    </w:p>
    <w:p>
      <w:pPr>
        <w:pStyle w:val="CodeBlock"/>
        <w:keepLines/>
        <w:spacing w:after="0"/>
        <w:shd w:fill="F2F2F2"/>
      </w:pPr>
      <w:r>
        <w:rPr>
          <w:rFonts w:ascii="Consolas" w:hAnsi="Consolas"/>
          <w:sz w:val="16"/>
        </w:rPr>
        <w:t xml:space="preserve">    },</w:t>
      </w:r>
    </w:p>
    <w:p>
      <w:pPr>
        <w:pStyle w:val="CodeBlock"/>
        <w:keepLines/>
        <w:spacing w:after="0"/>
        <w:shd w:fill="F2F2F2"/>
      </w:pPr>
      <w:r>
        <w:rPr>
          <w:rFonts w:ascii="Consolas" w:hAnsi="Consolas"/>
          <w:sz w:val="16"/>
        </w:rPr>
        <w:t xml:space="preserve">    "data": {</w:t>
      </w:r>
    </w:p>
    <w:p>
      <w:pPr>
        <w:pStyle w:val="CodeBlock"/>
        <w:keepLines/>
        <w:spacing w:after="0"/>
        <w:shd w:fill="F2F2F2"/>
      </w:pPr>
      <w:r>
        <w:rPr>
          <w:rFonts w:ascii="Consolas" w:hAnsi="Consolas"/>
          <w:sz w:val="16"/>
        </w:rPr>
        <w:t xml:space="preserve">      "...": "fields defined by the deployed schema"</w:t>
      </w:r>
    </w:p>
    <w:p>
      <w:pPr>
        <w:pStyle w:val="CodeBlock"/>
        <w:keepLines/>
        <w:spacing w:after="0"/>
        <w:shd w:fill="F2F2F2"/>
      </w:pPr>
      <w:r>
        <w:rPr>
          <w:rFonts w:ascii="Consolas" w:hAnsi="Consolas"/>
          <w:sz w:val="16"/>
        </w:rPr>
        <w:t xml:space="preserve">    }</w:t>
      </w:r>
    </w:p>
    <w:p>
      <w:pPr>
        <w:pStyle w:val="CodeBlock"/>
        <w:keepLines/>
        <w:spacing w:after="0"/>
        <w:shd w:fill="F2F2F2"/>
      </w:pPr>
      <w:r>
        <w:rPr>
          <w:rFonts w:ascii="Consolas" w:hAnsi="Consolas"/>
          <w:sz w:val="16"/>
        </w:rPr>
        <w:t xml:space="preserve">  }</w:t>
      </w:r>
    </w:p>
    <w:p>
      <w:pPr>
        <w:pStyle w:val="CodeBlock"/>
        <w:keepLines/>
        <w:spacing w:after="0"/>
        <w:shd w:fill="F2F2F2"/>
      </w:pPr>
      <w:r>
        <w:rPr>
          <w:rFonts w:ascii="Consolas" w:hAnsi="Consolas"/>
          <w:sz w:val="16"/>
        </w:rPr>
        <w:t>]</w:t>
      </w:r>
    </w:p>
    <w:p>
      <w:pPr>
        <w:spacing w:after="0"/>
      </w:pPr>
    </w:p>
    <w:p>
      <w:pPr>
        <w:pStyle w:val="Heading1"/>
      </w:pPr>
      <w:r>
        <w:t>12. Error Handling and 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shd w:fill="2F5597"/>
          </w:tcPr>
          <w:p>
            <w:r/>
            <w:r>
              <w:rPr>
                <w:rFonts w:ascii="Aptos" w:hAnsi="Aptos"/>
                <w:b/>
                <w:color w:val="FFFFFF"/>
                <w:sz w:val="18"/>
              </w:rPr>
              <w:t>Symptom</w:t>
            </w:r>
          </w:p>
        </w:tc>
        <w:tc>
          <w:tcPr>
            <w:tcW w:type="dxa" w:w="3384"/>
            <w:vAlign w:val="center"/>
            <w:shd w:fill="2F5597"/>
          </w:tcPr>
          <w:p>
            <w:r/>
            <w:r>
              <w:rPr>
                <w:rFonts w:ascii="Aptos" w:hAnsi="Aptos"/>
                <w:b/>
                <w:color w:val="FFFFFF"/>
                <w:sz w:val="18"/>
              </w:rPr>
              <w:t>Likely cause</w:t>
            </w:r>
          </w:p>
        </w:tc>
        <w:tc>
          <w:tcPr>
            <w:tcW w:type="dxa" w:w="4608"/>
            <w:vAlign w:val="center"/>
            <w:shd w:fill="2F5597"/>
          </w:tcPr>
          <w:p>
            <w:r/>
            <w:r>
              <w:rPr>
                <w:rFonts w:ascii="Aptos" w:hAnsi="Aptos"/>
                <w:b/>
                <w:color w:val="FFFFFF"/>
                <w:sz w:val="18"/>
              </w:rPr>
              <w:t>What to check</w:t>
            </w:r>
          </w:p>
        </w:tc>
      </w:tr>
      <w:tr>
        <w:trPr>
          <w:cantSplit/>
        </w:trPr>
        <w:tc>
          <w:tcPr>
            <w:tcW w:type="dxa" w:w="2016"/>
            <w:vAlign w:val="center"/>
          </w:tcPr>
          <w:p>
            <w:r/>
            <w:r>
              <w:rPr>
                <w:rFonts w:ascii="Aptos" w:hAnsi="Aptos"/>
                <w:b w:val="0"/>
                <w:sz w:val="17"/>
              </w:rPr>
              <w:t>401 Unauthorized</w:t>
            </w:r>
          </w:p>
        </w:tc>
        <w:tc>
          <w:tcPr>
            <w:tcW w:type="dxa" w:w="3384"/>
            <w:vAlign w:val="center"/>
          </w:tcPr>
          <w:p>
            <w:r/>
            <w:r>
              <w:rPr>
                <w:rFonts w:ascii="Aptos" w:hAnsi="Aptos"/>
                <w:b w:val="0"/>
                <w:sz w:val="17"/>
              </w:rPr>
              <w:t>Token missing/expired/invalid for gateway</w:t>
            </w:r>
          </w:p>
        </w:tc>
        <w:tc>
          <w:tcPr>
            <w:tcW w:type="dxa" w:w="4608"/>
            <w:vAlign w:val="center"/>
          </w:tcPr>
          <w:p>
            <w:r/>
            <w:r>
              <w:rPr>
                <w:rFonts w:ascii="Aptos" w:hAnsi="Aptos"/>
                <w:b w:val="0"/>
                <w:sz w:val="17"/>
              </w:rPr>
              <w:t>Token expiry, audience/issuer requirements, Authorization header</w:t>
            </w:r>
          </w:p>
        </w:tc>
      </w:tr>
      <w:tr>
        <w:trPr>
          <w:cantSplit/>
        </w:trPr>
        <w:tc>
          <w:tcPr>
            <w:tcW w:type="dxa" w:w="2016"/>
            <w:vAlign w:val="center"/>
            <w:shd w:fill="F4F7FB"/>
          </w:tcPr>
          <w:p>
            <w:r/>
            <w:r>
              <w:rPr>
                <w:rFonts w:ascii="Aptos" w:hAnsi="Aptos"/>
                <w:b w:val="0"/>
                <w:sz w:val="17"/>
              </w:rPr>
              <w:t>403 Forbidden</w:t>
            </w:r>
          </w:p>
        </w:tc>
        <w:tc>
          <w:tcPr>
            <w:tcW w:type="dxa" w:w="3384"/>
            <w:vAlign w:val="center"/>
            <w:shd w:fill="F4F7FB"/>
          </w:tcPr>
          <w:p>
            <w:r/>
            <w:r>
              <w:rPr>
                <w:rFonts w:ascii="Aptos" w:hAnsi="Aptos"/>
                <w:b w:val="0"/>
                <w:sz w:val="17"/>
              </w:rPr>
              <w:t>Missing service entitlement or data ACL membership</w:t>
            </w:r>
          </w:p>
        </w:tc>
        <w:tc>
          <w:tcPr>
            <w:tcW w:type="dxa" w:w="4608"/>
            <w:vAlign w:val="center"/>
            <w:shd w:fill="F4F7FB"/>
          </w:tcPr>
          <w:p>
            <w:r/>
            <w:r>
              <w:rPr>
                <w:rFonts w:ascii="Aptos" w:hAnsi="Aptos"/>
                <w:b w:val="0"/>
                <w:sz w:val="17"/>
              </w:rPr>
              <w:t>Entitlements groups; record viewers/owners groups</w:t>
            </w:r>
          </w:p>
        </w:tc>
      </w:tr>
      <w:tr>
        <w:trPr>
          <w:cantSplit/>
        </w:trPr>
        <w:tc>
          <w:tcPr>
            <w:tcW w:type="dxa" w:w="2016"/>
            <w:vAlign w:val="center"/>
          </w:tcPr>
          <w:p>
            <w:r/>
            <w:r>
              <w:rPr>
                <w:rFonts w:ascii="Aptos" w:hAnsi="Aptos"/>
                <w:b w:val="0"/>
                <w:sz w:val="17"/>
              </w:rPr>
              <w:t>404 endpoint</w:t>
            </w:r>
          </w:p>
        </w:tc>
        <w:tc>
          <w:tcPr>
            <w:tcW w:type="dxa" w:w="3384"/>
            <w:vAlign w:val="center"/>
          </w:tcPr>
          <w:p>
            <w:r/>
            <w:r>
              <w:rPr>
                <w:rFonts w:ascii="Aptos" w:hAnsi="Aptos"/>
                <w:b w:val="0"/>
                <w:sz w:val="17"/>
              </w:rPr>
              <w:t>Wrong gateway prefix or service version</w:t>
            </w:r>
          </w:p>
        </w:tc>
        <w:tc>
          <w:tcPr>
            <w:tcW w:type="dxa" w:w="4608"/>
            <w:vAlign w:val="center"/>
          </w:tcPr>
          <w:p>
            <w:r/>
            <w:r>
              <w:rPr>
                <w:rFonts w:ascii="Aptos" w:hAnsi="Aptos"/>
                <w:b w:val="0"/>
                <w:sz w:val="17"/>
              </w:rPr>
              <w:t>Client Swagger/OpenAPI; base URL; context path</w:t>
            </w:r>
          </w:p>
        </w:tc>
      </w:tr>
      <w:tr>
        <w:trPr>
          <w:cantSplit/>
        </w:trPr>
        <w:tc>
          <w:tcPr>
            <w:tcW w:type="dxa" w:w="2016"/>
            <w:vAlign w:val="center"/>
            <w:shd w:fill="F4F7FB"/>
          </w:tcPr>
          <w:p>
            <w:r/>
            <w:r>
              <w:rPr>
                <w:rFonts w:ascii="Aptos" w:hAnsi="Aptos"/>
                <w:b w:val="0"/>
                <w:sz w:val="17"/>
              </w:rPr>
              <w:t>404 schema / indexing status</w:t>
            </w:r>
          </w:p>
        </w:tc>
        <w:tc>
          <w:tcPr>
            <w:tcW w:type="dxa" w:w="3384"/>
            <w:vAlign w:val="center"/>
            <w:shd w:fill="F4F7FB"/>
          </w:tcPr>
          <w:p>
            <w:r/>
            <w:r>
              <w:rPr>
                <w:rFonts w:ascii="Aptos" w:hAnsi="Aptos"/>
                <w:b w:val="0"/>
                <w:sz w:val="17"/>
              </w:rPr>
              <w:t>Kind absent from Schema Service or index mapping issue</w:t>
            </w:r>
          </w:p>
        </w:tc>
        <w:tc>
          <w:tcPr>
            <w:tcW w:type="dxa" w:w="4608"/>
            <w:vAlign w:val="center"/>
            <w:shd w:fill="F4F7FB"/>
          </w:tcPr>
          <w:p>
            <w:r/>
            <w:r>
              <w:rPr>
                <w:rFonts w:ascii="Aptos" w:hAnsi="Aptos"/>
                <w:b w:val="0"/>
                <w:sz w:val="17"/>
              </w:rPr>
              <w:t>Configured kind and schema deployment; platform Indexer status</w:t>
            </w:r>
          </w:p>
        </w:tc>
      </w:tr>
      <w:tr>
        <w:trPr>
          <w:cantSplit/>
        </w:trPr>
        <w:tc>
          <w:tcPr>
            <w:tcW w:type="dxa" w:w="2016"/>
            <w:vAlign w:val="center"/>
          </w:tcPr>
          <w:p>
            <w:r/>
            <w:r>
              <w:rPr>
                <w:rFonts w:ascii="Aptos" w:hAnsi="Aptos"/>
                <w:b w:val="0"/>
                <w:sz w:val="17"/>
              </w:rPr>
              <w:t>400 on Storage write</w:t>
            </w:r>
          </w:p>
        </w:tc>
        <w:tc>
          <w:tcPr>
            <w:tcW w:type="dxa" w:w="3384"/>
            <w:vAlign w:val="center"/>
          </w:tcPr>
          <w:p>
            <w:r/>
            <w:r>
              <w:rPr>
                <w:rFonts w:ascii="Aptos" w:hAnsi="Aptos"/>
                <w:b w:val="0"/>
                <w:sz w:val="17"/>
              </w:rPr>
              <w:t>Schema mismatch, legal/ACL validation, malformed record</w:t>
            </w:r>
          </w:p>
        </w:tc>
        <w:tc>
          <w:tcPr>
            <w:tcW w:type="dxa" w:w="4608"/>
            <w:vAlign w:val="center"/>
          </w:tcPr>
          <w:p>
            <w:r/>
            <w:r>
              <w:rPr>
                <w:rFonts w:ascii="Aptos" w:hAnsi="Aptos"/>
                <w:b w:val="0"/>
                <w:sz w:val="17"/>
              </w:rPr>
              <w:t>Response body, schema, LegalTag, ACL group names</w:t>
            </w:r>
          </w:p>
        </w:tc>
      </w:tr>
      <w:tr>
        <w:trPr>
          <w:cantSplit/>
        </w:trPr>
        <w:tc>
          <w:tcPr>
            <w:tcW w:type="dxa" w:w="2016"/>
            <w:vAlign w:val="center"/>
            <w:shd w:fill="F4F7FB"/>
          </w:tcPr>
          <w:p>
            <w:r/>
            <w:r>
              <w:rPr>
                <w:rFonts w:ascii="Aptos" w:hAnsi="Aptos"/>
                <w:b w:val="0"/>
                <w:sz w:val="17"/>
              </w:rPr>
              <w:t>Search returns zero but Storage write succeeded</w:t>
            </w:r>
          </w:p>
        </w:tc>
        <w:tc>
          <w:tcPr>
            <w:tcW w:type="dxa" w:w="3384"/>
            <w:vAlign w:val="center"/>
            <w:shd w:fill="F4F7FB"/>
          </w:tcPr>
          <w:p>
            <w:r/>
            <w:r>
              <w:rPr>
                <w:rFonts w:ascii="Aptos" w:hAnsi="Aptos"/>
                <w:b w:val="0"/>
                <w:sz w:val="17"/>
              </w:rPr>
              <w:t>Indexing not completed yet or caller cannot view record</w:t>
            </w:r>
          </w:p>
        </w:tc>
        <w:tc>
          <w:tcPr>
            <w:tcW w:type="dxa" w:w="4608"/>
            <w:vAlign w:val="center"/>
            <w:shd w:fill="F4F7FB"/>
          </w:tcPr>
          <w:p>
            <w:r/>
            <w:r>
              <w:rPr>
                <w:rFonts w:ascii="Aptos" w:hAnsi="Aptos"/>
                <w:b w:val="0"/>
                <w:sz w:val="17"/>
              </w:rPr>
              <w:t>Retry with backoff; ACL; Indexer/platform logs</w:t>
            </w:r>
          </w:p>
        </w:tc>
      </w:tr>
      <w:tr>
        <w:trPr>
          <w:cantSplit/>
        </w:trPr>
        <w:tc>
          <w:tcPr>
            <w:tcW w:type="dxa" w:w="2016"/>
            <w:vAlign w:val="center"/>
          </w:tcPr>
          <w:p>
            <w:r/>
            <w:r>
              <w:rPr>
                <w:rFonts w:ascii="Aptos" w:hAnsi="Aptos"/>
                <w:b w:val="0"/>
                <w:sz w:val="17"/>
              </w:rPr>
              <w:t>429 / 5xx transient errors</w:t>
            </w:r>
          </w:p>
        </w:tc>
        <w:tc>
          <w:tcPr>
            <w:tcW w:type="dxa" w:w="3384"/>
            <w:vAlign w:val="center"/>
          </w:tcPr>
          <w:p>
            <w:r/>
            <w:r>
              <w:rPr>
                <w:rFonts w:ascii="Aptos" w:hAnsi="Aptos"/>
                <w:b w:val="0"/>
                <w:sz w:val="17"/>
              </w:rPr>
              <w:t>Gateway throttling or temporary service issue</w:t>
            </w:r>
          </w:p>
        </w:tc>
        <w:tc>
          <w:tcPr>
            <w:tcW w:type="dxa" w:w="4608"/>
            <w:vAlign w:val="center"/>
          </w:tcPr>
          <w:p>
            <w:r/>
            <w:r>
              <w:rPr>
                <w:rFonts w:ascii="Aptos" w:hAnsi="Aptos"/>
                <w:b w:val="0"/>
                <w:sz w:val="17"/>
              </w:rPr>
              <w:t>Retry policy, batch size, client rate-limit agreement</w:t>
            </w:r>
          </w:p>
        </w:tc>
      </w:tr>
    </w:tbl>
    <w:p>
      <w:pPr>
        <w:spacing w:after="0"/>
      </w:pPr>
    </w:p>
    <w:p>
      <w:pPr>
        <w:pStyle w:val="Heading2"/>
      </w:pPr>
      <w:r>
        <w:t>12.1 Logging fields to capture</w:t>
      </w:r>
    </w:p>
    <w:p>
      <w:pPr>
        <w:pStyle w:val="ListBullet"/>
        <w:spacing w:after="40"/>
      </w:pPr>
      <w:r>
        <w:t>correlation-id sent to OSDU</w:t>
      </w:r>
    </w:p>
    <w:p>
      <w:pPr>
        <w:pStyle w:val="ListBullet"/>
        <w:spacing w:after="40"/>
      </w:pPr>
      <w:r>
        <w:t>service and endpoint name (without secrets)</w:t>
      </w:r>
    </w:p>
    <w:p>
      <w:pPr>
        <w:pStyle w:val="ListBullet"/>
        <w:spacing w:after="40"/>
      </w:pPr>
      <w:r>
        <w:t>data partition</w:t>
      </w:r>
    </w:p>
    <w:p>
      <w:pPr>
        <w:pStyle w:val="ListBullet"/>
        <w:spacing w:after="40"/>
      </w:pPr>
      <w:r>
        <w:t>record kind</w:t>
      </w:r>
    </w:p>
    <w:p>
      <w:pPr>
        <w:pStyle w:val="ListBullet"/>
        <w:spacing w:after="40"/>
      </w:pPr>
      <w:r>
        <w:t>record ID/version when applicable</w:t>
      </w:r>
    </w:p>
    <w:p>
      <w:pPr>
        <w:pStyle w:val="ListBullet"/>
        <w:spacing w:after="40"/>
      </w:pPr>
      <w:r>
        <w:t>HTTP status and OSDU error response code/message</w:t>
      </w:r>
    </w:p>
    <w:p>
      <w:pPr>
        <w:pStyle w:val="ListBullet"/>
        <w:spacing w:after="40"/>
      </w:pPr>
      <w:r>
        <w:t>elapsed time and retry count</w:t>
      </w:r>
    </w:p>
    <w:p>
      <w:pPr>
        <w:pStyle w:val="ListBullet"/>
        <w:spacing w:after="40"/>
      </w:pPr>
      <w:r>
        <w:t>never log access tokens, client secrets or signed dataset URLs</w:t>
      </w:r>
    </w:p>
    <w:p>
      <w:pPr>
        <w:pStyle w:val="Heading1"/>
      </w:pPr>
      <w:r>
        <w:t>13. Production Integration Recommendations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2F5597"/>
          </w:tcPr>
          <w:p>
            <w:r/>
            <w:r>
              <w:rPr>
                <w:rFonts w:ascii="Aptos" w:hAnsi="Aptos"/>
                <w:b/>
                <w:color w:val="FFFFFF"/>
                <w:sz w:val="18"/>
              </w:rPr>
              <w:t>Area</w:t>
            </w:r>
          </w:p>
        </w:tc>
        <w:tc>
          <w:tcPr>
            <w:tcW w:type="dxa" w:w="5083"/>
            <w:vAlign w:val="center"/>
            <w:shd w:fill="2F5597"/>
          </w:tcPr>
          <w:p>
            <w:r/>
            <w:r>
              <w:rPr>
                <w:rFonts w:ascii="Aptos" w:hAnsi="Aptos"/>
                <w:b/>
                <w:color w:val="FFFFFF"/>
                <w:sz w:val="18"/>
              </w:rPr>
              <w:t>Recommendation</w:t>
            </w:r>
          </w:p>
        </w:tc>
      </w:tr>
      <w:tr>
        <w:trPr>
          <w:cantSplit/>
        </w:trPr>
        <w:tc>
          <w:tcPr>
            <w:tcW w:type="dxa" w:w="5083"/>
            <w:vAlign w:val="center"/>
          </w:tcPr>
          <w:p>
            <w:r/>
            <w:r>
              <w:rPr>
                <w:rFonts w:ascii="Aptos" w:hAnsi="Aptos"/>
                <w:b w:val="0"/>
                <w:sz w:val="17"/>
              </w:rPr>
              <w:t>Configuration</w:t>
            </w:r>
          </w:p>
        </w:tc>
        <w:tc>
          <w:tcPr>
            <w:tcW w:type="dxa" w:w="5083"/>
            <w:vAlign w:val="center"/>
          </w:tcPr>
          <w:p>
            <w:r/>
            <w:r>
              <w:rPr>
                <w:rFonts w:ascii="Aptos" w:hAnsi="Aptos"/>
                <w:b w:val="0"/>
                <w:sz w:val="17"/>
              </w:rPr>
              <w:t>Externalize base URL, partition and per-service context paths; do not hard-code environments.</w:t>
            </w:r>
          </w:p>
        </w:tc>
      </w:tr>
      <w:tr>
        <w:trPr>
          <w:cantSplit/>
        </w:trPr>
        <w:tc>
          <w:tcPr>
            <w:tcW w:type="dxa" w:w="5083"/>
            <w:vAlign w:val="center"/>
            <w:shd w:fill="F4F7FB"/>
          </w:tcPr>
          <w:p>
            <w:r/>
            <w:r>
              <w:rPr>
                <w:rFonts w:ascii="Aptos" w:hAnsi="Aptos"/>
                <w:b w:val="0"/>
                <w:sz w:val="17"/>
              </w:rPr>
              <w:t>Authentication</w:t>
            </w:r>
          </w:p>
        </w:tc>
        <w:tc>
          <w:tcPr>
            <w:tcW w:type="dxa" w:w="5083"/>
            <w:vAlign w:val="center"/>
            <w:shd w:fill="F4F7FB"/>
          </w:tcPr>
          <w:p>
            <w:r/>
            <w:r>
              <w:rPr>
                <w:rFonts w:ascii="Aptos" w:hAnsi="Aptos"/>
                <w:b w:val="0"/>
                <w:sz w:val="17"/>
              </w:rPr>
              <w:t>Use the client-approved workload identity/service account. Cache tokens only until safe expiry and refresh through the approved IdP flow.</w:t>
            </w:r>
          </w:p>
        </w:tc>
      </w:tr>
      <w:tr>
        <w:trPr>
          <w:cantSplit/>
        </w:trPr>
        <w:tc>
          <w:tcPr>
            <w:tcW w:type="dxa" w:w="5083"/>
            <w:vAlign w:val="center"/>
          </w:tcPr>
          <w:p>
            <w:r/>
            <w:r>
              <w:rPr>
                <w:rFonts w:ascii="Aptos" w:hAnsi="Aptos"/>
                <w:b w:val="0"/>
                <w:sz w:val="17"/>
              </w:rPr>
              <w:t>Authorization</w:t>
            </w:r>
          </w:p>
        </w:tc>
        <w:tc>
          <w:tcPr>
            <w:tcW w:type="dxa" w:w="5083"/>
            <w:vAlign w:val="center"/>
          </w:tcPr>
          <w:p>
            <w:r/>
            <w:r>
              <w:rPr>
                <w:rFonts w:ascii="Aptos" w:hAnsi="Aptos"/>
                <w:b w:val="0"/>
                <w:sz w:val="17"/>
              </w:rPr>
              <w:t>Request least privilege. Separate read-only and write identities when operationally useful.</w:t>
            </w:r>
          </w:p>
        </w:tc>
      </w:tr>
      <w:tr>
        <w:trPr>
          <w:cantSplit/>
        </w:trPr>
        <w:tc>
          <w:tcPr>
            <w:tcW w:type="dxa" w:w="5083"/>
            <w:vAlign w:val="center"/>
            <w:shd w:fill="F4F7FB"/>
          </w:tcPr>
          <w:p>
            <w:r/>
            <w:r>
              <w:rPr>
                <w:rFonts w:ascii="Aptos" w:hAnsi="Aptos"/>
                <w:b w:val="0"/>
                <w:sz w:val="17"/>
              </w:rPr>
              <w:t>Schema compatibility</w:t>
            </w:r>
          </w:p>
        </w:tc>
        <w:tc>
          <w:tcPr>
            <w:tcW w:type="dxa" w:w="5083"/>
            <w:vAlign w:val="center"/>
            <w:shd w:fill="F4F7FB"/>
          </w:tcPr>
          <w:p>
            <w:r/>
            <w:r>
              <w:rPr>
                <w:rFonts w:ascii="Aptos" w:hAnsi="Aptos"/>
                <w:b w:val="0"/>
                <w:sz w:val="17"/>
              </w:rPr>
              <w:t>Pin supported kinds in configuration and validate them at startup/deployment.</w:t>
            </w:r>
          </w:p>
        </w:tc>
      </w:tr>
      <w:tr>
        <w:trPr>
          <w:cantSplit/>
        </w:trPr>
        <w:tc>
          <w:tcPr>
            <w:tcW w:type="dxa" w:w="5083"/>
            <w:vAlign w:val="center"/>
          </w:tcPr>
          <w:p>
            <w:r/>
            <w:r>
              <w:rPr>
                <w:rFonts w:ascii="Aptos" w:hAnsi="Aptos"/>
                <w:b w:val="0"/>
                <w:sz w:val="17"/>
              </w:rPr>
              <w:t>Retries</w:t>
            </w:r>
          </w:p>
        </w:tc>
        <w:tc>
          <w:tcPr>
            <w:tcW w:type="dxa" w:w="5083"/>
            <w:vAlign w:val="center"/>
          </w:tcPr>
          <w:p>
            <w:r/>
            <w:r>
              <w:rPr>
                <w:rFonts w:ascii="Aptos" w:hAnsi="Aptos"/>
                <w:b w:val="0"/>
                <w:sz w:val="17"/>
              </w:rPr>
              <w:t>Retry only transient failures (for example 429/502/503/504) with exponential backoff and jitter.</w:t>
            </w:r>
          </w:p>
        </w:tc>
      </w:tr>
      <w:tr>
        <w:trPr>
          <w:cantSplit/>
        </w:trPr>
        <w:tc>
          <w:tcPr>
            <w:tcW w:type="dxa" w:w="5083"/>
            <w:vAlign w:val="center"/>
            <w:shd w:fill="F4F7FB"/>
          </w:tcPr>
          <w:p>
            <w:r/>
            <w:r>
              <w:rPr>
                <w:rFonts w:ascii="Aptos" w:hAnsi="Aptos"/>
                <w:b w:val="0"/>
                <w:sz w:val="17"/>
              </w:rPr>
              <w:t>Idempotency</w:t>
            </w:r>
          </w:p>
        </w:tc>
        <w:tc>
          <w:tcPr>
            <w:tcW w:type="dxa" w:w="5083"/>
            <w:vAlign w:val="center"/>
            <w:shd w:fill="F4F7FB"/>
          </w:tcPr>
          <w:p>
            <w:r/>
            <w:r>
              <w:rPr>
                <w:rFonts w:ascii="Aptos" w:hAnsi="Aptos"/>
                <w:b w:val="0"/>
                <w:sz w:val="17"/>
              </w:rPr>
              <w:t>Use deterministic record IDs/natural keys when the ingestion design supports them to avoid accidental duplicates.</w:t>
            </w:r>
          </w:p>
        </w:tc>
      </w:tr>
      <w:tr>
        <w:trPr>
          <w:cantSplit/>
        </w:trPr>
        <w:tc>
          <w:tcPr>
            <w:tcW w:type="dxa" w:w="5083"/>
            <w:vAlign w:val="center"/>
          </w:tcPr>
          <w:p>
            <w:r/>
            <w:r>
              <w:rPr>
                <w:rFonts w:ascii="Aptos" w:hAnsi="Aptos"/>
                <w:b w:val="0"/>
                <w:sz w:val="17"/>
              </w:rPr>
              <w:t>Batching</w:t>
            </w:r>
          </w:p>
        </w:tc>
        <w:tc>
          <w:tcPr>
            <w:tcW w:type="dxa" w:w="5083"/>
            <w:vAlign w:val="center"/>
          </w:tcPr>
          <w:p>
            <w:r/>
            <w:r>
              <w:rPr>
                <w:rFonts w:ascii="Aptos" w:hAnsi="Aptos"/>
                <w:b w:val="0"/>
                <w:sz w:val="17"/>
              </w:rPr>
              <w:t>Batch Storage writes within the deployed service limits; do not assume unlimited batch sizes.</w:t>
            </w:r>
          </w:p>
        </w:tc>
      </w:tr>
      <w:tr>
        <w:trPr>
          <w:cantSplit/>
        </w:trPr>
        <w:tc>
          <w:tcPr>
            <w:tcW w:type="dxa" w:w="5083"/>
            <w:vAlign w:val="center"/>
            <w:shd w:fill="F4F7FB"/>
          </w:tcPr>
          <w:p>
            <w:r/>
            <w:r>
              <w:rPr>
                <w:rFonts w:ascii="Aptos" w:hAnsi="Aptos"/>
                <w:b w:val="0"/>
                <w:sz w:val="17"/>
              </w:rPr>
              <w:t>Search consistency</w:t>
            </w:r>
          </w:p>
        </w:tc>
        <w:tc>
          <w:tcPr>
            <w:tcW w:type="dxa" w:w="5083"/>
            <w:vAlign w:val="center"/>
            <w:shd w:fill="F4F7FB"/>
          </w:tcPr>
          <w:p>
            <w:r/>
            <w:r>
              <w:rPr>
                <w:rFonts w:ascii="Aptos" w:hAnsi="Aptos"/>
                <w:b w:val="0"/>
                <w:sz w:val="17"/>
              </w:rPr>
              <w:t>Treat Search as indexed discovery; after writes, expect a bounded indexing delay.</w:t>
            </w:r>
          </w:p>
        </w:tc>
      </w:tr>
      <w:tr>
        <w:trPr>
          <w:cantSplit/>
        </w:trPr>
        <w:tc>
          <w:tcPr>
            <w:tcW w:type="dxa" w:w="5083"/>
            <w:vAlign w:val="center"/>
          </w:tcPr>
          <w:p>
            <w:r/>
            <w:r>
              <w:rPr>
                <w:rFonts w:ascii="Aptos" w:hAnsi="Aptos"/>
                <w:b w:val="0"/>
                <w:sz w:val="17"/>
              </w:rPr>
              <w:t>Observability</w:t>
            </w:r>
          </w:p>
        </w:tc>
        <w:tc>
          <w:tcPr>
            <w:tcW w:type="dxa" w:w="5083"/>
            <w:vAlign w:val="center"/>
          </w:tcPr>
          <w:p>
            <w:r/>
            <w:r>
              <w:rPr>
                <w:rFonts w:ascii="Aptos" w:hAnsi="Aptos"/>
                <w:b w:val="0"/>
                <w:sz w:val="17"/>
              </w:rPr>
              <w:t>Propagate correlation-id and integrate it with application tracing.</w:t>
            </w:r>
          </w:p>
        </w:tc>
      </w:tr>
      <w:tr>
        <w:trPr>
          <w:cantSplit/>
        </w:trPr>
        <w:tc>
          <w:tcPr>
            <w:tcW w:type="dxa" w:w="5083"/>
            <w:vAlign w:val="center"/>
            <w:shd w:fill="F4F7FB"/>
          </w:tcPr>
          <w:p>
            <w:r/>
            <w:r>
              <w:rPr>
                <w:rFonts w:ascii="Aptos" w:hAnsi="Aptos"/>
                <w:b w:val="0"/>
                <w:sz w:val="17"/>
              </w:rPr>
              <w:t>Data governance</w:t>
            </w:r>
          </w:p>
        </w:tc>
        <w:tc>
          <w:tcPr>
            <w:tcW w:type="dxa" w:w="5083"/>
            <w:vAlign w:val="center"/>
            <w:shd w:fill="F4F7FB"/>
          </w:tcPr>
          <w:p>
            <w:r/>
            <w:r>
              <w:rPr>
                <w:rFonts w:ascii="Aptos" w:hAnsi="Aptos"/>
                <w:b w:val="0"/>
                <w:sz w:val="17"/>
              </w:rPr>
              <w:t>Keep custom schemas, ACL groups, LegalTags and write-back conventions under change control.</w:t>
            </w:r>
          </w:p>
        </w:tc>
      </w:tr>
      <w:tr>
        <w:trPr>
          <w:cantSplit/>
        </w:trPr>
        <w:tc>
          <w:tcPr>
            <w:tcW w:type="dxa" w:w="5083"/>
            <w:vAlign w:val="center"/>
          </w:tcPr>
          <w:p>
            <w:r/>
            <w:r>
              <w:rPr>
                <w:rFonts w:ascii="Aptos" w:hAnsi="Aptos"/>
                <w:b w:val="0"/>
                <w:sz w:val="17"/>
              </w:rPr>
              <w:t>Testing</w:t>
            </w:r>
          </w:p>
        </w:tc>
        <w:tc>
          <w:tcPr>
            <w:tcW w:type="dxa" w:w="5083"/>
            <w:vAlign w:val="center"/>
          </w:tcPr>
          <w:p>
            <w:r/>
            <w:r>
              <w:rPr>
                <w:rFonts w:ascii="Aptos" w:hAnsi="Aptos"/>
                <w:b w:val="0"/>
                <w:sz w:val="17"/>
              </w:rPr>
              <w:t>Maintain a dedicated non-production partition/environment with representative schemas and access groups.</w:t>
            </w:r>
          </w:p>
        </w:tc>
      </w:tr>
    </w:tbl>
    <w:p>
      <w:pPr>
        <w:spacing w:after="0"/>
      </w:pPr>
    </w:p>
    <w:p>
      <w:pPr>
        <w:pStyle w:val="Heading1"/>
      </w:pPr>
      <w:r>
        <w:t>14. Suggested Integration Test Suite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2F5597"/>
          </w:tcPr>
          <w:p>
            <w:r/>
            <w:r>
              <w:rPr>
                <w:rFonts w:ascii="Aptos" w:hAnsi="Aptos"/>
                <w:b/>
                <w:color w:val="FFFFFF"/>
                <w:sz w:val="18"/>
              </w:rPr>
              <w:t>Test</w:t>
            </w:r>
          </w:p>
        </w:tc>
        <w:tc>
          <w:tcPr>
            <w:tcW w:type="dxa" w:w="5083"/>
            <w:vAlign w:val="center"/>
            <w:shd w:fill="2F5597"/>
          </w:tcPr>
          <w:p>
            <w:r/>
            <w:r>
              <w:rPr>
                <w:rFonts w:ascii="Aptos" w:hAnsi="Aptos"/>
                <w:b/>
                <w:color w:val="FFFFFF"/>
                <w:sz w:val="18"/>
              </w:rPr>
              <w:t>Expected result</w:t>
            </w:r>
          </w:p>
        </w:tc>
      </w:tr>
      <w:tr>
        <w:trPr>
          <w:cantSplit/>
        </w:trPr>
        <w:tc>
          <w:tcPr>
            <w:tcW w:type="dxa" w:w="5083"/>
            <w:vAlign w:val="center"/>
          </w:tcPr>
          <w:p>
            <w:r/>
            <w:r>
              <w:rPr>
                <w:rFonts w:ascii="Aptos" w:hAnsi="Aptos"/>
                <w:b w:val="0"/>
                <w:sz w:val="17"/>
              </w:rPr>
              <w:t>Valid token + valid partition + valid viewer groups</w:t>
            </w:r>
          </w:p>
        </w:tc>
        <w:tc>
          <w:tcPr>
            <w:tcW w:type="dxa" w:w="5083"/>
            <w:vAlign w:val="center"/>
          </w:tcPr>
          <w:p>
            <w:r/>
            <w:r>
              <w:rPr>
                <w:rFonts w:ascii="Aptos" w:hAnsi="Aptos"/>
                <w:b w:val="0"/>
                <w:sz w:val="17"/>
              </w:rPr>
              <w:t>Search returns records visible to caller</w:t>
            </w:r>
          </w:p>
        </w:tc>
      </w:tr>
      <w:tr>
        <w:trPr>
          <w:cantSplit/>
        </w:trPr>
        <w:tc>
          <w:tcPr>
            <w:tcW w:type="dxa" w:w="5083"/>
            <w:vAlign w:val="center"/>
            <w:shd w:fill="F4F7FB"/>
          </w:tcPr>
          <w:p>
            <w:r/>
            <w:r>
              <w:rPr>
                <w:rFonts w:ascii="Aptos" w:hAnsi="Aptos"/>
                <w:b w:val="0"/>
                <w:sz w:val="17"/>
              </w:rPr>
              <w:t>Expired token</w:t>
            </w:r>
          </w:p>
        </w:tc>
        <w:tc>
          <w:tcPr>
            <w:tcW w:type="dxa" w:w="5083"/>
            <w:vAlign w:val="center"/>
            <w:shd w:fill="F4F7FB"/>
          </w:tcPr>
          <w:p>
            <w:r/>
            <w:r>
              <w:rPr>
                <w:rFonts w:ascii="Aptos" w:hAnsi="Aptos"/>
                <w:b w:val="0"/>
                <w:sz w:val="17"/>
              </w:rPr>
              <w:t>401 and application refresh/re-auth behavior</w:t>
            </w:r>
          </w:p>
        </w:tc>
      </w:tr>
      <w:tr>
        <w:trPr>
          <w:cantSplit/>
        </w:trPr>
        <w:tc>
          <w:tcPr>
            <w:tcW w:type="dxa" w:w="5083"/>
            <w:vAlign w:val="center"/>
          </w:tcPr>
          <w:p>
            <w:r/>
            <w:r>
              <w:rPr>
                <w:rFonts w:ascii="Aptos" w:hAnsi="Aptos"/>
                <w:b w:val="0"/>
                <w:sz w:val="17"/>
              </w:rPr>
              <w:t>Wrong partition</w:t>
            </w:r>
          </w:p>
        </w:tc>
        <w:tc>
          <w:tcPr>
            <w:tcW w:type="dxa" w:w="5083"/>
            <w:vAlign w:val="center"/>
          </w:tcPr>
          <w:p>
            <w:r/>
            <w:r>
              <w:rPr>
                <w:rFonts w:ascii="Aptos" w:hAnsi="Aptos"/>
                <w:b w:val="0"/>
                <w:sz w:val="17"/>
              </w:rPr>
              <w:t>Access rejected or no cross-partition leakage</w:t>
            </w:r>
          </w:p>
        </w:tc>
      </w:tr>
      <w:tr>
        <w:trPr>
          <w:cantSplit/>
        </w:trPr>
        <w:tc>
          <w:tcPr>
            <w:tcW w:type="dxa" w:w="5083"/>
            <w:vAlign w:val="center"/>
            <w:shd w:fill="F4F7FB"/>
          </w:tcPr>
          <w:p>
            <w:r/>
            <w:r>
              <w:rPr>
                <w:rFonts w:ascii="Aptos" w:hAnsi="Aptos"/>
                <w:b w:val="0"/>
                <w:sz w:val="17"/>
              </w:rPr>
              <w:t>Missing data viewer group</w:t>
            </w:r>
          </w:p>
        </w:tc>
        <w:tc>
          <w:tcPr>
            <w:tcW w:type="dxa" w:w="5083"/>
            <w:vAlign w:val="center"/>
            <w:shd w:fill="F4F7FB"/>
          </w:tcPr>
          <w:p>
            <w:r/>
            <w:r>
              <w:rPr>
                <w:rFonts w:ascii="Aptos" w:hAnsi="Aptos"/>
                <w:b w:val="0"/>
                <w:sz w:val="17"/>
              </w:rPr>
              <w:t>Record not visible even if Search service permission exists</w:t>
            </w:r>
          </w:p>
        </w:tc>
      </w:tr>
      <w:tr>
        <w:trPr>
          <w:cantSplit/>
        </w:trPr>
        <w:tc>
          <w:tcPr>
            <w:tcW w:type="dxa" w:w="5083"/>
            <w:vAlign w:val="center"/>
          </w:tcPr>
          <w:p>
            <w:r/>
            <w:r>
              <w:rPr>
                <w:rFonts w:ascii="Aptos" w:hAnsi="Aptos"/>
                <w:b w:val="0"/>
                <w:sz w:val="17"/>
              </w:rPr>
              <w:t>Known record ID via Storage</w:t>
            </w:r>
          </w:p>
        </w:tc>
        <w:tc>
          <w:tcPr>
            <w:tcW w:type="dxa" w:w="5083"/>
            <w:vAlign w:val="center"/>
          </w:tcPr>
          <w:p>
            <w:r/>
            <w:r>
              <w:rPr>
                <w:rFonts w:ascii="Aptos" w:hAnsi="Aptos"/>
                <w:b w:val="0"/>
                <w:sz w:val="17"/>
              </w:rPr>
              <w:t>Latest record is returned</w:t>
            </w:r>
          </w:p>
        </w:tc>
      </w:tr>
      <w:tr>
        <w:trPr>
          <w:cantSplit/>
        </w:trPr>
        <w:tc>
          <w:tcPr>
            <w:tcW w:type="dxa" w:w="5083"/>
            <w:vAlign w:val="center"/>
            <w:shd w:fill="F4F7FB"/>
          </w:tcPr>
          <w:p>
            <w:r/>
            <w:r>
              <w:rPr>
                <w:rFonts w:ascii="Aptos" w:hAnsi="Aptos"/>
                <w:b w:val="0"/>
                <w:sz w:val="17"/>
              </w:rPr>
              <w:t>Specific record version</w:t>
            </w:r>
          </w:p>
        </w:tc>
        <w:tc>
          <w:tcPr>
            <w:tcW w:type="dxa" w:w="5083"/>
            <w:vAlign w:val="center"/>
            <w:shd w:fill="F4F7FB"/>
          </w:tcPr>
          <w:p>
            <w:r/>
            <w:r>
              <w:rPr>
                <w:rFonts w:ascii="Aptos" w:hAnsi="Aptos"/>
                <w:b w:val="0"/>
                <w:sz w:val="17"/>
              </w:rPr>
              <w:t>Requested historical version is returned</w:t>
            </w:r>
          </w:p>
        </w:tc>
      </w:tr>
      <w:tr>
        <w:trPr>
          <w:cantSplit/>
        </w:trPr>
        <w:tc>
          <w:tcPr>
            <w:tcW w:type="dxa" w:w="5083"/>
            <w:vAlign w:val="center"/>
          </w:tcPr>
          <w:p>
            <w:r/>
            <w:r>
              <w:rPr>
                <w:rFonts w:ascii="Aptos" w:hAnsi="Aptos"/>
                <w:b w:val="0"/>
                <w:sz w:val="17"/>
              </w:rPr>
              <w:t>Invalid kind</w:t>
            </w:r>
          </w:p>
        </w:tc>
        <w:tc>
          <w:tcPr>
            <w:tcW w:type="dxa" w:w="5083"/>
            <w:vAlign w:val="center"/>
          </w:tcPr>
          <w:p>
            <w:r/>
            <w:r>
              <w:rPr>
                <w:rFonts w:ascii="Aptos" w:hAnsi="Aptos"/>
                <w:b w:val="0"/>
                <w:sz w:val="17"/>
              </w:rPr>
              <w:t>Clear schema/search error; application reports compatibility problem</w:t>
            </w:r>
          </w:p>
        </w:tc>
      </w:tr>
      <w:tr>
        <w:trPr>
          <w:cantSplit/>
        </w:trPr>
        <w:tc>
          <w:tcPr>
            <w:tcW w:type="dxa" w:w="5083"/>
            <w:vAlign w:val="center"/>
            <w:shd w:fill="F4F7FB"/>
          </w:tcPr>
          <w:p>
            <w:r/>
            <w:r>
              <w:rPr>
                <w:rFonts w:ascii="Aptos" w:hAnsi="Aptos"/>
                <w:b w:val="0"/>
                <w:sz w:val="17"/>
              </w:rPr>
              <w:t>Valid write with approved schema/legal/ACL</w:t>
            </w:r>
          </w:p>
        </w:tc>
        <w:tc>
          <w:tcPr>
            <w:tcW w:type="dxa" w:w="5083"/>
            <w:vAlign w:val="center"/>
            <w:shd w:fill="F4F7FB"/>
          </w:tcPr>
          <w:p>
            <w:r/>
            <w:r>
              <w:rPr>
                <w:rFonts w:ascii="Aptos" w:hAnsi="Aptos"/>
                <w:b w:val="0"/>
                <w:sz w:val="17"/>
              </w:rPr>
              <w:t>Storage returns record ID/version</w:t>
            </w:r>
          </w:p>
        </w:tc>
      </w:tr>
      <w:tr>
        <w:trPr>
          <w:cantSplit/>
        </w:trPr>
        <w:tc>
          <w:tcPr>
            <w:tcW w:type="dxa" w:w="5083"/>
            <w:vAlign w:val="center"/>
          </w:tcPr>
          <w:p>
            <w:r/>
            <w:r>
              <w:rPr>
                <w:rFonts w:ascii="Aptos" w:hAnsi="Aptos"/>
                <w:b w:val="0"/>
                <w:sz w:val="17"/>
              </w:rPr>
              <w:t>Immediate search after write</w:t>
            </w:r>
          </w:p>
        </w:tc>
        <w:tc>
          <w:tcPr>
            <w:tcW w:type="dxa" w:w="5083"/>
            <w:vAlign w:val="center"/>
          </w:tcPr>
          <w:p>
            <w:r/>
            <w:r>
              <w:rPr>
                <w:rFonts w:ascii="Aptos" w:hAnsi="Aptos"/>
                <w:b w:val="0"/>
                <w:sz w:val="17"/>
              </w:rPr>
              <w:t>Application tolerates indexing delay</w:t>
            </w:r>
          </w:p>
        </w:tc>
      </w:tr>
      <w:tr>
        <w:trPr>
          <w:cantSplit/>
        </w:trPr>
        <w:tc>
          <w:tcPr>
            <w:tcW w:type="dxa" w:w="5083"/>
            <w:vAlign w:val="center"/>
            <w:shd w:fill="F4F7FB"/>
          </w:tcPr>
          <w:p>
            <w:r/>
            <w:r>
              <w:rPr>
                <w:rFonts w:ascii="Aptos" w:hAnsi="Aptos"/>
                <w:b w:val="0"/>
                <w:sz w:val="17"/>
              </w:rPr>
              <w:t>Transient 429/503</w:t>
            </w:r>
          </w:p>
        </w:tc>
        <w:tc>
          <w:tcPr>
            <w:tcW w:type="dxa" w:w="5083"/>
            <w:vAlign w:val="center"/>
            <w:shd w:fill="F4F7FB"/>
          </w:tcPr>
          <w:p>
            <w:r/>
            <w:r>
              <w:rPr>
                <w:rFonts w:ascii="Aptos" w:hAnsi="Aptos"/>
                <w:b w:val="0"/>
                <w:sz w:val="17"/>
              </w:rPr>
              <w:t>Client retries according to policy and does not create duplicates</w:t>
            </w:r>
          </w:p>
        </w:tc>
      </w:tr>
    </w:tbl>
    <w:p>
      <w:pPr>
        <w:spacing w:after="0"/>
      </w:pPr>
    </w:p>
    <w:p>
      <w:pPr>
        <w:pStyle w:val="Heading1"/>
      </w:pPr>
      <w:r>
        <w:t>15. Recommended Delivery Plan for a Client Project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F5597"/>
          </w:tcPr>
          <w:p>
            <w:r/>
            <w:r>
              <w:rPr>
                <w:rFonts w:ascii="Aptos" w:hAnsi="Aptos"/>
                <w:b/>
                <w:color w:val="FFFFFF"/>
                <w:sz w:val="18"/>
              </w:rPr>
              <w:t>Phase</w:t>
            </w:r>
          </w:p>
        </w:tc>
        <w:tc>
          <w:tcPr>
            <w:tcW w:type="dxa" w:w="3389"/>
            <w:vAlign w:val="center"/>
            <w:shd w:fill="2F5597"/>
          </w:tcPr>
          <w:p>
            <w:r/>
            <w:r>
              <w:rPr>
                <w:rFonts w:ascii="Aptos" w:hAnsi="Aptos"/>
                <w:b/>
                <w:color w:val="FFFFFF"/>
                <w:sz w:val="18"/>
              </w:rPr>
              <w:t>Deliverable</w:t>
            </w:r>
          </w:p>
        </w:tc>
        <w:tc>
          <w:tcPr>
            <w:tcW w:type="dxa" w:w="3389"/>
            <w:vAlign w:val="center"/>
            <w:shd w:fill="2F5597"/>
          </w:tcPr>
          <w:p>
            <w:r/>
            <w:r>
              <w:rPr>
                <w:rFonts w:ascii="Aptos" w:hAnsi="Aptos"/>
                <w:b/>
                <w:color w:val="FFFFFF"/>
                <w:sz w:val="18"/>
              </w:rPr>
              <w:t>Exit criterion</w:t>
            </w:r>
          </w:p>
        </w:tc>
      </w:tr>
      <w:tr>
        <w:trPr>
          <w:cantSplit/>
        </w:trPr>
        <w:tc>
          <w:tcPr>
            <w:tcW w:type="dxa" w:w="3389"/>
            <w:vAlign w:val="center"/>
          </w:tcPr>
          <w:p>
            <w:r/>
            <w:r>
              <w:rPr>
                <w:rFonts w:ascii="Aptos" w:hAnsi="Aptos"/>
                <w:b w:val="0"/>
                <w:sz w:val="17"/>
              </w:rPr>
              <w:t>1. Connectivity</w:t>
            </w:r>
          </w:p>
        </w:tc>
        <w:tc>
          <w:tcPr>
            <w:tcW w:type="dxa" w:w="3389"/>
            <w:vAlign w:val="center"/>
          </w:tcPr>
          <w:p>
            <w:r/>
            <w:r>
              <w:rPr>
                <w:rFonts w:ascii="Aptos" w:hAnsi="Aptos"/>
                <w:b w:val="0"/>
                <w:sz w:val="17"/>
              </w:rPr>
              <w:t>Base URL, TLS/network, token acquisition test</w:t>
            </w:r>
          </w:p>
        </w:tc>
        <w:tc>
          <w:tcPr>
            <w:tcW w:type="dxa" w:w="3389"/>
            <w:vAlign w:val="center"/>
          </w:tcPr>
          <w:p>
            <w:r/>
            <w:r>
              <w:rPr>
                <w:rFonts w:ascii="Aptos" w:hAnsi="Aptos"/>
                <w:b w:val="0"/>
                <w:sz w:val="17"/>
              </w:rPr>
              <w:t>GET/POST to non-destructive service works</w:t>
            </w:r>
          </w:p>
        </w:tc>
      </w:tr>
      <w:tr>
        <w:trPr>
          <w:cantSplit/>
        </w:trPr>
        <w:tc>
          <w:tcPr>
            <w:tcW w:type="dxa" w:w="3389"/>
            <w:vAlign w:val="center"/>
            <w:shd w:fill="F4F7FB"/>
          </w:tcPr>
          <w:p>
            <w:r/>
            <w:r>
              <w:rPr>
                <w:rFonts w:ascii="Aptos" w:hAnsi="Aptos"/>
                <w:b w:val="0"/>
                <w:sz w:val="17"/>
              </w:rPr>
              <w:t>2. Authorization</w:t>
            </w:r>
          </w:p>
        </w:tc>
        <w:tc>
          <w:tcPr>
            <w:tcW w:type="dxa" w:w="3389"/>
            <w:vAlign w:val="center"/>
            <w:shd w:fill="F4F7FB"/>
          </w:tcPr>
          <w:p>
            <w:r/>
            <w:r>
              <w:rPr>
                <w:rFonts w:ascii="Aptos" w:hAnsi="Aptos"/>
                <w:b w:val="0"/>
                <w:sz w:val="17"/>
              </w:rPr>
              <w:t>Entitlement matrix and test identities</w:t>
            </w:r>
          </w:p>
        </w:tc>
        <w:tc>
          <w:tcPr>
            <w:tcW w:type="dxa" w:w="3389"/>
            <w:vAlign w:val="center"/>
            <w:shd w:fill="F4F7FB"/>
          </w:tcPr>
          <w:p>
            <w:r/>
            <w:r>
              <w:rPr>
                <w:rFonts w:ascii="Aptos" w:hAnsi="Aptos"/>
                <w:b w:val="0"/>
                <w:sz w:val="17"/>
              </w:rPr>
              <w:t>Allowed/denied cases behave correctly</w:t>
            </w:r>
          </w:p>
        </w:tc>
      </w:tr>
      <w:tr>
        <w:trPr>
          <w:cantSplit/>
        </w:trPr>
        <w:tc>
          <w:tcPr>
            <w:tcW w:type="dxa" w:w="3389"/>
            <w:vAlign w:val="center"/>
          </w:tcPr>
          <w:p>
            <w:r/>
            <w:r>
              <w:rPr>
                <w:rFonts w:ascii="Aptos" w:hAnsi="Aptos"/>
                <w:b w:val="0"/>
                <w:sz w:val="17"/>
              </w:rPr>
              <w:t>3. Data discovery</w:t>
            </w:r>
          </w:p>
        </w:tc>
        <w:tc>
          <w:tcPr>
            <w:tcW w:type="dxa" w:w="3389"/>
            <w:vAlign w:val="center"/>
          </w:tcPr>
          <w:p>
            <w:r/>
            <w:r>
              <w:rPr>
                <w:rFonts w:ascii="Aptos" w:hAnsi="Aptos"/>
                <w:b w:val="0"/>
                <w:sz w:val="17"/>
              </w:rPr>
              <w:t>Schema-kind matrix + sample Search queries</w:t>
            </w:r>
          </w:p>
        </w:tc>
        <w:tc>
          <w:tcPr>
            <w:tcW w:type="dxa" w:w="3389"/>
            <w:vAlign w:val="center"/>
          </w:tcPr>
          <w:p>
            <w:r/>
            <w:r>
              <w:rPr>
                <w:rFonts w:ascii="Aptos" w:hAnsi="Aptos"/>
                <w:b w:val="0"/>
                <w:sz w:val="17"/>
              </w:rPr>
              <w:t>Target domain records can be found</w:t>
            </w:r>
          </w:p>
        </w:tc>
      </w:tr>
      <w:tr>
        <w:trPr>
          <w:cantSplit/>
        </w:trPr>
        <w:tc>
          <w:tcPr>
            <w:tcW w:type="dxa" w:w="3389"/>
            <w:vAlign w:val="center"/>
            <w:shd w:fill="F4F7FB"/>
          </w:tcPr>
          <w:p>
            <w:r/>
            <w:r>
              <w:rPr>
                <w:rFonts w:ascii="Aptos" w:hAnsi="Aptos"/>
                <w:b w:val="0"/>
                <w:sz w:val="17"/>
              </w:rPr>
              <w:t>4. Read integration</w:t>
            </w:r>
          </w:p>
        </w:tc>
        <w:tc>
          <w:tcPr>
            <w:tcW w:type="dxa" w:w="3389"/>
            <w:vAlign w:val="center"/>
            <w:shd w:fill="F4F7FB"/>
          </w:tcPr>
          <w:p>
            <w:r/>
            <w:r>
              <w:rPr>
                <w:rFonts w:ascii="Aptos" w:hAnsi="Aptos"/>
                <w:b w:val="0"/>
                <w:sz w:val="17"/>
              </w:rPr>
              <w:t>Storage retrieval + domain mapping</w:t>
            </w:r>
          </w:p>
        </w:tc>
        <w:tc>
          <w:tcPr>
            <w:tcW w:type="dxa" w:w="3389"/>
            <w:vAlign w:val="center"/>
            <w:shd w:fill="F4F7FB"/>
          </w:tcPr>
          <w:p>
            <w:r/>
            <w:r>
              <w:rPr>
                <w:rFonts w:ascii="Aptos" w:hAnsi="Aptos"/>
                <w:b w:val="0"/>
                <w:sz w:val="17"/>
              </w:rPr>
              <w:t>Application renders trusted record data</w:t>
            </w:r>
          </w:p>
        </w:tc>
      </w:tr>
      <w:tr>
        <w:trPr>
          <w:cantSplit/>
        </w:trPr>
        <w:tc>
          <w:tcPr>
            <w:tcW w:type="dxa" w:w="3389"/>
            <w:vAlign w:val="center"/>
          </w:tcPr>
          <w:p>
            <w:r/>
            <w:r>
              <w:rPr>
                <w:rFonts w:ascii="Aptos" w:hAnsi="Aptos"/>
                <w:b w:val="0"/>
                <w:sz w:val="17"/>
              </w:rPr>
              <w:t>5. Dataset integration</w:t>
            </w:r>
          </w:p>
        </w:tc>
        <w:tc>
          <w:tcPr>
            <w:tcW w:type="dxa" w:w="3389"/>
            <w:vAlign w:val="center"/>
          </w:tcPr>
          <w:p>
            <w:r/>
            <w:r>
              <w:rPr>
                <w:rFonts w:ascii="Aptos" w:hAnsi="Aptos"/>
                <w:b w:val="0"/>
                <w:sz w:val="17"/>
              </w:rPr>
              <w:t>Retrieval instructions + download pipeline</w:t>
            </w:r>
          </w:p>
        </w:tc>
        <w:tc>
          <w:tcPr>
            <w:tcW w:type="dxa" w:w="3389"/>
            <w:vAlign w:val="center"/>
          </w:tcPr>
          <w:p>
            <w:r/>
            <w:r>
              <w:rPr>
                <w:rFonts w:ascii="Aptos" w:hAnsi="Aptos"/>
                <w:b w:val="0"/>
                <w:sz w:val="17"/>
              </w:rPr>
              <w:t>Required file/bulk data is accessible</w:t>
            </w:r>
          </w:p>
        </w:tc>
      </w:tr>
      <w:tr>
        <w:trPr>
          <w:cantSplit/>
        </w:trPr>
        <w:tc>
          <w:tcPr>
            <w:tcW w:type="dxa" w:w="3389"/>
            <w:vAlign w:val="center"/>
            <w:shd w:fill="F4F7FB"/>
          </w:tcPr>
          <w:p>
            <w:r/>
            <w:r>
              <w:rPr>
                <w:rFonts w:ascii="Aptos" w:hAnsi="Aptos"/>
                <w:b w:val="0"/>
                <w:sz w:val="17"/>
              </w:rPr>
              <w:t>6. Write-back (optional)</w:t>
            </w:r>
          </w:p>
        </w:tc>
        <w:tc>
          <w:tcPr>
            <w:tcW w:type="dxa" w:w="3389"/>
            <w:vAlign w:val="center"/>
            <w:shd w:fill="F4F7FB"/>
          </w:tcPr>
          <w:p>
            <w:r/>
            <w:r>
              <w:rPr>
                <w:rFonts w:ascii="Aptos" w:hAnsi="Aptos"/>
                <w:b w:val="0"/>
                <w:sz w:val="17"/>
              </w:rPr>
              <w:t>Approved schema, ACL, legal/lineage policy</w:t>
            </w:r>
          </w:p>
        </w:tc>
        <w:tc>
          <w:tcPr>
            <w:tcW w:type="dxa" w:w="3389"/>
            <w:vAlign w:val="center"/>
            <w:shd w:fill="F4F7FB"/>
          </w:tcPr>
          <w:p>
            <w:r/>
            <w:r>
              <w:rPr>
                <w:rFonts w:ascii="Aptos" w:hAnsi="Aptos"/>
                <w:b w:val="0"/>
                <w:sz w:val="17"/>
              </w:rPr>
              <w:t>Derived record accepted by Storage</w:t>
            </w:r>
          </w:p>
        </w:tc>
      </w:tr>
      <w:tr>
        <w:trPr>
          <w:cantSplit/>
        </w:trPr>
        <w:tc>
          <w:tcPr>
            <w:tcW w:type="dxa" w:w="3389"/>
            <w:vAlign w:val="center"/>
          </w:tcPr>
          <w:p>
            <w:r/>
            <w:r>
              <w:rPr>
                <w:rFonts w:ascii="Aptos" w:hAnsi="Aptos"/>
                <w:b w:val="0"/>
                <w:sz w:val="17"/>
              </w:rPr>
              <w:t>7. Production hardening</w:t>
            </w:r>
          </w:p>
        </w:tc>
        <w:tc>
          <w:tcPr>
            <w:tcW w:type="dxa" w:w="3389"/>
            <w:vAlign w:val="center"/>
          </w:tcPr>
          <w:p>
            <w:r/>
            <w:r>
              <w:rPr>
                <w:rFonts w:ascii="Aptos" w:hAnsi="Aptos"/>
                <w:b w:val="0"/>
                <w:sz w:val="17"/>
              </w:rPr>
              <w:t>Retries, tracing, metrics, security review</w:t>
            </w:r>
          </w:p>
        </w:tc>
        <w:tc>
          <w:tcPr>
            <w:tcW w:type="dxa" w:w="3389"/>
            <w:vAlign w:val="center"/>
          </w:tcPr>
          <w:p>
            <w:r/>
            <w:r>
              <w:rPr>
                <w:rFonts w:ascii="Aptos" w:hAnsi="Aptos"/>
                <w:b w:val="0"/>
                <w:sz w:val="17"/>
              </w:rPr>
              <w:t>Operational acceptance criteria pass</w:t>
            </w:r>
          </w:p>
        </w:tc>
      </w:tr>
    </w:tbl>
    <w:p>
      <w:pPr>
        <w:spacing w:after="0"/>
      </w:pPr>
    </w:p>
    <w:p>
      <w:pPr>
        <w:pStyle w:val="Heading1"/>
      </w:pPr>
      <w:r>
        <w:t>16. Questions to Send to the Client OSDU Platform Team</w:t>
      </w:r>
    </w:p>
    <w:p>
      <w:pPr>
        <w:pStyle w:val="ListBullet"/>
        <w:spacing w:after="40"/>
      </w:pPr>
      <w:r>
        <w:t>What is the OSDU API base URL for DEV/UAT/PROD?</w:t>
      </w:r>
    </w:p>
    <w:p>
      <w:pPr>
        <w:pStyle w:val="ListBullet"/>
        <w:spacing w:after="40"/>
      </w:pPr>
      <w:r>
        <w:t>What is the exact data-partition-id for our application?</w:t>
      </w:r>
    </w:p>
    <w:p>
      <w:pPr>
        <w:pStyle w:val="ListBullet"/>
        <w:spacing w:after="40"/>
      </w:pPr>
      <w:r>
        <w:t>How should our application obtain a Bearer token (interactive user vs service-to-service)?</w:t>
      </w:r>
    </w:p>
    <w:p>
      <w:pPr>
        <w:pStyle w:val="ListBullet"/>
        <w:spacing w:after="40"/>
      </w:pPr>
      <w:r>
        <w:t>Which service groups and data groups should our application identity join?</w:t>
      </w:r>
    </w:p>
    <w:p>
      <w:pPr>
        <w:pStyle w:val="ListBullet"/>
        <w:spacing w:after="40"/>
      </w:pPr>
      <w:r>
        <w:t>What are the viewer/owner ACL group email names we must place on written records?</w:t>
      </w:r>
    </w:p>
    <w:p>
      <w:pPr>
        <w:pStyle w:val="ListBullet"/>
        <w:spacing w:after="40"/>
      </w:pPr>
      <w:r>
        <w:t>Which OSDU milestone/service versions are deployed?</w:t>
      </w:r>
    </w:p>
    <w:p>
      <w:pPr>
        <w:pStyle w:val="ListBullet"/>
        <w:spacing w:after="40"/>
      </w:pPr>
      <w:r>
        <w:t>Which Well, Wellbore and related schema versions are enabled?</w:t>
      </w:r>
    </w:p>
    <w:p>
      <w:pPr>
        <w:pStyle w:val="ListBullet"/>
        <w:spacing w:after="40"/>
      </w:pPr>
      <w:r>
        <w:t>Where are the deployment Swagger/OpenAPI pages for Search, Storage, Schema, Legal, Entitlements and Dataset?</w:t>
      </w:r>
    </w:p>
    <w:p>
      <w:pPr>
        <w:pStyle w:val="ListBullet"/>
        <w:spacing w:after="40"/>
      </w:pPr>
      <w:r>
        <w:t>Which LegalTags may our integration use? Who owns creation/approval of new tags?</w:t>
      </w:r>
    </w:p>
    <w:p>
      <w:pPr>
        <w:pStyle w:val="ListBullet"/>
        <w:spacing w:after="40"/>
      </w:pPr>
      <w:r>
        <w:t>Are we allowed to register a custom schema or must we use an existing OSDU schema?</w:t>
      </w:r>
    </w:p>
    <w:p>
      <w:pPr>
        <w:pStyle w:val="ListBullet"/>
        <w:spacing w:after="40"/>
      </w:pPr>
      <w:r>
        <w:t>What are request rate limits, Storage batch limits and expected indexing SLA?</w:t>
      </w:r>
    </w:p>
    <w:p>
      <w:pPr>
        <w:pStyle w:val="ListBullet"/>
        <w:spacing w:after="40"/>
      </w:pPr>
      <w:r>
        <w:t>Which DDMS services are deployed for seismic, wellbore, reservoir or other domain data?</w:t>
      </w:r>
    </w:p>
    <w:p>
      <w:pPr>
        <w:pStyle w:val="ListBullet"/>
        <w:spacing w:after="40"/>
      </w:pPr>
      <w:r>
        <w:t>Are there private network, proxy, mTLS, IP allow-list or certificate requirements?</w:t>
      </w:r>
    </w:p>
    <w:p>
      <w:pPr>
        <w:pStyle w:val="ListBullet"/>
        <w:spacing w:after="40"/>
      </w:pPr>
      <w:r>
        <w:t>What is the support process for correlation IDs and platform-side log investigation?</w:t>
      </w:r>
    </w:p>
    <w:p>
      <w:pPr>
        <w:pStyle w:val="Heading1"/>
      </w:pPr>
      <w:r>
        <w:t>17. Quick API Reference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vAlign w:val="center"/>
            <w:shd w:fill="2F5597"/>
          </w:tcPr>
          <w:p>
            <w:r/>
            <w:r>
              <w:rPr>
                <w:rFonts w:ascii="Aptos" w:hAnsi="Aptos"/>
                <w:b/>
                <w:color w:val="FFFFFF"/>
                <w:sz w:val="18"/>
              </w:rPr>
              <w:t>Service</w:t>
            </w:r>
          </w:p>
        </w:tc>
        <w:tc>
          <w:tcPr>
            <w:tcW w:type="dxa" w:w="4680"/>
            <w:vAlign w:val="center"/>
            <w:shd w:fill="2F5597"/>
          </w:tcPr>
          <w:p>
            <w:r/>
            <w:r>
              <w:rPr>
                <w:rFonts w:ascii="Aptos" w:hAnsi="Aptos"/>
                <w:b/>
                <w:color w:val="FFFFFF"/>
                <w:sz w:val="18"/>
              </w:rPr>
              <w:t>Example endpoint used in this guide</w:t>
            </w:r>
          </w:p>
        </w:tc>
        <w:tc>
          <w:tcPr>
            <w:tcW w:type="dxa" w:w="3672"/>
            <w:vAlign w:val="center"/>
            <w:shd w:fill="2F5597"/>
          </w:tcPr>
          <w:p>
            <w:r/>
            <w:r>
              <w:rPr>
                <w:rFonts w:ascii="Aptos" w:hAnsi="Aptos"/>
                <w:b/>
                <w:color w:val="FFFFFF"/>
                <w:sz w:val="18"/>
              </w:rPr>
              <w:t>Primary purpose</w:t>
            </w:r>
          </w:p>
        </w:tc>
      </w:tr>
      <w:tr>
        <w:trPr>
          <w:cantSplit/>
        </w:trPr>
        <w:tc>
          <w:tcPr>
            <w:tcW w:type="dxa" w:w="1656"/>
            <w:vAlign w:val="center"/>
          </w:tcPr>
          <w:p>
            <w:r/>
            <w:r>
              <w:rPr>
                <w:rFonts w:ascii="Aptos" w:hAnsi="Aptos"/>
                <w:b w:val="0"/>
                <w:sz w:val="17"/>
              </w:rPr>
              <w:t>Entitlements</w:t>
            </w:r>
          </w:p>
        </w:tc>
        <w:tc>
          <w:tcPr>
            <w:tcW w:type="dxa" w:w="4680"/>
            <w:vAlign w:val="center"/>
          </w:tcPr>
          <w:p>
            <w:r/>
            <w:r>
              <w:rPr>
                <w:rFonts w:ascii="Aptos" w:hAnsi="Aptos"/>
                <w:b w:val="0"/>
                <w:sz w:val="17"/>
              </w:rPr>
              <w:t>GET /entitlements/v1/groups</w:t>
            </w:r>
          </w:p>
        </w:tc>
        <w:tc>
          <w:tcPr>
            <w:tcW w:type="dxa" w:w="3672"/>
            <w:vAlign w:val="center"/>
          </w:tcPr>
          <w:p>
            <w:r/>
            <w:r>
              <w:rPr>
                <w:rFonts w:ascii="Aptos" w:hAnsi="Aptos"/>
                <w:b w:val="0"/>
                <w:sz w:val="17"/>
              </w:rPr>
              <w:t>Resolve caller groups/permissions</w:t>
            </w:r>
          </w:p>
        </w:tc>
      </w:tr>
      <w:tr>
        <w:trPr>
          <w:cantSplit/>
        </w:trPr>
        <w:tc>
          <w:tcPr>
            <w:tcW w:type="dxa" w:w="1656"/>
            <w:vAlign w:val="center"/>
            <w:shd w:fill="F4F7FB"/>
          </w:tcPr>
          <w:p>
            <w:r/>
            <w:r>
              <w:rPr>
                <w:rFonts w:ascii="Aptos" w:hAnsi="Aptos"/>
                <w:b w:val="0"/>
                <w:sz w:val="17"/>
              </w:rPr>
              <w:t>Schema</w:t>
            </w:r>
          </w:p>
        </w:tc>
        <w:tc>
          <w:tcPr>
            <w:tcW w:type="dxa" w:w="4680"/>
            <w:vAlign w:val="center"/>
            <w:shd w:fill="F4F7FB"/>
          </w:tcPr>
          <w:p>
            <w:r/>
            <w:r>
              <w:rPr>
                <w:rFonts w:ascii="Aptos" w:hAnsi="Aptos"/>
                <w:b w:val="0"/>
                <w:sz w:val="17"/>
              </w:rPr>
              <w:t>GET /api/schema-service/v1/schema/{kind}</w:t>
            </w:r>
          </w:p>
        </w:tc>
        <w:tc>
          <w:tcPr>
            <w:tcW w:type="dxa" w:w="3672"/>
            <w:vAlign w:val="center"/>
            <w:shd w:fill="F4F7FB"/>
          </w:tcPr>
          <w:p>
            <w:r/>
            <w:r>
              <w:rPr>
                <w:rFonts w:ascii="Aptos" w:hAnsi="Aptos"/>
                <w:b w:val="0"/>
                <w:sz w:val="17"/>
              </w:rPr>
              <w:t>Read deployed schema</w:t>
            </w:r>
          </w:p>
        </w:tc>
      </w:tr>
      <w:tr>
        <w:trPr>
          <w:cantSplit/>
        </w:trPr>
        <w:tc>
          <w:tcPr>
            <w:tcW w:type="dxa" w:w="1656"/>
            <w:vAlign w:val="center"/>
          </w:tcPr>
          <w:p>
            <w:r/>
            <w:r>
              <w:rPr>
                <w:rFonts w:ascii="Aptos" w:hAnsi="Aptos"/>
                <w:b w:val="0"/>
                <w:sz w:val="17"/>
              </w:rPr>
              <w:t>Search</w:t>
            </w:r>
          </w:p>
        </w:tc>
        <w:tc>
          <w:tcPr>
            <w:tcW w:type="dxa" w:w="4680"/>
            <w:vAlign w:val="center"/>
          </w:tcPr>
          <w:p>
            <w:r/>
            <w:r>
              <w:rPr>
                <w:rFonts w:ascii="Aptos" w:hAnsi="Aptos"/>
                <w:b w:val="0"/>
                <w:sz w:val="17"/>
              </w:rPr>
              <w:t>POST /api/search/v2/query</w:t>
            </w:r>
          </w:p>
        </w:tc>
        <w:tc>
          <w:tcPr>
            <w:tcW w:type="dxa" w:w="3672"/>
            <w:vAlign w:val="center"/>
          </w:tcPr>
          <w:p>
            <w:r/>
            <w:r>
              <w:rPr>
                <w:rFonts w:ascii="Aptos" w:hAnsi="Aptos"/>
                <w:b w:val="0"/>
                <w:sz w:val="17"/>
              </w:rPr>
              <w:t>Find visible indexed records</w:t>
            </w:r>
          </w:p>
        </w:tc>
      </w:tr>
      <w:tr>
        <w:trPr>
          <w:cantSplit/>
        </w:trPr>
        <w:tc>
          <w:tcPr>
            <w:tcW w:type="dxa" w:w="1656"/>
            <w:vAlign w:val="center"/>
            <w:shd w:fill="F4F7FB"/>
          </w:tcPr>
          <w:p>
            <w:r/>
            <w:r>
              <w:rPr>
                <w:rFonts w:ascii="Aptos" w:hAnsi="Aptos"/>
                <w:b w:val="0"/>
                <w:sz w:val="17"/>
              </w:rPr>
              <w:t>Storage</w:t>
            </w:r>
          </w:p>
        </w:tc>
        <w:tc>
          <w:tcPr>
            <w:tcW w:type="dxa" w:w="4680"/>
            <w:vAlign w:val="center"/>
            <w:shd w:fill="F4F7FB"/>
          </w:tcPr>
          <w:p>
            <w:r/>
            <w:r>
              <w:rPr>
                <w:rFonts w:ascii="Aptos" w:hAnsi="Aptos"/>
                <w:b w:val="0"/>
                <w:sz w:val="17"/>
              </w:rPr>
              <w:t>GET /api/storage/v2/records/{id}</w:t>
            </w:r>
          </w:p>
        </w:tc>
        <w:tc>
          <w:tcPr>
            <w:tcW w:type="dxa" w:w="3672"/>
            <w:vAlign w:val="center"/>
            <w:shd w:fill="F4F7FB"/>
          </w:tcPr>
          <w:p>
            <w:r/>
            <w:r>
              <w:rPr>
                <w:rFonts w:ascii="Aptos" w:hAnsi="Aptos"/>
                <w:b w:val="0"/>
                <w:sz w:val="17"/>
              </w:rPr>
              <w:t>Read latest record</w:t>
            </w:r>
          </w:p>
        </w:tc>
      </w:tr>
      <w:tr>
        <w:trPr>
          <w:cantSplit/>
        </w:trPr>
        <w:tc>
          <w:tcPr>
            <w:tcW w:type="dxa" w:w="1656"/>
            <w:vAlign w:val="center"/>
          </w:tcPr>
          <w:p>
            <w:r/>
            <w:r>
              <w:rPr>
                <w:rFonts w:ascii="Aptos" w:hAnsi="Aptos"/>
                <w:b w:val="0"/>
                <w:sz w:val="17"/>
              </w:rPr>
              <w:t>Storage</w:t>
            </w:r>
          </w:p>
        </w:tc>
        <w:tc>
          <w:tcPr>
            <w:tcW w:type="dxa" w:w="4680"/>
            <w:vAlign w:val="center"/>
          </w:tcPr>
          <w:p>
            <w:r/>
            <w:r>
              <w:rPr>
                <w:rFonts w:ascii="Aptos" w:hAnsi="Aptos"/>
                <w:b w:val="0"/>
                <w:sz w:val="17"/>
              </w:rPr>
              <w:t>PUT /api/storage/v2/records</w:t>
            </w:r>
          </w:p>
        </w:tc>
        <w:tc>
          <w:tcPr>
            <w:tcW w:type="dxa" w:w="3672"/>
            <w:vAlign w:val="center"/>
          </w:tcPr>
          <w:p>
            <w:r/>
            <w:r>
              <w:rPr>
                <w:rFonts w:ascii="Aptos" w:hAnsi="Aptos"/>
                <w:b w:val="0"/>
                <w:sz w:val="17"/>
              </w:rPr>
              <w:t>Create/update records</w:t>
            </w:r>
          </w:p>
        </w:tc>
      </w:tr>
      <w:tr>
        <w:trPr>
          <w:cantSplit/>
        </w:trPr>
        <w:tc>
          <w:tcPr>
            <w:tcW w:type="dxa" w:w="1656"/>
            <w:vAlign w:val="center"/>
            <w:shd w:fill="F4F7FB"/>
          </w:tcPr>
          <w:p>
            <w:r/>
            <w:r>
              <w:rPr>
                <w:rFonts w:ascii="Aptos" w:hAnsi="Aptos"/>
                <w:b w:val="0"/>
                <w:sz w:val="17"/>
              </w:rPr>
              <w:t>Legal</w:t>
            </w:r>
          </w:p>
        </w:tc>
        <w:tc>
          <w:tcPr>
            <w:tcW w:type="dxa" w:w="4680"/>
            <w:vAlign w:val="center"/>
            <w:shd w:fill="F4F7FB"/>
          </w:tcPr>
          <w:p>
            <w:r/>
            <w:r>
              <w:rPr>
                <w:rFonts w:ascii="Aptos" w:hAnsi="Aptos"/>
                <w:b w:val="0"/>
                <w:sz w:val="17"/>
              </w:rPr>
              <w:t>GET /api/legal/v1/legaltags?valid=true</w:t>
            </w:r>
          </w:p>
        </w:tc>
        <w:tc>
          <w:tcPr>
            <w:tcW w:type="dxa" w:w="3672"/>
            <w:vAlign w:val="center"/>
            <w:shd w:fill="F4F7FB"/>
          </w:tcPr>
          <w:p>
            <w:r/>
            <w:r>
              <w:rPr>
                <w:rFonts w:ascii="Aptos" w:hAnsi="Aptos"/>
                <w:b w:val="0"/>
                <w:sz w:val="17"/>
              </w:rPr>
              <w:t>Discover valid LegalTags</w:t>
            </w:r>
          </w:p>
        </w:tc>
      </w:tr>
      <w:tr>
        <w:trPr>
          <w:cantSplit/>
        </w:trPr>
        <w:tc>
          <w:tcPr>
            <w:tcW w:type="dxa" w:w="1656"/>
            <w:vAlign w:val="center"/>
          </w:tcPr>
          <w:p>
            <w:r/>
            <w:r>
              <w:rPr>
                <w:rFonts w:ascii="Aptos" w:hAnsi="Aptos"/>
                <w:b w:val="0"/>
                <w:sz w:val="17"/>
              </w:rPr>
              <w:t>Dataset</w:t>
            </w:r>
          </w:p>
        </w:tc>
        <w:tc>
          <w:tcPr>
            <w:tcW w:type="dxa" w:w="4680"/>
            <w:vAlign w:val="center"/>
          </w:tcPr>
          <w:p>
            <w:r/>
            <w:r>
              <w:rPr>
                <w:rFonts w:ascii="Aptos" w:hAnsi="Aptos"/>
                <w:b w:val="0"/>
                <w:sz w:val="17"/>
              </w:rPr>
              <w:t>.../api/dataset/v1/getRetrievalInstructions</w:t>
            </w:r>
          </w:p>
        </w:tc>
        <w:tc>
          <w:tcPr>
            <w:tcW w:type="dxa" w:w="3672"/>
            <w:vAlign w:val="center"/>
          </w:tcPr>
          <w:p>
            <w:r/>
            <w:r>
              <w:rPr>
                <w:rFonts w:ascii="Aptos" w:hAnsi="Aptos"/>
                <w:b w:val="0"/>
                <w:sz w:val="17"/>
              </w:rPr>
              <w:t>Obtain dataset retrieval instructions</w:t>
            </w:r>
          </w:p>
        </w:tc>
      </w:tr>
    </w:tbl>
    <w:p>
      <w:pPr>
        <w:spacing w:after="0"/>
      </w:pPr>
    </w:p>
    <w:p>
      <w:r>
        <w:t>Always confirm the exact route and request model in the client deployment’s Swagger/OpenAPI before release. The table above reflects current official service documentation patterns, not a guarantee about a particular client gateway.</w:t>
      </w:r>
    </w:p>
    <w:p>
      <w:r>
        <w:br w:type="page"/>
      </w:r>
    </w:p>
    <w:p>
      <w:pPr>
        <w:pStyle w:val="Heading1"/>
      </w:pPr>
      <w:r>
        <w:t>18. Official Sources</w:t>
      </w:r>
    </w:p>
    <w:p>
      <w:pPr>
        <w:spacing w:after="40"/>
      </w:pPr>
      <w:r>
        <w:rPr>
          <w:b/>
          <w:sz w:val="17"/>
        </w:rPr>
        <w:t xml:space="preserve">[S1] The Open Group OSDU Forum / OSDU Data Platform overview: </w:t>
      </w:r>
      <w:hyperlink r:id="rId11">
        <w:r>
          <w:rPr>
            <w:color w:val="0563C1"/>
            <w:u w:val="single"/>
          </w:rPr>
          <w:t>https://www.opengroup.org/osdu</w:t>
        </w:r>
      </w:hyperlink>
    </w:p>
    <w:p>
      <w:pPr>
        <w:spacing w:after="40"/>
      </w:pPr>
      <w:r>
        <w:rPr>
          <w:b/>
          <w:sz w:val="17"/>
        </w:rPr>
        <w:t xml:space="preserve">[S2] OSDU Data Platform open-source repository group: </w:t>
      </w:r>
      <w:hyperlink r:id="rId12">
        <w:r>
          <w:rPr>
            <w:color w:val="0563C1"/>
            <w:u w:val="single"/>
          </w:rPr>
          <w:t>https://community.opengroup.org/osdu/platform</w:t>
        </w:r>
      </w:hyperlink>
    </w:p>
    <w:p>
      <w:pPr>
        <w:spacing w:after="40"/>
      </w:pPr>
      <w:r>
        <w:rPr>
          <w:b/>
          <w:sz w:val="17"/>
        </w:rPr>
        <w:t xml:space="preserve">[S3] OSDU Entitlements Service documentation and API: </w:t>
      </w:r>
      <w:hyperlink r:id="rId13">
        <w:r>
          <w:rPr>
            <w:color w:val="0563C1"/>
            <w:u w:val="single"/>
          </w:rPr>
          <w:t>https://osdu.pages.opengroup.org/platform/security-and-compliance/entitlements/api/</w:t>
        </w:r>
      </w:hyperlink>
    </w:p>
    <w:p>
      <w:pPr>
        <w:spacing w:after="40"/>
      </w:pPr>
      <w:r>
        <w:rPr>
          <w:b/>
          <w:sz w:val="17"/>
        </w:rPr>
        <w:t xml:space="preserve">[S4] OSDU Legal Service API: </w:t>
      </w:r>
      <w:hyperlink r:id="rId14">
        <w:r>
          <w:rPr>
            <w:color w:val="0563C1"/>
            <w:u w:val="single"/>
          </w:rPr>
          <w:t>https://osdu.pages.opengroup.org/platform/security-and-compliance/legal/api/</w:t>
        </w:r>
      </w:hyperlink>
    </w:p>
    <w:p>
      <w:pPr>
        <w:spacing w:after="40"/>
      </w:pPr>
      <w:r>
        <w:rPr>
          <w:b/>
          <w:sz w:val="17"/>
        </w:rPr>
        <w:t xml:space="preserve">[S5] OSDU Schema usage example / Schema Service route: </w:t>
      </w:r>
      <w:hyperlink r:id="rId15">
        <w:r>
          <w:rPr>
            <w:color w:val="0563C1"/>
            <w:u w:val="single"/>
          </w:rPr>
          <w:t>https://osdu.pages.opengroup.org/platform/system/search-service/ArrayOfObjects/</w:t>
        </w:r>
      </w:hyperlink>
    </w:p>
    <w:p>
      <w:pPr>
        <w:spacing w:after="40"/>
      </w:pPr>
      <w:r>
        <w:rPr>
          <w:b/>
          <w:sz w:val="17"/>
        </w:rPr>
        <w:t xml:space="preserve">[S6] OSDU Search Service API: </w:t>
      </w:r>
      <w:hyperlink r:id="rId16">
        <w:r>
          <w:rPr>
            <w:color w:val="0563C1"/>
            <w:u w:val="single"/>
          </w:rPr>
          <w:t>https://osdu.pages.opengroup.org/platform/system/search-service/api/</w:t>
        </w:r>
      </w:hyperlink>
    </w:p>
    <w:p>
      <w:pPr>
        <w:spacing w:after="40"/>
      </w:pPr>
      <w:r>
        <w:rPr>
          <w:b/>
          <w:sz w:val="17"/>
        </w:rPr>
        <w:t xml:space="preserve">[S7] OSDU Storage Service API: </w:t>
      </w:r>
      <w:hyperlink r:id="rId17">
        <w:r>
          <w:rPr>
            <w:color w:val="0563C1"/>
            <w:u w:val="single"/>
          </w:rPr>
          <w:t>https://osdu.pages.opengroup.org/platform/system/storage/api/</w:t>
        </w:r>
      </w:hyperlink>
    </w:p>
    <w:p>
      <w:pPr>
        <w:spacing w:after="40"/>
      </w:pPr>
      <w:r>
        <w:rPr>
          <w:b/>
          <w:sz w:val="17"/>
        </w:rPr>
        <w:t xml:space="preserve">[S8] OSDU Dataset Service and API documentation: </w:t>
      </w:r>
      <w:hyperlink r:id="rId18">
        <w:r>
          <w:rPr>
            <w:color w:val="0563C1"/>
            <w:u w:val="single"/>
          </w:rPr>
          <w:t>https://osdu.pages.opengroup.org/platform/system/dataset/</w:t>
        </w:r>
      </w:hyperlink>
    </w:p>
    <w:p>
      <w:pPr>
        <w:spacing w:after="40"/>
      </w:pPr>
      <w:r>
        <w:rPr>
          <w:b/>
          <w:sz w:val="17"/>
        </w:rPr>
        <w:t xml:space="preserve">[S9] OSDU Data Definitions - Well 1.4.0 shared schema: </w:t>
      </w:r>
      <w:hyperlink r:id="rId19">
        <w:r>
          <w:rPr>
            <w:color w:val="0563C1"/>
            <w:u w:val="single"/>
          </w:rPr>
          <w:t>https://community.opengroup.org/osdu/data/data-definitions/-/blob/master/SchemaRegistrationResources/shared-schemas/osdu/master-data/Well.1.4.0.json</w:t>
        </w:r>
      </w:hyperlink>
    </w:p>
    <w:p>
      <w:pPr>
        <w:spacing w:after="40"/>
      </w:pPr>
      <w:r>
        <w:rPr>
          <w:b/>
          <w:sz w:val="17"/>
        </w:rPr>
        <w:t xml:space="preserve">[S10] OSDU Indexer Service API and indexing behavior: </w:t>
      </w:r>
      <w:hyperlink r:id="rId20">
        <w:r>
          <w:rPr>
            <w:color w:val="0563C1"/>
            <w:u w:val="single"/>
          </w:rPr>
          <w:t>https://osdu.pages.opengroup.org/platform/system/indexer-service/api/</w:t>
        </w:r>
      </w:hyperlink>
    </w:p>
    <w:p>
      <w:pPr>
        <w:spacing w:after="40"/>
      </w:pPr>
      <w:r>
        <w:rPr>
          <w:b/>
          <w:sz w:val="17"/>
        </w:rPr>
        <w:t xml:space="preserve">[S11] OSDU Storage ingestion workflow tutorial: </w:t>
      </w:r>
      <w:hyperlink r:id="rId21">
        <w:r>
          <w:rPr>
            <w:color w:val="0563C1"/>
            <w:u w:val="single"/>
          </w:rPr>
          <w:t>https://osdu.pages.opengroup.org/platform/system/storage/ingestion/</w:t>
        </w:r>
      </w:hyperlink>
    </w:p>
    <w:p>
      <w:pPr>
        <w:spacing w:after="40"/>
      </w:pPr>
      <w:r>
        <w:rPr>
          <w:b/>
          <w:sz w:val="17"/>
        </w:rPr>
        <w:t xml:space="preserve">[S12] OSDU Application Developer Training landing page: </w:t>
      </w:r>
      <w:hyperlink r:id="rId22">
        <w:r>
          <w:rPr>
            <w:color w:val="0563C1"/>
            <w:u w:val="single"/>
          </w:rPr>
          <w:t>https://osduforum.org/application-development/osdu-application-developer-training/</w:t>
        </w:r>
      </w:hyperlink>
    </w:p>
    <w:tbl>
      <w:tblPr>
        <w:tblW w:type="auto" w:w="0"/>
        <w:jc w:val="center"/>
        <w:tblLook w:firstColumn="1" w:firstRow="1" w:lastColumn="0" w:lastRow="0" w:noHBand="0" w:noVBand="1" w:val="04A0"/>
      </w:tblPr>
      <w:tblGrid>
        <w:gridCol w:w="10166"/>
      </w:tblGrid>
      <w:tr>
        <w:tc>
          <w:tcPr>
            <w:tcW w:type="dxa" w:w="10166"/>
            <w:shd w:fill="D9EAD3"/>
          </w:tcPr>
          <w:p>
            <w:r/>
            <w:r>
              <w:rPr>
                <w:b/>
                <w:color w:val="17365D"/>
              </w:rPr>
              <w:t xml:space="preserve">Implementation note:  </w:t>
            </w:r>
            <w:r>
              <w:t>Use this guide as the integration baseline, then replace placeholders with the client’s actual endpoint, partition, identity flow, schema versions, entitlement groups and legal policy. The client deployment’s Swagger/OpenAPI and platform team remain the source of truth for environment-specific behavior.</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Prepared 19 August 2026 | Based on official Open Group OSDU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OSDU Integration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30" w:right="14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opengroup.org/osdu" TargetMode="External"/><Relationship Id="rId12" Type="http://schemas.openxmlformats.org/officeDocument/2006/relationships/hyperlink" Target="https://community.opengroup.org/osdu/platform" TargetMode="External"/><Relationship Id="rId13" Type="http://schemas.openxmlformats.org/officeDocument/2006/relationships/hyperlink" Target="https://osdu.pages.opengroup.org/platform/security-and-compliance/entitlements/api/" TargetMode="External"/><Relationship Id="rId14" Type="http://schemas.openxmlformats.org/officeDocument/2006/relationships/hyperlink" Target="https://osdu.pages.opengroup.org/platform/security-and-compliance/legal/api/" TargetMode="External"/><Relationship Id="rId15" Type="http://schemas.openxmlformats.org/officeDocument/2006/relationships/hyperlink" Target="https://osdu.pages.opengroup.org/platform/system/search-service/ArrayOfObjects/" TargetMode="External"/><Relationship Id="rId16" Type="http://schemas.openxmlformats.org/officeDocument/2006/relationships/hyperlink" Target="https://osdu.pages.opengroup.org/platform/system/search-service/api/" TargetMode="External"/><Relationship Id="rId17" Type="http://schemas.openxmlformats.org/officeDocument/2006/relationships/hyperlink" Target="https://osdu.pages.opengroup.org/platform/system/storage/api/" TargetMode="External"/><Relationship Id="rId18" Type="http://schemas.openxmlformats.org/officeDocument/2006/relationships/hyperlink" Target="https://osdu.pages.opengroup.org/platform/system/dataset/" TargetMode="External"/><Relationship Id="rId19" Type="http://schemas.openxmlformats.org/officeDocument/2006/relationships/hyperlink" Target="https://community.opengroup.org/osdu/data/data-definitions/-/blob/master/SchemaRegistrationResources/shared-schemas/osdu/master-data/Well.1.4.0.json" TargetMode="External"/><Relationship Id="rId20" Type="http://schemas.openxmlformats.org/officeDocument/2006/relationships/hyperlink" Target="https://osdu.pages.opengroup.org/platform/system/indexer-service/api/" TargetMode="External"/><Relationship Id="rId21" Type="http://schemas.openxmlformats.org/officeDocument/2006/relationships/hyperlink" Target="https://osdu.pages.opengroup.org/platform/system/storage/ingestion/" TargetMode="External"/><Relationship Id="rId22" Type="http://schemas.openxmlformats.org/officeDocument/2006/relationships/hyperlink" Target="https://osduforum.org/application-development/osdu-application-developer-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