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72"/>
        <w:jc w:val="center"/>
      </w:pPr>
      <w:r>
        <w:t>HireSense</w:t>
      </w:r>
    </w:p>
    <w:p>
      <w:pPr>
        <w:pStyle w:val="Subtitle"/>
        <w:jc w:val="center"/>
      </w:pPr>
      <w:r>
        <w:t>Software Requirements Specification</w:t>
      </w:r>
    </w:p>
    <w:p>
      <w:pPr>
        <w:jc w:val="center"/>
      </w:pPr>
      <w:r>
        <w:t>Document ID: HS-SRS-001</w:t>
      </w:r>
    </w:p>
    <w:p>
      <w:pPr>
        <w:jc w:val="center"/>
      </w:pPr>
      <w:r>
        <w:t>Version: 1.0</w:t>
      </w:r>
    </w:p>
    <w:p>
      <w:pPr>
        <w:jc w:val="center"/>
      </w:pPr>
      <w:r>
        <w:t>Date: 27 October 2026</w:t>
      </w:r>
    </w:p>
    <w:p>
      <w:pPr>
        <w:jc w:val="center"/>
      </w:pPr>
      <w:r>
        <w:t>Status: Prepared for supervisor review</w:t>
      </w:r>
    </w:p>
    <w:p>
      <w:pPr>
        <w:spacing w:after="504"/>
      </w:pPr>
    </w:p>
    <w:p>
      <w:pPr>
        <w:spacing w:after="340"/>
      </w:pPr>
      <w:r>
        <w:rPr>
          <w:b/>
        </w:rPr>
        <w:t xml:space="preserve">Name: </w:t>
      </w:r>
      <w:r>
        <w:t xml:space="preserve">Sohail Ahmed</w:t>
      </w:r>
    </w:p>
    <w:p>
      <w:pPr>
        <w:spacing w:after="340"/>
      </w:pPr>
      <w:r>
        <w:rPr>
          <w:b/>
        </w:rPr>
        <w:t xml:space="preserve">Student ID: </w:t>
      </w:r>
      <w:r>
        <w:t xml:space="preserve">30232</w:t>
      </w:r>
    </w:p>
    <w:p>
      <w:r>
        <w:br w:type="page"/>
      </w:r>
    </w:p>
    <w:p>
      <w:pPr>
        <w:pStyle w:val="Title"/>
      </w:pPr>
      <w:r>
        <w:t>Revision History</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70"/>
        <w:gridCol w:w="1335"/>
        <w:gridCol w:w="1515"/>
        <w:gridCol w:w="1515"/>
        <w:gridCol w:w="4140"/>
      </w:tblGrid>
      <w:tr>
        <w:trPr>
          <w:tblHeader/>
          <w:cantSplit/>
        </w:trPr>
        <w:tc>
          <w:tcPr>
            <w:tcW w:w="870" w:type="dxa"/>
            <w:vAlign w:val="center"/>
            <w:shd w:val="clear" w:color="auto" w:fill="EEEEEE"/>
          </w:tcPr>
          <w:p>
            <w:pPr>
              <w:keepNext w:val="0"/>
              <w:jc w:val="center"/>
            </w:pPr>
            <w:r>
              <w:rPr>
                <w:b/>
              </w:rPr>
              <w:t xml:space="preserve">Doc Ver</w:t>
            </w:r>
          </w:p>
        </w:tc>
        <w:tc>
          <w:tcPr>
            <w:tcW w:w="1335" w:type="dxa"/>
            <w:vAlign w:val="center"/>
            <w:shd w:val="clear" w:color="auto" w:fill="EEEEEE"/>
          </w:tcPr>
          <w:p>
            <w:pPr>
              <w:keepNext w:val="0"/>
            </w:pPr>
            <w:r>
              <w:rPr>
                <w:b/>
              </w:rPr>
              <w:t xml:space="preserve">Date</w:t>
            </w:r>
          </w:p>
        </w:tc>
        <w:tc>
          <w:tcPr>
            <w:tcW w:w="1515" w:type="dxa"/>
            <w:vAlign w:val="center"/>
            <w:shd w:val="clear" w:color="auto" w:fill="EEEEEE"/>
          </w:tcPr>
          <w:p>
            <w:pPr>
              <w:keepNext w:val="0"/>
            </w:pPr>
            <w:r>
              <w:rPr>
                <w:b/>
              </w:rPr>
              <w:t xml:space="preserve">Author</w:t>
            </w:r>
          </w:p>
        </w:tc>
        <w:tc>
          <w:tcPr>
            <w:tcW w:w="1515" w:type="dxa"/>
            <w:vAlign w:val="center"/>
            <w:shd w:val="clear" w:color="auto" w:fill="EEEEEE"/>
          </w:tcPr>
          <w:p>
            <w:pPr>
              <w:keepNext w:val="0"/>
            </w:pPr>
            <w:r>
              <w:rPr>
                <w:b/>
              </w:rPr>
              <w:t xml:space="preserve">Reviewer</w:t>
            </w:r>
          </w:p>
        </w:tc>
        <w:tc>
          <w:tcPr>
            <w:tcW w:w="4140" w:type="dxa"/>
            <w:vAlign w:val="center"/>
            <w:shd w:val="clear" w:color="auto" w:fill="EEEEEE"/>
          </w:tcPr>
          <w:p>
            <w:pPr>
              <w:keepNext w:val="0"/>
            </w:pPr>
            <w:r>
              <w:rPr>
                <w:b/>
              </w:rPr>
              <w:t xml:space="preserve">Description of revision</w:t>
            </w:r>
          </w:p>
        </w:tc>
      </w:tr>
      <w:tr>
        <w:trPr>
          <w:cantSplit/>
        </w:trPr>
        <w:tc>
          <w:tcPr>
            <w:tcW w:w="870" w:type="dxa"/>
            <w:vAlign w:val="center"/>
          </w:tcPr>
          <w:p>
            <w:pPr>
              <w:keepNext w:val="0"/>
              <w:jc w:val="center"/>
            </w:pPr>
            <w:r>
              <w:t xml:space="preserve">1.0</w:t>
            </w:r>
          </w:p>
        </w:tc>
        <w:tc>
          <w:tcPr>
            <w:tcW w:w="1335" w:type="dxa"/>
            <w:vAlign w:val="center"/>
          </w:tcPr>
          <w:p>
            <w:pPr>
              <w:keepNext w:val="0"/>
            </w:pPr>
            <w:r>
              <w:t xml:space="preserve">27 Oct 2026</w:t>
            </w:r>
          </w:p>
        </w:tc>
        <w:tc>
          <w:tcPr>
            <w:tcW w:w="1515" w:type="dxa"/>
            <w:vAlign w:val="center"/>
          </w:tcPr>
          <w:p>
            <w:pPr>
              <w:keepNext w:val="0"/>
            </w:pPr>
            <w:r>
              <w:t xml:space="preserve">Sohail Ahmed</w:t>
            </w:r>
          </w:p>
        </w:tc>
        <w:tc>
          <w:tcPr>
            <w:tcW w:w="1515" w:type="dxa"/>
            <w:vAlign w:val="center"/>
          </w:tcPr>
          <w:p>
            <w:pPr>
              <w:keepNext w:val="0"/>
            </w:pPr>
          </w:p>
        </w:tc>
        <w:tc>
          <w:tcPr>
            <w:tcW w:w="4140" w:type="dxa"/>
            <w:vAlign w:val="center"/>
          </w:tcPr>
          <w:p>
            <w:pPr>
              <w:keepNext w:val="0"/>
            </w:pPr>
            <w:r>
              <w:t xml:space="preserve">Initial full-project SRS prepared for review.</w:t>
            </w:r>
          </w:p>
        </w:tc>
      </w:tr>
    </w:tbl>
    <w:p>
      <w:pPr>
        <w:pStyle w:val="TableGap"/>
        <w:keepNext w:val="0"/>
      </w:pPr>
    </w:p>
    <w:p>
      <w:pPr>
        <w:pStyle w:val="FrontHeading"/>
      </w:pPr>
      <w:r>
        <w:t>Document control</w:t>
      </w:r>
    </w:p>
    <w:p>
      <w:r>
        <w:t>Baseline: HireSense project repository, 27 October 2026. Formal review and acceptance are recorded by the project team and supervisor; this version does not assert completed acceptance testing.</w:t>
      </w:r>
    </w:p>
    <w:p>
      <w:pPr>
        <w:pStyle w:val="FrontHeading"/>
      </w:pPr>
      <w:r>
        <w:t>Reading this specification</w:t>
      </w:r>
    </w:p>
    <w:p>
      <w:r>
        <w:t>Sections 1 and 2 establish scope and context. Section 3 defines the functional requirements. Sections 4 and 8 define screens and interaction behavior. Sections 5 to 7 address quality and design constraints. Section 9 covers data, operations, traceability and end-to-end acceptance.</w:t>
      </w:r>
    </w:p>
    <w:p>
      <w:pPr>
        <w:pStyle w:val="FrontHeading"/>
      </w:pPr>
      <w:r>
        <w:t>Requirement convention</w:t>
      </w:r>
    </w:p>
    <w:p>
      <w:r>
        <w:t>Shall identifies a mandatory acceptance requirement. FR, NFR, PER, SAF, SEC, QUA, OTH and UI/UX identifiers are unique within this document. A linked TC identifier defines a planned verification scenario, not a statement that the scenario has passed.</w:t>
      </w:r>
    </w:p>
    <w:p>
      <w:r>
        <w:br w:type="page"/>
      </w:r>
    </w:p>
    <w:p>
      <w:pPr>
        <w:pStyle w:val="Title"/>
      </w:pPr>
      <w:r>
        <w:t>Contents</w:t>
      </w:r>
    </w:p>
    <w:p>
      <w:r>
        <w:fldChar w:fldCharType="begin" w:dirty="true"/>
        <w:instrText xml:space="preserve"> TOC \o "1-2" \h \z \u </w:instrText>
        <w:fldChar w:fldCharType="separate"/>
      </w:r>
    </w:p>
    <w:p>
      <w:pPr>
        <w:pStyle w:val="TOCEntry"/>
        <w:ind w:left="0"/>
      </w:pPr>
      <w:hyperlink w:anchor="SRS_1" w:history="1">
        <w:r>
          <w:rPr>
            <w:color w:val="000000"/>
            <w:rFonts w:ascii="Arial" w:hAnsi="Arial"/>
          </w:rPr>
          <w:t>1 Introduction</w:t>
        </w:r>
      </w:hyperlink>
    </w:p>
    <w:p>
      <w:pPr>
        <w:pStyle w:val="TOCEntry"/>
        <w:ind w:left="259"/>
      </w:pPr>
      <w:hyperlink w:anchor="SRS_2" w:history="1">
        <w:r>
          <w:rPr>
            <w:color w:val="000000"/>
            <w:rFonts w:ascii="Arial" w:hAnsi="Arial"/>
          </w:rPr>
          <w:t>1.1 Purpose</w:t>
        </w:r>
      </w:hyperlink>
    </w:p>
    <w:p>
      <w:pPr>
        <w:pStyle w:val="TOCEntry"/>
        <w:ind w:left="259"/>
      </w:pPr>
      <w:hyperlink w:anchor="SRS_3" w:history="1">
        <w:r>
          <w:rPr>
            <w:color w:val="000000"/>
            <w:rFonts w:ascii="Arial" w:hAnsi="Arial"/>
          </w:rPr>
          <w:t>1.2 Scope</w:t>
        </w:r>
      </w:hyperlink>
    </w:p>
    <w:p>
      <w:pPr>
        <w:pStyle w:val="TOCEntry"/>
        <w:ind w:left="259"/>
      </w:pPr>
      <w:hyperlink w:anchor="SRS_4" w:history="1">
        <w:r>
          <w:rPr>
            <w:color w:val="000000"/>
            <w:rFonts w:ascii="Arial" w:hAnsi="Arial"/>
          </w:rPr>
          <w:t>1.3 Intended Stakeholder</w:t>
        </w:r>
      </w:hyperlink>
    </w:p>
    <w:p>
      <w:pPr>
        <w:pStyle w:val="TOCEntry"/>
        <w:ind w:left="259"/>
      </w:pPr>
      <w:hyperlink w:anchor="SRS_5" w:history="1">
        <w:r>
          <w:rPr>
            <w:color w:val="000000"/>
            <w:rFonts w:ascii="Arial" w:hAnsi="Arial"/>
          </w:rPr>
          <w:t>1.4 References</w:t>
        </w:r>
      </w:hyperlink>
    </w:p>
    <w:p>
      <w:pPr>
        <w:pStyle w:val="TOCEntry"/>
        <w:ind w:left="259"/>
      </w:pPr>
      <w:hyperlink w:anchor="SRS_6" w:history="1">
        <w:r>
          <w:rPr>
            <w:color w:val="000000"/>
            <w:rFonts w:ascii="Arial" w:hAnsi="Arial"/>
          </w:rPr>
          <w:t>1.5 Definitions Acronyms and Abbreviations</w:t>
        </w:r>
      </w:hyperlink>
    </w:p>
    <w:p>
      <w:pPr>
        <w:pStyle w:val="TOCEntry"/>
        <w:ind w:left="0"/>
      </w:pPr>
      <w:hyperlink w:anchor="SRS_7" w:history="1">
        <w:r>
          <w:rPr>
            <w:color w:val="000000"/>
            <w:rFonts w:ascii="Arial" w:hAnsi="Arial"/>
          </w:rPr>
          <w:t>2 Overall Description</w:t>
        </w:r>
      </w:hyperlink>
    </w:p>
    <w:p>
      <w:pPr>
        <w:pStyle w:val="TOCEntry"/>
        <w:ind w:left="259"/>
      </w:pPr>
      <w:hyperlink w:anchor="SRS_8" w:history="1">
        <w:r>
          <w:rPr>
            <w:color w:val="000000"/>
            <w:rFonts w:ascii="Arial" w:hAnsi="Arial"/>
          </w:rPr>
          <w:t>2.1 Overview</w:t>
        </w:r>
      </w:hyperlink>
    </w:p>
    <w:p>
      <w:pPr>
        <w:pStyle w:val="TOCEntry"/>
        <w:ind w:left="259"/>
      </w:pPr>
      <w:hyperlink w:anchor="SRS_13" w:history="1">
        <w:r>
          <w:rPr>
            <w:color w:val="000000"/>
            <w:rFonts w:ascii="Arial" w:hAnsi="Arial"/>
          </w:rPr>
          <w:t>2.2 Technical platform</w:t>
        </w:r>
      </w:hyperlink>
    </w:p>
    <w:p>
      <w:pPr>
        <w:pStyle w:val="TOCEntry"/>
        <w:ind w:left="0"/>
      </w:pPr>
      <w:hyperlink w:anchor="SRS_14" w:history="1">
        <w:r>
          <w:rPr>
            <w:color w:val="000000"/>
            <w:rFonts w:ascii="Arial" w:hAnsi="Arial"/>
          </w:rPr>
          <w:t>3 Functional Requirements</w:t>
        </w:r>
      </w:hyperlink>
    </w:p>
    <w:p>
      <w:pPr>
        <w:pStyle w:val="TOCEntry"/>
        <w:ind w:left="259"/>
      </w:pPr>
      <w:hyperlink w:anchor="SRS_15" w:history="1">
        <w:r>
          <w:rPr>
            <w:color w:val="000000"/>
            <w:rFonts w:ascii="Arial" w:hAnsi="Arial"/>
          </w:rPr>
          <w:t>3.1 Overview</w:t>
        </w:r>
      </w:hyperlink>
    </w:p>
    <w:p>
      <w:pPr>
        <w:pStyle w:val="TOCEntry"/>
        <w:ind w:left="0"/>
      </w:pPr>
      <w:hyperlink w:anchor="SRS_33" w:history="1">
        <w:r>
          <w:rPr>
            <w:color w:val="000000"/>
            <w:rFonts w:ascii="Arial" w:hAnsi="Arial"/>
          </w:rPr>
          <w:t>4 User Interface</w:t>
        </w:r>
      </w:hyperlink>
    </w:p>
    <w:p>
      <w:pPr>
        <w:pStyle w:val="TOCEntry"/>
        <w:ind w:left="0"/>
      </w:pPr>
      <w:hyperlink w:anchor="SRS_34" w:history="1">
        <w:r>
          <w:rPr>
            <w:color w:val="000000"/>
            <w:rFonts w:ascii="Arial" w:hAnsi="Arial"/>
          </w:rPr>
          <w:t>5 Non Functional Requirements</w:t>
        </w:r>
      </w:hyperlink>
    </w:p>
    <w:p>
      <w:pPr>
        <w:pStyle w:val="TOCEntry"/>
        <w:ind w:left="259"/>
      </w:pPr>
      <w:hyperlink w:anchor="SRS_35" w:history="1">
        <w:r>
          <w:rPr>
            <w:color w:val="000000"/>
            <w:rFonts w:ascii="Arial" w:hAnsi="Arial"/>
          </w:rPr>
          <w:t>5.1 Performance Requirements</w:t>
        </w:r>
      </w:hyperlink>
    </w:p>
    <w:p>
      <w:pPr>
        <w:pStyle w:val="TOCEntry"/>
        <w:ind w:left="259"/>
      </w:pPr>
      <w:hyperlink w:anchor="SRS_36" w:history="1">
        <w:r>
          <w:rPr>
            <w:color w:val="000000"/>
            <w:rFonts w:ascii="Arial" w:hAnsi="Arial"/>
          </w:rPr>
          <w:t>5.2 Safety Requirements</w:t>
        </w:r>
      </w:hyperlink>
    </w:p>
    <w:p>
      <w:pPr>
        <w:pStyle w:val="TOCEntry"/>
        <w:ind w:left="259"/>
      </w:pPr>
      <w:hyperlink w:anchor="SRS_37" w:history="1">
        <w:r>
          <w:rPr>
            <w:color w:val="000000"/>
            <w:rFonts w:ascii="Arial" w:hAnsi="Arial"/>
          </w:rPr>
          <w:t>5.3 Security Requirements</w:t>
        </w:r>
      </w:hyperlink>
    </w:p>
    <w:p>
      <w:pPr>
        <w:pStyle w:val="TOCEntry"/>
        <w:ind w:left="0"/>
      </w:pPr>
      <w:hyperlink w:anchor="SRS_38" w:history="1">
        <w:r>
          <w:rPr>
            <w:color w:val="000000"/>
            <w:rFonts w:ascii="Arial" w:hAnsi="Arial"/>
          </w:rPr>
          <w:t>6 Design Constraints</w:t>
        </w:r>
      </w:hyperlink>
    </w:p>
    <w:p>
      <w:pPr>
        <w:pStyle w:val="TOCEntry"/>
        <w:ind w:left="0"/>
      </w:pPr>
      <w:hyperlink w:anchor="SRS_39" w:history="1">
        <w:r>
          <w:rPr>
            <w:color w:val="000000"/>
            <w:rFonts w:ascii="Arial" w:hAnsi="Arial"/>
          </w:rPr>
          <w:t>7 Software Quality Attributes</w:t>
        </w:r>
      </w:hyperlink>
    </w:p>
    <w:p>
      <w:pPr>
        <w:pStyle w:val="TOCEntry"/>
        <w:ind w:left="0"/>
      </w:pPr>
      <w:hyperlink w:anchor="SRS_40" w:history="1">
        <w:r>
          <w:rPr>
            <w:color w:val="000000"/>
            <w:rFonts w:ascii="Arial" w:hAnsi="Arial"/>
          </w:rPr>
          <w:t>8 User Interface</w:t>
        </w:r>
      </w:hyperlink>
    </w:p>
    <w:p>
      <w:pPr>
        <w:pStyle w:val="TOCEntry"/>
        <w:ind w:left="0"/>
      </w:pPr>
      <w:hyperlink w:anchor="SRS_41" w:history="1">
        <w:r>
          <w:rPr>
            <w:color w:val="000000"/>
            <w:rFonts w:ascii="Arial" w:hAnsi="Arial"/>
          </w:rPr>
          <w:t>9 Other Requirements</w:t>
        </w:r>
      </w:hyperlink>
    </w:p>
    <w:p>
      <w:pPr>
        <w:pStyle w:val="TOCEntry"/>
        <w:ind w:left="259"/>
      </w:pPr>
      <w:hyperlink w:anchor="SRS_42" w:history="1">
        <w:r>
          <w:rPr>
            <w:color w:val="000000"/>
            <w:rFonts w:ascii="Arial" w:hAnsi="Arial"/>
          </w:rPr>
          <w:t>9.1 Data and retention baseline</w:t>
        </w:r>
      </w:hyperlink>
    </w:p>
    <w:p>
      <w:pPr>
        <w:pStyle w:val="TOCEntry"/>
        <w:ind w:left="259"/>
      </w:pPr>
      <w:hyperlink w:anchor="SRS_43" w:history="1">
        <w:r>
          <w:rPr>
            <w:color w:val="000000"/>
            <w:rFonts w:ascii="Arial" w:hAnsi="Arial"/>
          </w:rPr>
          <w:t>9.2 Verification and traceability</w:t>
        </w:r>
      </w:hyperlink>
    </w:p>
    <w:p>
      <w:pPr>
        <w:pStyle w:val="TOCEntry"/>
        <w:ind w:left="259"/>
      </w:pPr>
      <w:hyperlink w:anchor="SRS_44" w:history="1">
        <w:r>
          <w:rPr>
            <w:color w:val="000000"/>
            <w:rFonts w:ascii="Arial" w:hAnsi="Arial"/>
          </w:rPr>
          <w:t>9.3 End-to-end acceptance scenarios</w:t>
        </w:r>
      </w:hyperlink>
    </w:p>
    <w:p>
      <w:pPr>
        <w:pStyle w:val="TOCEntry"/>
        <w:ind w:left="259"/>
      </w:pPr>
      <w:hyperlink w:anchor="SRS_45" w:history="1">
        <w:r>
          <w:rPr>
            <w:color w:val="000000"/>
            <w:rFonts w:ascii="Arial" w:hAnsi="Arial"/>
          </w:rPr>
          <w:t>9.4 Configuration and operational limits</w:t>
        </w:r>
      </w:hyperlink>
    </w:p>
    <w:p>
      <w:pPr>
        <w:pStyle w:val="TOCEntry"/>
        <w:ind w:left="259"/>
      </w:pPr>
      <w:hyperlink w:anchor="SRS_46" w:history="1">
        <w:r>
          <w:rPr>
            <w:color w:val="000000"/>
            <w:rFonts w:ascii="Arial" w:hAnsi="Arial"/>
          </w:rPr>
          <w:t>9.5 Acceptance and change control</w:t>
        </w:r>
      </w:hyperlink>
    </w:p>
    <w:p>
      <w:r>
        <w:fldChar w:fldCharType="end"/>
      </w:r>
    </w:p>
    <w:p>
      <w:bookmarkStart w:id="1" w:name="SRS_1"/>
      <w:pPr>
        <w:pStyle w:val="Heading1"/>
      </w:pPr>
      <w:r>
        <w:t>1 Introduction</w:t>
      </w:r>
      <w:bookmarkEnd w:id="1"/>
    </w:p>
    <w:p>
      <w:bookmarkStart w:id="2" w:name="SRS_2"/>
      <w:pPr>
        <w:pStyle w:val="Heading2"/>
      </w:pPr>
      <w:r>
        <w:t>1.1 Purpose</w:t>
      </w:r>
      <w:bookmarkEnd w:id="2"/>
    </w:p>
    <w:p>
      <w:r>
        <w:t>This Software Requirements Specification defines the functional, interface, quality, safety and operational requirements of HireSense, an AI-assisted recruitment platform. It provides a common baseline for the project team, supervisor, reviewers and testers to understand the system and evaluate its behavior.</w:t>
      </w:r>
    </w:p>
    <w:p>
      <w:r>
        <w:t>This specification establishes the acceptance baseline for the current HireSense project. Requirements do not certify that every scenario has already passed. Performance targets in Section 5.1 require controlled measurement. Team details and formal approval are to be completed separately.</w:t>
      </w:r>
    </w:p>
    <w:p>
      <w:bookmarkStart w:id="3" w:name="SRS_3"/>
      <w:pPr>
        <w:pStyle w:val="Heading2"/>
      </w:pPr>
      <w:r>
        <w:t>1.2 Scope</w:t>
      </w:r>
      <w:bookmarkEnd w:id="3"/>
    </w:p>
    <w:p>
      <w:r>
        <w:t>HireSense covers the recruitment flow from preparing and approving a job description through publication, application intake, CV screening, interview scheduling, live interviews, transcript assessment, a short practical exercise and evidence-backed final ranking. It supports technical and nontechnical roles.</w:t>
      </w:r>
    </w:p>
    <w:p>
      <w:r>
        <w:t>The primary user is an authenticated interviewer. Candidates apply through Google Forms and participate through private invitation links without a HireSense account. AI assists drafting, retrieval, analysis and task review; application services enforce authorization, state transitions and score arithmetic. The interviewer remains responsible for employment decisions.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4680"/>
        <w:gridCol w:w="4680"/>
      </w:tblGrid>
      <w:tr>
        <w:trPr>
          <w:tblHeader/>
          <w:cantSplit/>
        </w:trPr>
        <w:tc>
          <w:tcPr>
            <w:tcW w:type="dxa" w:w="4680"/>
            <w:vAlign w:val="center"/>
            <w:shd w:fill="EEEEEE" w:val="clear"/>
          </w:tcPr>
          <w:p>
            <w:pPr>
              <w:pStyle w:val="TableText"/>
              <w:keepNext w:val="0"/>
            </w:pPr>
            <w:r>
              <w:rPr>
                <w:b/>
              </w:rPr>
              <w:t>In scope</w:t>
            </w:r>
          </w:p>
        </w:tc>
        <w:tc>
          <w:tcPr>
            <w:tcW w:type="dxa" w:w="4680"/>
            <w:vAlign w:val="center"/>
            <w:shd w:fill="EEEEEE" w:val="clear"/>
          </w:tcPr>
          <w:p>
            <w:pPr>
              <w:pStyle w:val="TableText"/>
              <w:keepNext w:val="0"/>
            </w:pPr>
            <w:r>
              <w:rPr>
                <w:b/>
              </w:rPr>
              <w:t>Outside this baseline</w:t>
            </w:r>
          </w:p>
        </w:tc>
      </w:tr>
      <w:tr>
        <w:trPr>
          <w:cantSplit/>
        </w:trPr>
        <w:tc>
          <w:tcPr>
            <w:tcW w:type="dxa" w:w="4680"/>
            <w:vAlign w:val="center"/>
          </w:tcPr>
          <w:p>
            <w:pPr>
              <w:pStyle w:val="TableText"/>
              <w:keepNext w:val="0"/>
            </w:pPr>
            <w:r>
              <w:t>RAG/manual JDs, version approval and confirmed Discord publication.</w:t>
            </w:r>
          </w:p>
        </w:tc>
        <w:tc>
          <w:tcPr>
            <w:tcW w:type="dxa" w:w="4680"/>
            <w:vAlign w:val="center"/>
          </w:tcPr>
          <w:p>
            <w:pPr>
              <w:pStyle w:val="TableText"/>
              <w:keepNext w:val="0"/>
            </w:pPr>
            <w:r>
              <w:t>General-purpose job boards, an applicant marketplace or autonomous job publication.</w:t>
            </w:r>
          </w:p>
        </w:tc>
      </w:tr>
      <w:tr>
        <w:trPr>
          <w:cantSplit/>
        </w:trPr>
        <w:tc>
          <w:tcPr>
            <w:tcW w:type="dxa" w:w="4680"/>
            <w:vAlign w:val="center"/>
          </w:tcPr>
          <w:p>
            <w:pPr>
              <w:pStyle w:val="TableText"/>
              <w:keepNext w:val="0"/>
            </w:pPr>
            <w:r>
              <w:t>Read-only Sheets/Drive intake; PDF/DOCX CV screening and scanned-PDF OCR.</w:t>
            </w:r>
          </w:p>
        </w:tc>
        <w:tc>
          <w:tcPr>
            <w:tcW w:type="dxa" w:w="4680"/>
            <w:vAlign w:val="center"/>
          </w:tcPr>
          <w:p>
            <w:pPr>
              <w:pStyle w:val="TableText"/>
              <w:keepNext w:val="0"/>
            </w:pPr>
            <w:r>
              <w:t>Writing to source forms, automatic OCR of all knowledge PDFs or verifying every CV claim externally.</w:t>
            </w:r>
          </w:p>
        </w:tc>
      </w:tr>
      <w:tr>
        <w:trPr>
          <w:cantSplit/>
        </w:trPr>
        <w:tc>
          <w:tcPr>
            <w:tcW w:type="dxa" w:w="4680"/>
            <w:vAlign w:val="center"/>
          </w:tcPr>
          <w:p>
            <w:pPr>
              <w:pStyle w:val="TableText"/>
              <w:keepNext w:val="0"/>
            </w:pPr>
            <w:r>
              <w:t>Reviewed SMTP scheduling, private links, ICS and LiveKit interviews.</w:t>
            </w:r>
          </w:p>
        </w:tc>
        <w:tc>
          <w:tcPr>
            <w:tcW w:type="dxa" w:w="4680"/>
            <w:vAlign w:val="center"/>
          </w:tcPr>
          <w:p>
            <w:pPr>
              <w:pStyle w:val="TableText"/>
              <w:keepNext w:val="0"/>
            </w:pPr>
            <w:r>
              <w:t>Google/Outlook calendar booking, group interviews or interview A/V recording.</w:t>
            </w:r>
          </w:p>
        </w:tc>
      </w:tr>
      <w:tr>
        <w:trPr>
          <w:cantSplit/>
        </w:trPr>
        <w:tc>
          <w:tcPr>
            <w:tcW w:type="dxa" w:w="4680"/>
            <w:vAlign w:val="center"/>
          </w:tcPr>
          <w:p>
            <w:pPr>
              <w:pStyle w:val="TableText"/>
              <w:keepNext w:val="0"/>
            </w:pPr>
            <w:r>
              <w:t>Consented transcripts, job-related analysis and traceable candidate summaries.</w:t>
            </w:r>
          </w:p>
        </w:tc>
        <w:tc>
          <w:tcPr>
            <w:tcW w:type="dxa" w:w="4680"/>
            <w:vAlign w:val="center"/>
          </w:tcPr>
          <w:p>
            <w:pPr>
              <w:pStyle w:val="TableText"/>
              <w:keepNext w:val="0"/>
            </w:pPr>
            <w:r>
              <w:t>Candidate-visible transcripts, personality/emotion inference or guaranteed perfect ASR/AI grading.</w:t>
            </w:r>
          </w:p>
        </w:tc>
      </w:tr>
      <w:tr>
        <w:trPr>
          <w:cantSplit/>
        </w:trPr>
        <w:tc>
          <w:tcPr>
            <w:tcW w:type="dxa" w:w="4680"/>
            <w:vAlign w:val="center"/>
          </w:tcPr>
          <w:p>
            <w:pPr>
              <w:pStyle w:val="TableText"/>
              <w:keepNext w:val="0"/>
            </w:pPr>
            <w:r>
              <w:t>One short live work sample; optional local photo comparison.</w:t>
            </w:r>
          </w:p>
        </w:tc>
        <w:tc>
          <w:tcPr>
            <w:tcW w:type="dxa" w:w="4680"/>
            <w:vAlign w:val="center"/>
          </w:tcPr>
          <w:p>
            <w:pPr>
              <w:pStyle w:val="TableText"/>
              <w:keepNext w:val="0"/>
            </w:pPr>
            <w:r>
              <w:t>Take-home attempts, executing submitted code, plagiarism/AI-use detection or legal-ID/liveness assurance.</w:t>
            </w:r>
          </w:p>
        </w:tc>
      </w:tr>
      <w:tr>
        <w:trPr>
          <w:cantSplit/>
        </w:trPr>
        <w:tc>
          <w:tcPr>
            <w:tcW w:type="dxa" w:w="4680"/>
            <w:vAlign w:val="center"/>
          </w:tcPr>
          <w:p>
            <w:pPr>
              <w:pStyle w:val="TableText"/>
              <w:keepNext w:val="0"/>
            </w:pPr>
            <w:r>
              <w:t>Saved-score final ranking and private reports.</w:t>
            </w:r>
          </w:p>
        </w:tc>
        <w:tc>
          <w:tcPr>
            <w:tcW w:type="dxa" w:w="4680"/>
            <w:vAlign w:val="center"/>
          </w:tcPr>
          <w:p>
            <w:pPr>
              <w:pStyle w:val="TableText"/>
              <w:keepNext w:val="0"/>
            </w:pPr>
            <w:r>
              <w:t>Automatic hiring/rejection, payroll, onboarding or a separate interview-quality-rating module.</w:t>
            </w:r>
          </w:p>
        </w:tc>
      </w:tr>
    </w:tbl>
    <w:p>
      <w:pPr>
        <w:pStyle w:val="TableGap"/>
        <w:keepNext w:val="0"/>
      </w:pPr>
    </w:p>
    <w:p>
      <w:bookmarkStart w:id="4" w:name="SRS_4"/>
      <w:pPr>
        <w:pStyle w:val="Heading2"/>
      </w:pPr>
      <w:r>
        <w:t>1.3 Intended Stakeholder</w:t>
      </w:r>
      <w:bookmarkEnd w:id="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477"/>
        <w:gridCol w:w="6883"/>
      </w:tblGrid>
      <w:tr>
        <w:trPr>
          <w:tblHeader/>
          <w:cantSplit/>
        </w:trPr>
        <w:tc>
          <w:tcPr>
            <w:tcW w:type="dxa" w:w="2477"/>
            <w:vAlign w:val="center"/>
            <w:shd w:fill="EEEEEE" w:val="clear"/>
          </w:tcPr>
          <w:p>
            <w:pPr>
              <w:pStyle w:val="TableText"/>
              <w:keepNext w:val="0"/>
            </w:pPr>
            <w:r>
              <w:rPr>
                <w:b/>
              </w:rPr>
              <w:t>Stakeholder</w:t>
            </w:r>
          </w:p>
        </w:tc>
        <w:tc>
          <w:tcPr>
            <w:tcW w:type="dxa" w:w="6883"/>
            <w:vAlign w:val="center"/>
            <w:shd w:fill="EEEEEE" w:val="clear"/>
          </w:tcPr>
          <w:p>
            <w:pPr>
              <w:pStyle w:val="TableText"/>
              <w:keepNext w:val="0"/>
            </w:pPr>
            <w:r>
              <w:rPr>
                <w:b/>
              </w:rPr>
              <w:t>Responsibilities / use</w:t>
            </w:r>
          </w:p>
        </w:tc>
      </w:tr>
      <w:tr>
        <w:trPr>
          <w:cantSplit/>
        </w:trPr>
        <w:tc>
          <w:tcPr>
            <w:tcW w:type="dxa" w:w="2477"/>
            <w:vAlign w:val="center"/>
          </w:tcPr>
          <w:p>
            <w:pPr>
              <w:pStyle w:val="TableText"/>
              <w:keepNext w:val="0"/>
            </w:pPr>
            <w:r>
              <w:t>Interviewer / recruiter</w:t>
            </w:r>
          </w:p>
        </w:tc>
        <w:tc>
          <w:tcPr>
            <w:tcW w:type="dxa" w:w="6883"/>
            <w:vAlign w:val="center"/>
          </w:tcPr>
          <w:p>
            <w:pPr>
              <w:pStyle w:val="TableText"/>
              <w:keepNext w:val="0"/>
            </w:pPr>
            <w:r>
              <w:t>Prepare jobs; review AI drafts and evidence; select candidates; confirm publication/invitations; conduct interviews; approve practical reviews; make decisions.</w:t>
            </w:r>
          </w:p>
        </w:tc>
      </w:tr>
      <w:tr>
        <w:trPr>
          <w:cantSplit/>
        </w:trPr>
        <w:tc>
          <w:tcPr>
            <w:tcW w:type="dxa" w:w="2477"/>
            <w:vAlign w:val="center"/>
          </w:tcPr>
          <w:p>
            <w:pPr>
              <w:pStyle w:val="TableText"/>
              <w:keepNext w:val="0"/>
            </w:pPr>
            <w:r>
              <w:t>Candidate</w:t>
            </w:r>
          </w:p>
        </w:tc>
        <w:tc>
          <w:tcPr>
            <w:tcW w:type="dxa" w:w="6883"/>
            <w:vAlign w:val="center"/>
          </w:tcPr>
          <w:p>
            <w:pPr>
              <w:pStyle w:val="TableText"/>
              <w:keepNext w:val="0"/>
            </w:pPr>
            <w:r>
              <w:t>Submit an application; join the intended interview; choose optional permissions; answer questions; submit one live practical response.</w:t>
            </w:r>
          </w:p>
        </w:tc>
      </w:tr>
      <w:tr>
        <w:trPr>
          <w:cantSplit/>
        </w:trPr>
        <w:tc>
          <w:tcPr>
            <w:tcW w:type="dxa" w:w="2477"/>
            <w:vAlign w:val="center"/>
          </w:tcPr>
          <w:p>
            <w:pPr>
              <w:pStyle w:val="TableText"/>
              <w:keepNext w:val="0"/>
            </w:pPr>
            <w:r>
              <w:t>Project team / maintainer</w:t>
            </w:r>
          </w:p>
        </w:tc>
        <w:tc>
          <w:tcPr>
            <w:tcW w:type="dxa" w:w="6883"/>
            <w:vAlign w:val="center"/>
          </w:tcPr>
          <w:p>
            <w:pPr>
              <w:pStyle w:val="TableText"/>
              <w:keepNext w:val="0"/>
            </w:pPr>
            <w:r>
              <w:t>Implement, configure, migrate and maintain the platform; investigate safe diagnostics and provider failures.</w:t>
            </w:r>
          </w:p>
        </w:tc>
      </w:tr>
      <w:tr>
        <w:trPr>
          <w:cantSplit/>
        </w:trPr>
        <w:tc>
          <w:tcPr>
            <w:tcW w:type="dxa" w:w="2477"/>
            <w:vAlign w:val="center"/>
          </w:tcPr>
          <w:p>
            <w:pPr>
              <w:pStyle w:val="TableText"/>
              <w:keepNext w:val="0"/>
            </w:pPr>
            <w:r>
              <w:t>Supervisor / evaluator</w:t>
            </w:r>
          </w:p>
        </w:tc>
        <w:tc>
          <w:tcPr>
            <w:tcW w:type="dxa" w:w="6883"/>
            <w:vAlign w:val="center"/>
          </w:tcPr>
          <w:p>
            <w:pPr>
              <w:pStyle w:val="TableText"/>
              <w:keepNext w:val="0"/>
            </w:pPr>
            <w:r>
              <w:t>Review scope, innovation, architecture and acceptance evidence against the agreed project requirements.</w:t>
            </w:r>
          </w:p>
        </w:tc>
      </w:tr>
      <w:tr>
        <w:trPr>
          <w:cantSplit/>
        </w:trPr>
        <w:tc>
          <w:tcPr>
            <w:tcW w:type="dxa" w:w="2477"/>
            <w:vAlign w:val="center"/>
          </w:tcPr>
          <w:p>
            <w:pPr>
              <w:pStyle w:val="TableText"/>
              <w:keepNext w:val="0"/>
            </w:pPr>
            <w:r>
              <w:t>Deployment operator / data owner</w:t>
            </w:r>
          </w:p>
        </w:tc>
        <w:tc>
          <w:tcPr>
            <w:tcW w:type="dxa" w:w="6883"/>
            <w:vAlign w:val="center"/>
          </w:tcPr>
          <w:p>
            <w:pPr>
              <w:pStyle w:val="TableText"/>
              <w:keepNext w:val="0"/>
            </w:pPr>
            <w:r>
              <w:t>Provision accounts, credentials and models; manage permissions, retention, backups and external-provider obligations.</w:t>
            </w:r>
          </w:p>
        </w:tc>
      </w:tr>
    </w:tbl>
    <w:p>
      <w:pPr>
        <w:pStyle w:val="TableGap"/>
        <w:keepNext w:val="0"/>
      </w:pPr>
    </w:p>
    <w:p>
      <w:bookmarkStart w:id="5" w:name="SRS_5"/>
      <w:pPr>
        <w:pStyle w:val="Heading2"/>
      </w:pPr>
      <w:r>
        <w:t>1.4 References</w:t>
      </w:r>
      <w:bookmarkEnd w:id="5"/>
    </w:p>
    <w:p>
      <w:r>
        <w:t>Repository references are relative to the project root. They support this specification but do not replace its acceptance criteria. External service details are configuration dependencies, not service-level guarantees.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936"/>
        <w:gridCol w:w="5256"/>
        <w:gridCol w:w="3168"/>
      </w:tblGrid>
      <w:tr>
        <w:trPr>
          <w:tblHeader/>
          <w:cantSplit/>
        </w:trPr>
        <w:tc>
          <w:tcPr>
            <w:tcW w:type="dxa" w:w="936"/>
            <w:vAlign w:val="center"/>
            <w:shd w:fill="EEEEEE" w:val="clear"/>
          </w:tcPr>
          <w:p>
            <w:pPr>
              <w:pStyle w:val="TableText"/>
              <w:keepNext w:val="0"/>
              <w:jc w:val="center"/>
            </w:pPr>
            <w:r>
              <w:rPr>
                <w:b/>
              </w:rPr>
              <w:t>Ref. ID</w:t>
            </w:r>
          </w:p>
        </w:tc>
        <w:tc>
          <w:tcPr>
            <w:tcW w:type="dxa" w:w="5256"/>
            <w:vAlign w:val="center"/>
            <w:shd w:fill="EEEEEE" w:val="clear"/>
          </w:tcPr>
          <w:p>
            <w:pPr>
              <w:pStyle w:val="TableText"/>
              <w:keepNext w:val="0"/>
            </w:pPr>
            <w:r>
              <w:rPr>
                <w:b/>
              </w:rPr>
              <w:t>Document / source</w:t>
            </w:r>
          </w:p>
        </w:tc>
        <w:tc>
          <w:tcPr>
            <w:tcW w:type="dxa" w:w="3168"/>
            <w:vAlign w:val="center"/>
            <w:shd w:fill="EEEEEE" w:val="clear"/>
          </w:tcPr>
          <w:p>
            <w:pPr>
              <w:pStyle w:val="TableText"/>
              <w:keepNext w:val="0"/>
            </w:pPr>
            <w:r>
              <w:rPr>
                <w:b/>
              </w:rPr>
              <w:t>Use</w:t>
            </w:r>
          </w:p>
        </w:tc>
      </w:tr>
      <w:tr>
        <w:trPr>
          <w:cantSplit/>
        </w:trPr>
        <w:tc>
          <w:tcPr>
            <w:tcW w:type="dxa" w:w="936"/>
            <w:vAlign w:val="center"/>
          </w:tcPr>
          <w:p>
            <w:pPr>
              <w:pStyle w:val="TableText"/>
              <w:keepNext w:val="0"/>
              <w:jc w:val="center"/>
            </w:pPr>
            <w:r>
              <w:t>REF01</w:t>
            </w:r>
          </w:p>
        </w:tc>
        <w:tc>
          <w:tcPr>
            <w:tcW w:type="dxa" w:w="5256"/>
            <w:vAlign w:val="center"/>
          </w:tcPr>
          <w:p>
            <w:pPr>
              <w:pStyle w:val="TableText"/>
              <w:keepNext w:val="0"/>
            </w:pPr>
            <w:r>
              <w:t>SRS Template.doc (user-supplied)</w:t>
            </w:r>
          </w:p>
        </w:tc>
        <w:tc>
          <w:tcPr>
            <w:tcW w:type="dxa" w:w="3168"/>
            <w:vAlign w:val="center"/>
          </w:tcPr>
          <w:p>
            <w:pPr>
              <w:pStyle w:val="TableText"/>
              <w:keepNext w:val="0"/>
            </w:pPr>
            <w:r>
              <w:t>Section order, document control and requirement-table structure.</w:t>
            </w:r>
          </w:p>
        </w:tc>
      </w:tr>
      <w:tr>
        <w:trPr>
          <w:cantSplit/>
        </w:trPr>
        <w:tc>
          <w:tcPr>
            <w:tcW w:type="dxa" w:w="936"/>
            <w:vAlign w:val="center"/>
          </w:tcPr>
          <w:p>
            <w:pPr>
              <w:pStyle w:val="TableText"/>
              <w:keepNext w:val="0"/>
              <w:jc w:val="center"/>
            </w:pPr>
            <w:r>
              <w:t>REF02</w:t>
            </w:r>
          </w:p>
        </w:tc>
        <w:tc>
          <w:tcPr>
            <w:tcW w:type="dxa" w:w="5256"/>
            <w:vAlign w:val="center"/>
          </w:tcPr>
          <w:p>
            <w:pPr>
              <w:pStyle w:val="TableText"/>
              <w:keepNext w:val="0"/>
            </w:pPr>
            <w:r>
              <w:t>Final_Project_doc_Business_Info_Document_AI_Recruitment_Platform_v2.pdf</w:t>
            </w:r>
          </w:p>
        </w:tc>
        <w:tc>
          <w:tcPr>
            <w:tcW w:type="dxa" w:w="3168"/>
            <w:vAlign w:val="center"/>
          </w:tcPr>
          <w:p>
            <w:pPr>
              <w:pStyle w:val="TableText"/>
              <w:keepNext w:val="0"/>
            </w:pPr>
            <w:r>
              <w:t>Business context, core recruitment capabilities and stretch/innovation context.</w:t>
            </w:r>
          </w:p>
        </w:tc>
      </w:tr>
      <w:tr>
        <w:trPr>
          <w:cantSplit/>
        </w:trPr>
        <w:tc>
          <w:tcPr>
            <w:tcW w:type="dxa" w:w="936"/>
            <w:vAlign w:val="center"/>
          </w:tcPr>
          <w:p>
            <w:pPr>
              <w:pStyle w:val="TableText"/>
              <w:keepNext w:val="0"/>
              <w:jc w:val="center"/>
            </w:pPr>
            <w:r>
              <w:t>REF03</w:t>
            </w:r>
          </w:p>
        </w:tc>
        <w:tc>
          <w:tcPr>
            <w:tcW w:type="dxa" w:w="5256"/>
            <w:vAlign w:val="center"/>
          </w:tcPr>
          <w:p>
            <w:pPr>
              <w:pStyle w:val="TableText"/>
              <w:keepNext w:val="0"/>
            </w:pPr>
            <w:r>
              <w:t>README.md; docker-compose.yml; backend/app/config.py</w:t>
            </w:r>
          </w:p>
        </w:tc>
        <w:tc>
          <w:tcPr>
            <w:tcW w:type="dxa" w:w="3168"/>
            <w:vAlign w:val="center"/>
          </w:tcPr>
          <w:p>
            <w:pPr>
              <w:pStyle w:val="TableText"/>
              <w:keepNext w:val="0"/>
            </w:pPr>
            <w:r>
              <w:t>Project scope, deployed components, configuration and limits.</w:t>
            </w:r>
          </w:p>
        </w:tc>
      </w:tr>
      <w:tr>
        <w:trPr>
          <w:cantSplit/>
        </w:trPr>
        <w:tc>
          <w:tcPr>
            <w:tcW w:type="dxa" w:w="936"/>
            <w:vAlign w:val="center"/>
          </w:tcPr>
          <w:p>
            <w:pPr>
              <w:pStyle w:val="TableText"/>
              <w:keepNext w:val="0"/>
              <w:jc w:val="center"/>
            </w:pPr>
            <w:r>
              <w:t>REF04</w:t>
            </w:r>
          </w:p>
        </w:tc>
        <w:tc>
          <w:tcPr>
            <w:tcW w:type="dxa" w:w="5256"/>
            <w:vAlign w:val="center"/>
          </w:tcPr>
          <w:p>
            <w:pPr>
              <w:pStyle w:val="TableText"/>
              <w:keepNext w:val="0"/>
            </w:pPr>
            <w:r>
              <w:t>docs/diagrams/High_Level_Diagram.drawio; docs/diagrams/HireSense_System_Architecture.drawio</w:t>
            </w:r>
          </w:p>
        </w:tc>
        <w:tc>
          <w:tcPr>
            <w:tcW w:type="dxa" w:w="3168"/>
            <w:vAlign w:val="center"/>
          </w:tcPr>
          <w:p>
            <w:pPr>
              <w:pStyle w:val="TableText"/>
              <w:keepNext w:val="0"/>
            </w:pPr>
            <w:r>
              <w:t>High-level and detailed architecture views.</w:t>
            </w:r>
          </w:p>
        </w:tc>
      </w:tr>
      <w:tr>
        <w:trPr>
          <w:cantSplit/>
        </w:trPr>
        <w:tc>
          <w:tcPr>
            <w:tcW w:type="dxa" w:w="936"/>
            <w:vAlign w:val="center"/>
          </w:tcPr>
          <w:p>
            <w:pPr>
              <w:pStyle w:val="TableText"/>
              <w:keepNext w:val="0"/>
              <w:jc w:val="center"/>
            </w:pPr>
            <w:r>
              <w:t>REF05</w:t>
            </w:r>
          </w:p>
        </w:tc>
        <w:tc>
          <w:tcPr>
            <w:tcW w:type="dxa" w:w="5256"/>
            <w:vAlign w:val="center"/>
          </w:tcPr>
          <w:p>
            <w:pPr>
              <w:pStyle w:val="TableText"/>
              <w:keepNext w:val="0"/>
            </w:pPr>
            <w:r>
              <w:t>docs/langgraphs/README.md; docs/system-prompts.md</w:t>
            </w:r>
          </w:p>
        </w:tc>
        <w:tc>
          <w:tcPr>
            <w:tcW w:type="dxa" w:w="3168"/>
            <w:vAlign w:val="center"/>
          </w:tcPr>
          <w:p>
            <w:pPr>
              <w:pStyle w:val="TableText"/>
              <w:keepNext w:val="0"/>
            </w:pPr>
            <w:r>
              <w:t>Active graph inventory, tool scopes and prompt responsibilities.</w:t>
            </w:r>
          </w:p>
        </w:tc>
      </w:tr>
      <w:tr>
        <w:trPr>
          <w:cantSplit/>
        </w:trPr>
        <w:tc>
          <w:tcPr>
            <w:tcW w:type="dxa" w:w="936"/>
            <w:vAlign w:val="center"/>
          </w:tcPr>
          <w:p>
            <w:pPr>
              <w:pStyle w:val="TableText"/>
              <w:keepNext w:val="0"/>
              <w:jc w:val="center"/>
            </w:pPr>
            <w:r>
              <w:t>REF06</w:t>
            </w:r>
          </w:p>
        </w:tc>
        <w:tc>
          <w:tcPr>
            <w:tcW w:type="dxa" w:w="5256"/>
            <w:vAlign w:val="center"/>
          </w:tcPr>
          <w:p>
            <w:pPr>
              <w:pStyle w:val="TableText"/>
              <w:keepNext w:val="0"/>
            </w:pPr>
            <w:r>
              <w:t>docs/robust-cv-screening.md; docs/cv-ocr.md; docs/deterministic-candidate-scoring.md</w:t>
            </w:r>
          </w:p>
        </w:tc>
        <w:tc>
          <w:tcPr>
            <w:tcW w:type="dxa" w:w="3168"/>
            <w:vAlign w:val="center"/>
          </w:tcPr>
          <w:p>
            <w:pPr>
              <w:pStyle w:val="TableText"/>
              <w:keepNext w:val="0"/>
            </w:pPr>
            <w:r>
              <w:t>CV processing, evidence validation and deterministic arithmetic.</w:t>
            </w:r>
          </w:p>
        </w:tc>
      </w:tr>
      <w:tr>
        <w:trPr>
          <w:cantSplit/>
        </w:trPr>
        <w:tc>
          <w:tcPr>
            <w:tcW w:type="dxa" w:w="936"/>
            <w:vAlign w:val="center"/>
          </w:tcPr>
          <w:p>
            <w:pPr>
              <w:pStyle w:val="TableText"/>
              <w:keepNext w:val="0"/>
              <w:jc w:val="center"/>
            </w:pPr>
            <w:r>
              <w:t>REF07</w:t>
            </w:r>
          </w:p>
        </w:tc>
        <w:tc>
          <w:tcPr>
            <w:tcW w:type="dxa" w:w="5256"/>
            <w:vAlign w:val="center"/>
          </w:tcPr>
          <w:p>
            <w:pPr>
              <w:pStyle w:val="TableText"/>
              <w:keepNext w:val="0"/>
            </w:pPr>
            <w:r>
              <w:t>docs/interview-scheduling.md; docs/interview-rooms.md; docs/live-transcription.md</w:t>
            </w:r>
          </w:p>
        </w:tc>
        <w:tc>
          <w:tcPr>
            <w:tcW w:type="dxa" w:w="3168"/>
            <w:vAlign w:val="center"/>
          </w:tcPr>
          <w:p>
            <w:pPr>
              <w:pStyle w:val="TableText"/>
              <w:keepNext w:val="0"/>
            </w:pPr>
            <w:r>
              <w:t>Scheduling, room lifecycle and consented speech processing.</w:t>
            </w:r>
          </w:p>
        </w:tc>
      </w:tr>
      <w:tr>
        <w:trPr>
          <w:cantSplit/>
        </w:trPr>
        <w:tc>
          <w:tcPr>
            <w:tcW w:type="dxa" w:w="936"/>
            <w:vAlign w:val="center"/>
          </w:tcPr>
          <w:p>
            <w:pPr>
              <w:pStyle w:val="TableText"/>
              <w:keepNext w:val="0"/>
              <w:jc w:val="center"/>
            </w:pPr>
            <w:r>
              <w:t>REF08</w:t>
            </w:r>
          </w:p>
        </w:tc>
        <w:tc>
          <w:tcPr>
            <w:tcW w:type="dxa" w:w="5256"/>
            <w:vAlign w:val="center"/>
          </w:tcPr>
          <w:p>
            <w:pPr>
              <w:pStyle w:val="TableText"/>
              <w:keepNext w:val="0"/>
            </w:pPr>
            <w:r>
              <w:t>docs/interview-analysis.md; docs/live-work-samples.md; docs/consolidated-assessments.md</w:t>
            </w:r>
          </w:p>
        </w:tc>
        <w:tc>
          <w:tcPr>
            <w:tcW w:type="dxa" w:w="3168"/>
            <w:vAlign w:val="center"/>
          </w:tcPr>
          <w:p>
            <w:pPr>
              <w:pStyle w:val="TableText"/>
              <w:keepNext w:val="0"/>
            </w:pPr>
            <w:r>
              <w:t>Answer marks, practical review and saved-score final ranking.</w:t>
            </w:r>
          </w:p>
        </w:tc>
      </w:tr>
      <w:tr>
        <w:trPr>
          <w:cantSplit/>
        </w:trPr>
        <w:tc>
          <w:tcPr>
            <w:tcW w:type="dxa" w:w="936"/>
            <w:vAlign w:val="center"/>
          </w:tcPr>
          <w:p>
            <w:pPr>
              <w:pStyle w:val="TableText"/>
              <w:keepNext w:val="0"/>
              <w:jc w:val="center"/>
            </w:pPr>
            <w:r>
              <w:t>REF09</w:t>
            </w:r>
          </w:p>
        </w:tc>
        <w:tc>
          <w:tcPr>
            <w:tcW w:type="dxa" w:w="5256"/>
            <w:vAlign w:val="center"/>
          </w:tcPr>
          <w:p>
            <w:pPr>
              <w:pStyle w:val="TableText"/>
              <w:keepNext w:val="0"/>
            </w:pPr>
            <w:r>
              <w:t>docs/candidate-identification.md; docs/account-access.md; docs/workflow-navigation.md</w:t>
            </w:r>
          </w:p>
        </w:tc>
        <w:tc>
          <w:tcPr>
            <w:tcW w:type="dxa" w:w="3168"/>
            <w:vAlign w:val="center"/>
          </w:tcPr>
          <w:p>
            <w:pPr>
              <w:pStyle w:val="TableText"/>
              <w:keepNext w:val="0"/>
            </w:pPr>
            <w:r>
              <w:t>Optional identity comparison, access boundaries and UI transitions.</w:t>
            </w:r>
          </w:p>
        </w:tc>
      </w:tr>
      <w:tr>
        <w:trPr>
          <w:cantSplit/>
        </w:trPr>
        <w:tc>
          <w:tcPr>
            <w:tcW w:type="dxa" w:w="936"/>
            <w:vAlign w:val="center"/>
          </w:tcPr>
          <w:p>
            <w:pPr>
              <w:pStyle w:val="TableText"/>
              <w:keepNext w:val="0"/>
              <w:jc w:val="center"/>
            </w:pPr>
            <w:r>
              <w:t>REF10</w:t>
            </w:r>
          </w:p>
        </w:tc>
        <w:tc>
          <w:tcPr>
            <w:tcW w:type="dxa" w:w="5256"/>
            <w:vAlign w:val="center"/>
          </w:tcPr>
          <w:p>
            <w:pPr>
              <w:pStyle w:val="TableText"/>
              <w:keepNext w:val="0"/>
            </w:pPr>
            <w:r>
              <w:t>docs/llm-token-usage-estimate.md; backend/tests/; frontend/tests/</w:t>
            </w:r>
          </w:p>
        </w:tc>
        <w:tc>
          <w:tcPr>
            <w:tcW w:type="dxa" w:w="3168"/>
            <w:vAlign w:val="center"/>
          </w:tcPr>
          <w:p>
            <w:pPr>
              <w:pStyle w:val="TableText"/>
              <w:keepNext w:val="0"/>
            </w:pPr>
            <w:r>
              <w:t>Workload estimates and implementation verification areas.</w:t>
            </w:r>
          </w:p>
        </w:tc>
      </w:tr>
    </w:tbl>
    <w:p>
      <w:pPr>
        <w:pStyle w:val="TableGap"/>
        <w:keepNext w:val="0"/>
      </w:pPr>
    </w:p>
    <w:p>
      <w:bookmarkStart w:id="6" w:name="SRS_6"/>
      <w:pPr>
        <w:pStyle w:val="Heading2"/>
      </w:pPr>
      <w:r>
        <w:t>1.5 Definitions Acronyms and Abbreviations</w:t>
      </w:r>
      <w:bookmarkEnd w:id="6"/>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304"/>
        <w:gridCol w:w="7056"/>
      </w:tblGrid>
      <w:tr>
        <w:trPr>
          <w:tblHeader/>
          <w:cantSplit/>
        </w:trPr>
        <w:tc>
          <w:tcPr>
            <w:tcW w:type="dxa" w:w="2304"/>
            <w:vAlign w:val="center"/>
            <w:shd w:fill="EEEEEE" w:val="clear"/>
          </w:tcPr>
          <w:p>
            <w:pPr>
              <w:pStyle w:val="TableText"/>
              <w:keepNext w:val="0"/>
            </w:pPr>
            <w:r>
              <w:rPr>
                <w:b/>
              </w:rPr>
              <w:t>Term</w:t>
            </w:r>
          </w:p>
        </w:tc>
        <w:tc>
          <w:tcPr>
            <w:tcW w:type="dxa" w:w="7056"/>
            <w:vAlign w:val="center"/>
            <w:shd w:fill="EEEEEE" w:val="clear"/>
          </w:tcPr>
          <w:p>
            <w:pPr>
              <w:pStyle w:val="TableText"/>
              <w:keepNext w:val="0"/>
            </w:pPr>
            <w:r>
              <w:rPr>
                <w:b/>
              </w:rPr>
              <w:t>Meaning in HireSense</w:t>
            </w:r>
          </w:p>
        </w:tc>
      </w:tr>
      <w:tr>
        <w:trPr>
          <w:cantSplit/>
        </w:trPr>
        <w:tc>
          <w:tcPr>
            <w:tcW w:type="dxa" w:w="2304"/>
            <w:vAlign w:val="center"/>
          </w:tcPr>
          <w:p>
            <w:pPr>
              <w:pStyle w:val="TableText"/>
              <w:keepNext w:val="0"/>
            </w:pPr>
            <w:r>
              <w:t>Application</w:t>
            </w:r>
          </w:p>
        </w:tc>
        <w:tc>
          <w:tcPr>
            <w:tcW w:type="dxa" w:w="7056"/>
            <w:vAlign w:val="center"/>
          </w:tcPr>
          <w:p>
            <w:pPr>
              <w:pStyle w:val="TableText"/>
              <w:keepNext w:val="0"/>
            </w:pPr>
            <w:r>
              <w:t>One candidate submission associated with a specific job posting and source response identity.</w:t>
            </w:r>
          </w:p>
        </w:tc>
      </w:tr>
      <w:tr>
        <w:trPr>
          <w:cantSplit/>
        </w:trPr>
        <w:tc>
          <w:tcPr>
            <w:tcW w:type="dxa" w:w="2304"/>
            <w:vAlign w:val="center"/>
          </w:tcPr>
          <w:p>
            <w:pPr>
              <w:pStyle w:val="TableText"/>
              <w:keepNext w:val="0"/>
            </w:pPr>
            <w:r>
              <w:t>ASR / STT</w:t>
            </w:r>
          </w:p>
        </w:tc>
        <w:tc>
          <w:tcPr>
            <w:tcW w:type="dxa" w:w="7056"/>
            <w:vAlign w:val="center"/>
          </w:tcPr>
          <w:p>
            <w:pPr>
              <w:pStyle w:val="TableText"/>
              <w:keepNext w:val="0"/>
            </w:pPr>
            <w:r>
              <w:t>Automatic speech recognition / speech-to-text; may contain errors or missing speech.</w:t>
            </w:r>
          </w:p>
        </w:tc>
      </w:tr>
      <w:tr>
        <w:trPr>
          <w:cantSplit/>
        </w:trPr>
        <w:tc>
          <w:tcPr>
            <w:tcW w:type="dxa" w:w="2304"/>
            <w:vAlign w:val="center"/>
          </w:tcPr>
          <w:p>
            <w:pPr>
              <w:pStyle w:val="TableText"/>
              <w:keepNext w:val="0"/>
            </w:pPr>
            <w:r>
              <w:t>CV</w:t>
            </w:r>
          </w:p>
        </w:tc>
        <w:tc>
          <w:tcPr>
            <w:tcW w:type="dxa" w:w="7056"/>
            <w:vAlign w:val="center"/>
          </w:tcPr>
          <w:p>
            <w:pPr>
              <w:pStyle w:val="TableText"/>
              <w:keepNext w:val="0"/>
            </w:pPr>
            <w:r>
              <w:t>Curriculum vitae / résumé submitted as a supported document.</w:t>
            </w:r>
          </w:p>
        </w:tc>
      </w:tr>
      <w:tr>
        <w:trPr>
          <w:cantSplit/>
        </w:trPr>
        <w:tc>
          <w:tcPr>
            <w:tcW w:type="dxa" w:w="2304"/>
            <w:vAlign w:val="center"/>
          </w:tcPr>
          <w:p>
            <w:pPr>
              <w:pStyle w:val="TableText"/>
              <w:keepNext w:val="0"/>
            </w:pPr>
            <w:r>
              <w:t>Evidence</w:t>
            </w:r>
          </w:p>
        </w:tc>
        <w:tc>
          <w:tcPr>
            <w:tcW w:type="dxa" w:w="7056"/>
            <w:vAlign w:val="center"/>
          </w:tcPr>
          <w:p>
            <w:pPr>
              <w:pStyle w:val="TableText"/>
              <w:keepNext w:val="0"/>
            </w:pPr>
            <w:r>
              <w:t>Exact source text plus an application-specific locator, version and provenance used to support a finding.</w:t>
            </w:r>
          </w:p>
        </w:tc>
      </w:tr>
      <w:tr>
        <w:trPr>
          <w:cantSplit/>
        </w:trPr>
        <w:tc>
          <w:tcPr>
            <w:tcW w:type="dxa" w:w="2304"/>
            <w:vAlign w:val="center"/>
          </w:tcPr>
          <w:p>
            <w:pPr>
              <w:pStyle w:val="TableText"/>
              <w:keepNext w:val="0"/>
            </w:pPr>
            <w:r>
              <w:t>JD</w:t>
            </w:r>
          </w:p>
        </w:tc>
        <w:tc>
          <w:tcPr>
            <w:tcW w:type="dxa" w:w="7056"/>
            <w:vAlign w:val="center"/>
          </w:tcPr>
          <w:p>
            <w:pPr>
              <w:pStyle w:val="TableText"/>
              <w:keepNext w:val="0"/>
            </w:pPr>
            <w:r>
              <w:t>Job description and its approved screening requirements.</w:t>
            </w:r>
          </w:p>
        </w:tc>
      </w:tr>
      <w:tr>
        <w:trPr>
          <w:cantSplit/>
        </w:trPr>
        <w:tc>
          <w:tcPr>
            <w:tcW w:type="dxa" w:w="2304"/>
            <w:vAlign w:val="center"/>
          </w:tcPr>
          <w:p>
            <w:pPr>
              <w:pStyle w:val="TableText"/>
              <w:keepNext w:val="0"/>
            </w:pPr>
            <w:r>
              <w:t>RAG</w:t>
            </w:r>
          </w:p>
        </w:tc>
        <w:tc>
          <w:tcPr>
            <w:tcW w:type="dxa" w:w="7056"/>
            <w:vAlign w:val="center"/>
          </w:tcPr>
          <w:p>
            <w:pPr>
              <w:pStyle w:val="TableText"/>
              <w:keepNext w:val="0"/>
            </w:pPr>
            <w:r>
              <w:t>Retrieval-augmented generation: relevant authorized passages supplied to generation.</w:t>
            </w:r>
          </w:p>
        </w:tc>
      </w:tr>
      <w:tr>
        <w:trPr>
          <w:cantSplit/>
        </w:trPr>
        <w:tc>
          <w:tcPr>
            <w:tcW w:type="dxa" w:w="2304"/>
            <w:vAlign w:val="center"/>
          </w:tcPr>
          <w:p>
            <w:pPr>
              <w:pStyle w:val="TableText"/>
              <w:keepNext w:val="0"/>
            </w:pPr>
            <w:r>
              <w:t>LLM</w:t>
            </w:r>
          </w:p>
        </w:tc>
        <w:tc>
          <w:tcPr>
            <w:tcW w:type="dxa" w:w="7056"/>
            <w:vAlign w:val="center"/>
          </w:tcPr>
          <w:p>
            <w:pPr>
              <w:pStyle w:val="TableText"/>
              <w:keepNext w:val="0"/>
            </w:pPr>
            <w:r>
              <w:t>Large language model used for generation and evidence-supported assessment.</w:t>
            </w:r>
          </w:p>
        </w:tc>
      </w:tr>
      <w:tr>
        <w:trPr>
          <w:cantSplit/>
        </w:trPr>
        <w:tc>
          <w:tcPr>
            <w:tcW w:type="dxa" w:w="2304"/>
            <w:vAlign w:val="center"/>
          </w:tcPr>
          <w:p>
            <w:pPr>
              <w:pStyle w:val="TableText"/>
              <w:keepNext w:val="0"/>
            </w:pPr>
            <w:r>
              <w:t>Embedding / pgvector</w:t>
            </w:r>
          </w:p>
        </w:tc>
        <w:tc>
          <w:tcPr>
            <w:tcW w:type="dxa" w:w="7056"/>
            <w:vAlign w:val="center"/>
          </w:tcPr>
          <w:p>
            <w:pPr>
              <w:pStyle w:val="TableText"/>
              <w:keepNext w:val="0"/>
            </w:pPr>
            <w:r>
              <w:t>A numeric text representation / PostgreSQL extension for vector storage and retrieval.</w:t>
            </w:r>
          </w:p>
        </w:tc>
      </w:tr>
      <w:tr>
        <w:trPr>
          <w:cantSplit/>
        </w:trPr>
        <w:tc>
          <w:tcPr>
            <w:tcW w:type="dxa" w:w="2304"/>
            <w:vAlign w:val="center"/>
          </w:tcPr>
          <w:p>
            <w:pPr>
              <w:pStyle w:val="TableText"/>
              <w:keepNext w:val="0"/>
            </w:pPr>
            <w:r>
              <w:t>MCP</w:t>
            </w:r>
          </w:p>
        </w:tc>
        <w:tc>
          <w:tcPr>
            <w:tcW w:type="dxa" w:w="7056"/>
            <w:vAlign w:val="center"/>
          </w:tcPr>
          <w:p>
            <w:pPr>
              <w:pStyle w:val="TableText"/>
              <w:keepNext w:val="0"/>
            </w:pPr>
            <w:r>
              <w:t>Model Context Protocol; private services expose job posting and scheduling operations.</w:t>
            </w:r>
          </w:p>
        </w:tc>
      </w:tr>
      <w:tr>
        <w:trPr>
          <w:cantSplit/>
        </w:trPr>
        <w:tc>
          <w:tcPr>
            <w:tcW w:type="dxa" w:w="2304"/>
            <w:vAlign w:val="center"/>
          </w:tcPr>
          <w:p>
            <w:pPr>
              <w:pStyle w:val="TableText"/>
              <w:keepNext w:val="0"/>
            </w:pPr>
            <w:r>
              <w:t>LangGraph</w:t>
            </w:r>
          </w:p>
        </w:tc>
        <w:tc>
          <w:tcPr>
            <w:tcW w:type="dxa" w:w="7056"/>
            <w:vAlign w:val="center"/>
          </w:tcPr>
          <w:p>
            <w:pPr>
              <w:pStyle w:val="TableText"/>
              <w:keepNext w:val="0"/>
            </w:pPr>
            <w:r>
              <w:t>Stateful workflow orchestration; seven active graph definitions are listed in Section 6.</w:t>
            </w:r>
          </w:p>
        </w:tc>
      </w:tr>
      <w:tr>
        <w:trPr>
          <w:cantSplit/>
        </w:trPr>
        <w:tc>
          <w:tcPr>
            <w:tcW w:type="dxa" w:w="2304"/>
            <w:vAlign w:val="center"/>
          </w:tcPr>
          <w:p>
            <w:pPr>
              <w:pStyle w:val="TableText"/>
              <w:keepNext w:val="0"/>
            </w:pPr>
            <w:r>
              <w:t>Approved guide</w:t>
            </w:r>
          </w:p>
        </w:tc>
        <w:tc>
          <w:tcPr>
            <w:tcW w:type="dxa" w:w="7056"/>
            <w:vAlign w:val="center"/>
          </w:tcPr>
          <w:p>
            <w:pPr>
              <w:pStyle w:val="TableText"/>
              <w:keepNext w:val="0"/>
            </w:pPr>
            <w:r>
              <w:t>An authorized answer guide/reference used for correctness, not a candidate CV or another candidate's answer.</w:t>
            </w:r>
          </w:p>
        </w:tc>
      </w:tr>
      <w:tr>
        <w:trPr>
          <w:cantSplit/>
        </w:trPr>
        <w:tc>
          <w:tcPr>
            <w:tcW w:type="dxa" w:w="2304"/>
            <w:vAlign w:val="center"/>
          </w:tcPr>
          <w:p>
            <w:pPr>
              <w:pStyle w:val="TableText"/>
              <w:keepNext w:val="0"/>
            </w:pPr>
            <w:r>
              <w:t>Compatible result</w:t>
            </w:r>
          </w:p>
        </w:tc>
        <w:tc>
          <w:tcPr>
            <w:tcW w:type="dxa" w:w="7056"/>
            <w:vAlign w:val="center"/>
          </w:tcPr>
          <w:p>
            <w:pPr>
              <w:pStyle w:val="TableText"/>
              <w:keepNext w:val="0"/>
            </w:pPr>
            <w:r>
              <w:t>A saved validated assessment matching the current relevant source hashes, configuration and policy versions.</w:t>
            </w:r>
          </w:p>
        </w:tc>
      </w:tr>
      <w:tr>
        <w:trPr>
          <w:cantSplit/>
        </w:trPr>
        <w:tc>
          <w:tcPr>
            <w:tcW w:type="dxa" w:w="2304"/>
            <w:vAlign w:val="center"/>
          </w:tcPr>
          <w:p>
            <w:pPr>
              <w:pStyle w:val="TableText"/>
              <w:keepNext w:val="0"/>
            </w:pPr>
            <w:r>
              <w:t>ICS / SMTP</w:t>
            </w:r>
          </w:p>
        </w:tc>
        <w:tc>
          <w:tcPr>
            <w:tcW w:type="dxa" w:w="7056"/>
            <w:vAlign w:val="center"/>
          </w:tcPr>
          <w:p>
            <w:pPr>
              <w:pStyle w:val="TableText"/>
              <w:keepNext w:val="0"/>
            </w:pPr>
            <w:r>
              <w:t>Calendar invitation file format / protocol used to deliver invitation email.</w:t>
            </w:r>
          </w:p>
        </w:tc>
      </w:tr>
      <w:tr>
        <w:trPr>
          <w:cantSplit/>
        </w:trPr>
        <w:tc>
          <w:tcPr>
            <w:tcW w:type="dxa" w:w="2304"/>
            <w:vAlign w:val="center"/>
          </w:tcPr>
          <w:p>
            <w:pPr>
              <w:pStyle w:val="TableText"/>
              <w:keepNext w:val="0"/>
            </w:pPr>
            <w:r>
              <w:t>WebRTC / LiveKit</w:t>
            </w:r>
          </w:p>
        </w:tc>
        <w:tc>
          <w:tcPr>
            <w:tcW w:type="dxa" w:w="7056"/>
            <w:vAlign w:val="center"/>
          </w:tcPr>
          <w:p>
            <w:pPr>
              <w:pStyle w:val="TableText"/>
              <w:keepNext w:val="0"/>
            </w:pPr>
            <w:r>
              <w:t>Browser real-time audio/video transport / the configured room-media provider.</w:t>
            </w:r>
          </w:p>
        </w:tc>
      </w:tr>
      <w:tr>
        <w:trPr>
          <w:cantSplit/>
        </w:trPr>
        <w:tc>
          <w:tcPr>
            <w:tcW w:type="dxa" w:w="2304"/>
            <w:vAlign w:val="center"/>
          </w:tcPr>
          <w:p>
            <w:pPr>
              <w:pStyle w:val="TableText"/>
              <w:keepNext w:val="0"/>
            </w:pPr>
            <w:r>
              <w:t>FR / TC / p95</w:t>
            </w:r>
          </w:p>
        </w:tc>
        <w:tc>
          <w:tcPr>
            <w:tcW w:type="dxa" w:w="7056"/>
            <w:vAlign w:val="center"/>
          </w:tcPr>
          <w:p>
            <w:pPr>
              <w:pStyle w:val="TableText"/>
              <w:keepNext w:val="0"/>
            </w:pPr>
            <w:r>
              <w:t>Functional requirement / acceptance test scenario / 95th percentile of a measured sample.</w:t>
            </w:r>
          </w:p>
        </w:tc>
      </w:tr>
    </w:tbl>
    <w:p>
      <w:pPr>
        <w:pStyle w:val="TableGap"/>
        <w:keepNext w:val="0"/>
      </w:pPr>
    </w:p>
    <w:p>
      <w:bookmarkStart w:id="7" w:name="SRS_7"/>
      <w:pPr>
        <w:pStyle w:val="Heading1"/>
      </w:pPr>
      <w:r>
        <w:t>2 Overall Description</w:t>
      </w:r>
      <w:bookmarkEnd w:id="7"/>
    </w:p>
    <w:p>
      <w:bookmarkStart w:id="8" w:name="SRS_8"/>
      <w:pPr>
        <w:pStyle w:val="Heading2"/>
      </w:pPr>
      <w:r>
        <w:t>2.1 Overview</w:t>
      </w:r>
      <w:bookmarkEnd w:id="8"/>
    </w:p>
    <w:p>
      <w:r>
        <w:t>HireSense is a web application with a modular backend, persistent recruitment records and scoped AI workflows. The browser handles user interaction and media. Backend services own recruitment state, evidence validation, access control and exact score calculation. Separate integration and transcription processes support selected external operations.</w:t>
      </w:r>
    </w:p>
    <w:p>
      <w:bookmarkStart w:id="9" w:name="SRS_9"/>
      <w:pPr>
        <w:pStyle w:val="Heading3"/>
      </w:pPr>
      <w:r>
        <w:t>2.1.1 End-to-end recruitment flow</w:t>
      </w:r>
      <w:bookmarkEnd w:id="9"/>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123"/>
        <w:gridCol w:w="3715"/>
        <w:gridCol w:w="4522"/>
      </w:tblGrid>
      <w:tr>
        <w:trPr>
          <w:tblHeader/>
          <w:cantSplit/>
        </w:trPr>
        <w:tc>
          <w:tcPr>
            <w:tcW w:type="dxa" w:w="1123"/>
            <w:vAlign w:val="center"/>
            <w:shd w:fill="EEEEEE" w:val="clear"/>
          </w:tcPr>
          <w:p>
            <w:pPr>
              <w:pStyle w:val="TableText"/>
              <w:keepNext w:val="0"/>
              <w:jc w:val="center"/>
            </w:pPr>
            <w:r>
              <w:rPr>
                <w:b/>
              </w:rPr>
              <w:t>Stage</w:t>
            </w:r>
          </w:p>
        </w:tc>
        <w:tc>
          <w:tcPr>
            <w:tcW w:type="dxa" w:w="3715"/>
            <w:vAlign w:val="center"/>
            <w:shd w:fill="EEEEEE" w:val="clear"/>
          </w:tcPr>
          <w:p>
            <w:pPr>
              <w:pStyle w:val="TableText"/>
              <w:keepNext w:val="0"/>
            </w:pPr>
            <w:r>
              <w:rPr>
                <w:b/>
              </w:rPr>
              <w:t>Main interaction</w:t>
            </w:r>
          </w:p>
        </w:tc>
        <w:tc>
          <w:tcPr>
            <w:tcW w:type="dxa" w:w="4522"/>
            <w:vAlign w:val="center"/>
            <w:shd w:fill="EEEEEE" w:val="clear"/>
          </w:tcPr>
          <w:p>
            <w:pPr>
              <w:pStyle w:val="TableText"/>
              <w:keepNext w:val="0"/>
            </w:pPr>
            <w:r>
              <w:rPr>
                <w:b/>
              </w:rPr>
              <w:t>Persisted result / gate</w:t>
            </w:r>
          </w:p>
        </w:tc>
      </w:tr>
      <w:tr>
        <w:trPr>
          <w:cantSplit/>
        </w:trPr>
        <w:tc>
          <w:tcPr>
            <w:tcW w:type="dxa" w:w="1123"/>
            <w:vAlign w:val="center"/>
          </w:tcPr>
          <w:p>
            <w:pPr>
              <w:pStyle w:val="TableText"/>
              <w:keepNext w:val="0"/>
              <w:jc w:val="center"/>
            </w:pPr>
            <w:r>
              <w:t>1 Prepare</w:t>
            </w:r>
          </w:p>
        </w:tc>
        <w:tc>
          <w:tcPr>
            <w:tcW w:type="dxa" w:w="3715"/>
            <w:vAlign w:val="center"/>
          </w:tcPr>
          <w:p>
            <w:pPr>
              <w:pStyle w:val="TableText"/>
              <w:keepNext w:val="0"/>
            </w:pPr>
            <w:r>
              <w:t>Upload reference knowledge; describe the role or create a manual JD.</w:t>
            </w:r>
          </w:p>
        </w:tc>
        <w:tc>
          <w:tcPr>
            <w:tcW w:type="dxa" w:w="4522"/>
            <w:vAlign w:val="center"/>
          </w:tcPr>
          <w:p>
            <w:pPr>
              <w:pStyle w:val="TableText"/>
              <w:keepNext w:val="0"/>
            </w:pPr>
            <w:r>
              <w:t>Draft, sources and screening profile; explicit version approval.</w:t>
            </w:r>
          </w:p>
        </w:tc>
      </w:tr>
      <w:tr>
        <w:trPr>
          <w:cantSplit/>
        </w:trPr>
        <w:tc>
          <w:tcPr>
            <w:tcW w:type="dxa" w:w="1123"/>
            <w:vAlign w:val="center"/>
          </w:tcPr>
          <w:p>
            <w:pPr>
              <w:pStyle w:val="TableText"/>
              <w:keepNext w:val="0"/>
              <w:jc w:val="center"/>
            </w:pPr>
            <w:r>
              <w:t>2 Publish</w:t>
            </w:r>
          </w:p>
        </w:tc>
        <w:tc>
          <w:tcPr>
            <w:tcW w:type="dxa" w:w="3715"/>
            <w:vAlign w:val="center"/>
          </w:tcPr>
          <w:p>
            <w:pPr>
              <w:pStyle w:val="TableText"/>
              <w:keepNext w:val="0"/>
            </w:pPr>
            <w:r>
              <w:t>Review the Discord destination, application link, deadline and content.</w:t>
            </w:r>
          </w:p>
        </w:tc>
        <w:tc>
          <w:tcPr>
            <w:tcW w:type="dxa" w:w="4522"/>
            <w:vAlign w:val="center"/>
          </w:tcPr>
          <w:p>
            <w:pPr>
              <w:pStyle w:val="TableText"/>
              <w:keepNext w:val="0"/>
            </w:pPr>
            <w:r>
              <w:t>Confirmed publication and external reference.</w:t>
            </w:r>
          </w:p>
        </w:tc>
      </w:tr>
      <w:tr>
        <w:trPr>
          <w:cantSplit/>
        </w:trPr>
        <w:tc>
          <w:tcPr>
            <w:tcW w:type="dxa" w:w="1123"/>
            <w:vAlign w:val="center"/>
          </w:tcPr>
          <w:p>
            <w:pPr>
              <w:pStyle w:val="TableText"/>
              <w:keepNext w:val="0"/>
              <w:jc w:val="center"/>
            </w:pPr>
            <w:r>
              <w:t>3 Import</w:t>
            </w:r>
          </w:p>
        </w:tc>
        <w:tc>
          <w:tcPr>
            <w:tcW w:type="dxa" w:w="3715"/>
            <w:vAlign w:val="center"/>
          </w:tcPr>
          <w:p>
            <w:pPr>
              <w:pStyle w:val="TableText"/>
              <w:keepNext w:val="0"/>
            </w:pPr>
            <w:r>
              <w:t>Sync Google Form response rows and private Drive documents.</w:t>
            </w:r>
          </w:p>
        </w:tc>
        <w:tc>
          <w:tcPr>
            <w:tcW w:type="dxa" w:w="4522"/>
            <w:vAlign w:val="center"/>
          </w:tcPr>
          <w:p>
            <w:pPr>
              <w:pStyle w:val="TableText"/>
              <w:keepNext w:val="0"/>
            </w:pPr>
            <w:r>
              <w:t>Application-scoped profile, source identity, CV and optional photo.</w:t>
            </w:r>
          </w:p>
        </w:tc>
      </w:tr>
      <w:tr>
        <w:trPr>
          <w:cantSplit/>
        </w:trPr>
        <w:tc>
          <w:tcPr>
            <w:tcW w:type="dxa" w:w="1123"/>
            <w:vAlign w:val="center"/>
          </w:tcPr>
          <w:p>
            <w:pPr>
              <w:pStyle w:val="TableText"/>
              <w:keepNext w:val="0"/>
              <w:jc w:val="center"/>
            </w:pPr>
            <w:r>
              <w:t>4 Screen</w:t>
            </w:r>
          </w:p>
        </w:tc>
        <w:tc>
          <w:tcPr>
            <w:tcW w:type="dxa" w:w="3715"/>
            <w:vAlign w:val="center"/>
          </w:tcPr>
          <w:p>
            <w:pPr>
              <w:pStyle w:val="TableText"/>
              <w:keepNext w:val="0"/>
            </w:pPr>
            <w:r>
              <w:t>Extract/OCR CV; retrieve and validate requirement evidence.</w:t>
            </w:r>
          </w:p>
        </w:tc>
        <w:tc>
          <w:tcPr>
            <w:tcW w:type="dxa" w:w="4522"/>
            <w:vAlign w:val="center"/>
          </w:tcPr>
          <w:p>
            <w:pPr>
              <w:pStyle w:val="TableText"/>
              <w:keepNext w:val="0"/>
            </w:pPr>
            <w:r>
              <w:t>Validated findings, configuration snapshot and CV ranking; failures remain visible.</w:t>
            </w:r>
          </w:p>
        </w:tc>
      </w:tr>
      <w:tr>
        <w:trPr>
          <w:cantSplit/>
        </w:trPr>
        <w:tc>
          <w:tcPr>
            <w:tcW w:type="dxa" w:w="1123"/>
            <w:vAlign w:val="center"/>
          </w:tcPr>
          <w:p>
            <w:pPr>
              <w:pStyle w:val="TableText"/>
              <w:keepNext w:val="0"/>
              <w:jc w:val="center"/>
            </w:pPr>
            <w:r>
              <w:t>5 Schedule</w:t>
            </w:r>
          </w:p>
        </w:tc>
        <w:tc>
          <w:tcPr>
            <w:tcW w:type="dxa" w:w="3715"/>
            <w:vAlign w:val="center"/>
          </w:tcPr>
          <w:p>
            <w:pPr>
              <w:pStyle w:val="TableText"/>
              <w:keepNext w:val="0"/>
            </w:pPr>
            <w:r>
              <w:t>Select eligible candidates; preview slots, email and ICS; confirm.</w:t>
            </w:r>
          </w:p>
        </w:tc>
        <w:tc>
          <w:tcPr>
            <w:tcW w:type="dxa" w:w="4522"/>
            <w:vAlign w:val="center"/>
          </w:tcPr>
          <w:p>
            <w:pPr>
              <w:pStyle w:val="TableText"/>
              <w:keepNext w:val="0"/>
            </w:pPr>
            <w:r>
              <w:t>Interview, invitation outcome, private access and schedule history.</w:t>
            </w:r>
          </w:p>
        </w:tc>
      </w:tr>
      <w:tr>
        <w:trPr>
          <w:cantSplit/>
        </w:trPr>
        <w:tc>
          <w:tcPr>
            <w:tcW w:type="dxa" w:w="1123"/>
            <w:vAlign w:val="center"/>
          </w:tcPr>
          <w:p>
            <w:pPr>
              <w:pStyle w:val="TableText"/>
              <w:keepNext w:val="0"/>
              <w:jc w:val="center"/>
            </w:pPr>
            <w:r>
              <w:t>6 Interview</w:t>
            </w:r>
          </w:p>
        </w:tc>
        <w:tc>
          <w:tcPr>
            <w:tcW w:type="dxa" w:w="3715"/>
            <w:vAlign w:val="center"/>
          </w:tcPr>
          <w:p>
            <w:pPr>
              <w:pStyle w:val="TableText"/>
              <w:keepNext w:val="0"/>
            </w:pPr>
            <w:r>
              <w:t>Device checks, admission, private call and optional permissions.</w:t>
            </w:r>
          </w:p>
        </w:tc>
        <w:tc>
          <w:tcPr>
            <w:tcW w:type="dxa" w:w="4522"/>
            <w:vAlign w:val="center"/>
          </w:tcPr>
          <w:p>
            <w:pPr>
              <w:pStyle w:val="TableText"/>
              <w:keepNext w:val="0"/>
            </w:pPr>
            <w:r>
              <w:t>Room state; final consented transcript text, not A/V recordings.</w:t>
            </w:r>
          </w:p>
        </w:tc>
      </w:tr>
      <w:tr>
        <w:trPr>
          <w:cantSplit/>
        </w:trPr>
        <w:tc>
          <w:tcPr>
            <w:tcW w:type="dxa" w:w="1123"/>
            <w:vAlign w:val="center"/>
          </w:tcPr>
          <w:p>
            <w:pPr>
              <w:pStyle w:val="TableText"/>
              <w:keepNext w:val="0"/>
              <w:jc w:val="center"/>
            </w:pPr>
            <w:r>
              <w:t>7 Assess</w:t>
            </w:r>
          </w:p>
        </w:tc>
        <w:tc>
          <w:tcPr>
            <w:tcW w:type="dxa" w:w="3715"/>
            <w:vAlign w:val="center"/>
          </w:tcPr>
          <w:p>
            <w:pPr>
              <w:pStyle w:val="TableText"/>
              <w:keepNext w:val="0"/>
            </w:pPr>
            <w:r>
              <w:t>Analyze saved answers; run one short task and approve its verified AI review.</w:t>
            </w:r>
          </w:p>
        </w:tc>
        <w:tc>
          <w:tcPr>
            <w:tcW w:type="dxa" w:w="4522"/>
            <w:vAlign w:val="center"/>
          </w:tcPr>
          <w:p>
            <w:pPr>
              <w:pStyle w:val="TableText"/>
              <w:keepNext w:val="0"/>
            </w:pPr>
            <w:r>
              <w:t>Interview marks, performance summary and approved practical score.</w:t>
            </w:r>
          </w:p>
        </w:tc>
      </w:tr>
      <w:tr>
        <w:trPr>
          <w:cantSplit/>
        </w:trPr>
        <w:tc>
          <w:tcPr>
            <w:tcW w:type="dxa" w:w="1123"/>
            <w:vAlign w:val="center"/>
          </w:tcPr>
          <w:p>
            <w:pPr>
              <w:pStyle w:val="TableText"/>
              <w:keepNext w:val="0"/>
              <w:jc w:val="center"/>
            </w:pPr>
            <w:r>
              <w:t>8 Rank</w:t>
            </w:r>
          </w:p>
        </w:tc>
        <w:tc>
          <w:tcPr>
            <w:tcW w:type="dxa" w:w="3715"/>
            <w:vAlign w:val="center"/>
          </w:tcPr>
          <w:p>
            <w:pPr>
              <w:pStyle w:val="TableText"/>
              <w:keepNext w:val="0"/>
            </w:pPr>
            <w:r>
              <w:t>Calculate using current compatible saved components; inspect/export.</w:t>
            </w:r>
          </w:p>
        </w:tc>
        <w:tc>
          <w:tcPr>
            <w:tcW w:type="dxa" w:w="4522"/>
            <w:vAlign w:val="center"/>
          </w:tcPr>
          <w:p>
            <w:pPr>
              <w:pStyle w:val="TableText"/>
              <w:keepNext w:val="0"/>
            </w:pPr>
            <w:r>
              <w:t>Final ranking and private evidence-linked report; human decision.</w:t>
            </w:r>
          </w:p>
        </w:tc>
      </w:tr>
    </w:tbl>
    <w:p>
      <w:pPr>
        <w:pStyle w:val="TableGap"/>
        <w:keepNext w:val="0"/>
      </w:pPr>
    </w:p>
    <w:p>
      <w:bookmarkStart w:id="10" w:name="SRS_10"/>
      <w:pPr>
        <w:pStyle w:val="Heading3"/>
      </w:pPr>
      <w:r>
        <w:t>2.1.2 System boundary and external dependencies</w:t>
      </w:r>
      <w:bookmarkEnd w:id="10"/>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376"/>
        <w:gridCol w:w="3197"/>
        <w:gridCol w:w="3787"/>
      </w:tblGrid>
      <w:tr>
        <w:trPr>
          <w:tblHeader/>
          <w:cantSplit/>
        </w:trPr>
        <w:tc>
          <w:tcPr>
            <w:tcW w:type="dxa" w:w="2376"/>
            <w:vAlign w:val="center"/>
            <w:shd w:fill="EEEEEE" w:val="clear"/>
          </w:tcPr>
          <w:p>
            <w:pPr>
              <w:pStyle w:val="TableText"/>
              <w:keepNext w:val="0"/>
            </w:pPr>
            <w:r>
              <w:rPr>
                <w:b/>
              </w:rPr>
              <w:t>Component / dependency</w:t>
            </w:r>
          </w:p>
        </w:tc>
        <w:tc>
          <w:tcPr>
            <w:tcW w:type="dxa" w:w="3197"/>
            <w:vAlign w:val="center"/>
            <w:shd w:fill="EEEEEE" w:val="clear"/>
          </w:tcPr>
          <w:p>
            <w:pPr>
              <w:pStyle w:val="TableText"/>
              <w:keepNext w:val="0"/>
            </w:pPr>
            <w:r>
              <w:rPr>
                <w:b/>
              </w:rPr>
              <w:t>Responsibility</w:t>
            </w:r>
          </w:p>
        </w:tc>
        <w:tc>
          <w:tcPr>
            <w:tcW w:type="dxa" w:w="3787"/>
            <w:vAlign w:val="center"/>
            <w:shd w:fill="EEEEEE" w:val="clear"/>
          </w:tcPr>
          <w:p>
            <w:pPr>
              <w:pStyle w:val="TableText"/>
              <w:keepNext w:val="0"/>
            </w:pPr>
            <w:r>
              <w:rPr>
                <w:b/>
              </w:rPr>
              <w:t>Boundary / failure behavior</w:t>
            </w:r>
          </w:p>
        </w:tc>
      </w:tr>
      <w:tr>
        <w:trPr>
          <w:cantSplit/>
        </w:trPr>
        <w:tc>
          <w:tcPr>
            <w:tcW w:type="dxa" w:w="2376"/>
            <w:vAlign w:val="center"/>
          </w:tcPr>
          <w:p>
            <w:pPr>
              <w:pStyle w:val="TableText"/>
              <w:keepNext w:val="0"/>
            </w:pPr>
            <w:r>
              <w:t>Web frontend and FastAPI</w:t>
            </w:r>
          </w:p>
        </w:tc>
        <w:tc>
          <w:tcPr>
            <w:tcW w:type="dxa" w:w="3197"/>
            <w:vAlign w:val="center"/>
          </w:tcPr>
          <w:p>
            <w:pPr>
              <w:pStyle w:val="TableText"/>
              <w:keepNext w:val="0"/>
            </w:pPr>
            <w:r>
              <w:t>Interviewer/candidate APIs, state, validation and UI.</w:t>
            </w:r>
          </w:p>
        </w:tc>
        <w:tc>
          <w:tcPr>
            <w:tcW w:type="dxa" w:w="3787"/>
            <w:vAlign w:val="center"/>
          </w:tcPr>
          <w:p>
            <w:pPr>
              <w:pStyle w:val="TableText"/>
              <w:keepNext w:val="0"/>
            </w:pPr>
            <w:r>
              <w:t>Private resources require role/ownership scope.</w:t>
            </w:r>
          </w:p>
        </w:tc>
      </w:tr>
      <w:tr>
        <w:trPr>
          <w:cantSplit/>
        </w:trPr>
        <w:tc>
          <w:tcPr>
            <w:tcW w:type="dxa" w:w="2376"/>
            <w:vAlign w:val="center"/>
          </w:tcPr>
          <w:p>
            <w:pPr>
              <w:pStyle w:val="TableText"/>
              <w:keepNext w:val="0"/>
            </w:pPr>
            <w:r>
              <w:t>PostgreSQL + pgvector</w:t>
            </w:r>
          </w:p>
        </w:tc>
        <w:tc>
          <w:tcPr>
            <w:tcW w:type="dxa" w:w="3197"/>
            <w:vAlign w:val="center"/>
          </w:tcPr>
          <w:p>
            <w:pPr>
              <w:pStyle w:val="TableText"/>
              <w:keepNext w:val="0"/>
            </w:pPr>
            <w:r>
              <w:t>Recruitment data, provenance, workflow records and vectors.</w:t>
            </w:r>
          </w:p>
        </w:tc>
        <w:tc>
          <w:tcPr>
            <w:tcW w:type="dxa" w:w="3787"/>
            <w:vAlign w:val="center"/>
          </w:tcPr>
          <w:p>
            <w:pPr>
              <w:pStyle w:val="TableText"/>
              <w:keepNext w:val="0"/>
            </w:pPr>
            <w:r>
              <w:t>Not a shared public vector database.</w:t>
            </w:r>
          </w:p>
        </w:tc>
      </w:tr>
      <w:tr>
        <w:trPr>
          <w:cantSplit/>
        </w:trPr>
        <w:tc>
          <w:tcPr>
            <w:tcW w:type="dxa" w:w="2376"/>
            <w:vAlign w:val="center"/>
          </w:tcPr>
          <w:p>
            <w:pPr>
              <w:pStyle w:val="TableText"/>
              <w:keepNext w:val="0"/>
            </w:pPr>
            <w:r>
              <w:t>Ollama + nomic-embed-text</w:t>
            </w:r>
          </w:p>
        </w:tc>
        <w:tc>
          <w:tcPr>
            <w:tcW w:type="dxa" w:w="3197"/>
            <w:vAlign w:val="center"/>
          </w:tcPr>
          <w:p>
            <w:pPr>
              <w:pStyle w:val="TableText"/>
              <w:keepNext w:val="0"/>
            </w:pPr>
            <w:r>
              <w:t>Local/container embedding generation.</w:t>
            </w:r>
          </w:p>
        </w:tc>
        <w:tc>
          <w:tcPr>
            <w:tcW w:type="dxa" w:w="3787"/>
            <w:vAlign w:val="center"/>
          </w:tcPr>
          <w:p>
            <w:pPr>
              <w:pStyle w:val="TableText"/>
              <w:keepNext w:val="0"/>
            </w:pPr>
            <w:r>
              <w:t>Initialization and model identity must pass before dependent work.</w:t>
            </w:r>
          </w:p>
        </w:tc>
      </w:tr>
      <w:tr>
        <w:trPr>
          <w:cantSplit/>
        </w:trPr>
        <w:tc>
          <w:tcPr>
            <w:tcW w:type="dxa" w:w="2376"/>
            <w:vAlign w:val="center"/>
          </w:tcPr>
          <w:p>
            <w:pPr>
              <w:pStyle w:val="TableText"/>
              <w:keepNext w:val="0"/>
            </w:pPr>
            <w:r>
              <w:t>Configured Gemini service</w:t>
            </w:r>
          </w:p>
        </w:tc>
        <w:tc>
          <w:tcPr>
            <w:tcW w:type="dxa" w:w="3197"/>
            <w:vAlign w:val="center"/>
          </w:tcPr>
          <w:p>
            <w:pPr>
              <w:pStyle w:val="TableText"/>
              <w:keepNext w:val="0"/>
            </w:pPr>
            <w:r>
              <w:t>JD generation, tool routing, evidence analysis and AI reviews.</w:t>
            </w:r>
          </w:p>
        </w:tc>
        <w:tc>
          <w:tcPr>
            <w:tcW w:type="dxa" w:w="3787"/>
            <w:vAlign w:val="center"/>
          </w:tcPr>
          <w:p>
            <w:pPr>
              <w:pStyle w:val="TableText"/>
              <w:keepNext w:val="0"/>
            </w:pPr>
            <w:r>
              <w:t>Internet, valid credentials and quota required; failures are not scores.</w:t>
            </w:r>
          </w:p>
        </w:tc>
      </w:tr>
      <w:tr>
        <w:trPr>
          <w:cantSplit/>
        </w:trPr>
        <w:tc>
          <w:tcPr>
            <w:tcW w:type="dxa" w:w="2376"/>
            <w:vAlign w:val="center"/>
          </w:tcPr>
          <w:p>
            <w:pPr>
              <w:pStyle w:val="TableText"/>
              <w:keepNext w:val="0"/>
            </w:pPr>
            <w:r>
              <w:t>Google Sheets / Drive</w:t>
            </w:r>
          </w:p>
        </w:tc>
        <w:tc>
          <w:tcPr>
            <w:tcW w:type="dxa" w:w="3197"/>
            <w:vAlign w:val="center"/>
          </w:tcPr>
          <w:p>
            <w:pPr>
              <w:pStyle w:val="TableText"/>
              <w:keepNext w:val="0"/>
            </w:pPr>
            <w:r>
              <w:t>Read-only application intake and authorized file retrieval.</w:t>
            </w:r>
          </w:p>
        </w:tc>
        <w:tc>
          <w:tcPr>
            <w:tcW w:type="dxa" w:w="3787"/>
            <w:vAlign w:val="center"/>
          </w:tcPr>
          <w:p>
            <w:pPr>
              <w:pStyle w:val="TableText"/>
              <w:keepNext w:val="0"/>
            </w:pPr>
            <w:r>
              <w:t>No form/source deletion or write capability is assumed.</w:t>
            </w:r>
          </w:p>
        </w:tc>
      </w:tr>
      <w:tr>
        <w:trPr>
          <w:cantSplit/>
        </w:trPr>
        <w:tc>
          <w:tcPr>
            <w:tcW w:type="dxa" w:w="2376"/>
            <w:vAlign w:val="center"/>
          </w:tcPr>
          <w:p>
            <w:pPr>
              <w:pStyle w:val="TableText"/>
              <w:keepNext w:val="0"/>
            </w:pPr>
            <w:r>
              <w:t>Discord + job-posting MCP</w:t>
            </w:r>
          </w:p>
        </w:tc>
        <w:tc>
          <w:tcPr>
            <w:tcW w:type="dxa" w:w="3197"/>
            <w:vAlign w:val="center"/>
          </w:tcPr>
          <w:p>
            <w:pPr>
              <w:pStyle w:val="TableText"/>
              <w:keepNext w:val="0"/>
            </w:pPr>
            <w:r>
              <w:t>Confirmed job publication.</w:t>
            </w:r>
          </w:p>
        </w:tc>
        <w:tc>
          <w:tcPr>
            <w:tcW w:type="dxa" w:w="3787"/>
            <w:vAlign w:val="center"/>
          </w:tcPr>
          <w:p>
            <w:pPr>
              <w:pStyle w:val="TableText"/>
              <w:keepNext w:val="0"/>
            </w:pPr>
            <w:r>
              <w:t>External effects occur only through the reviewed operation.</w:t>
            </w:r>
          </w:p>
        </w:tc>
      </w:tr>
      <w:tr>
        <w:trPr>
          <w:cantSplit/>
        </w:trPr>
        <w:tc>
          <w:tcPr>
            <w:tcW w:type="dxa" w:w="2376"/>
            <w:vAlign w:val="center"/>
          </w:tcPr>
          <w:p>
            <w:pPr>
              <w:pStyle w:val="TableText"/>
              <w:keepNext w:val="0"/>
            </w:pPr>
            <w:r>
              <w:t>SMTP + scheduling MCP</w:t>
            </w:r>
          </w:p>
        </w:tc>
        <w:tc>
          <w:tcPr>
            <w:tcW w:type="dxa" w:w="3197"/>
            <w:vAlign w:val="center"/>
          </w:tcPr>
          <w:p>
            <w:pPr>
              <w:pStyle w:val="TableText"/>
              <w:keepNext w:val="0"/>
            </w:pPr>
            <w:r>
              <w:t>Invitation/reschedule delivery and calendar attachments.</w:t>
            </w:r>
          </w:p>
        </w:tc>
        <w:tc>
          <w:tcPr>
            <w:tcW w:type="dxa" w:w="3787"/>
            <w:vAlign w:val="center"/>
          </w:tcPr>
          <w:p>
            <w:pPr>
              <w:pStyle w:val="TableText"/>
              <w:keepNext w:val="0"/>
            </w:pPr>
            <w:r>
              <w:t>Uncertain sends require reconciliation, not blind retry.</w:t>
            </w:r>
          </w:p>
        </w:tc>
      </w:tr>
      <w:tr>
        <w:trPr>
          <w:cantSplit/>
        </w:trPr>
        <w:tc>
          <w:tcPr>
            <w:tcW w:type="dxa" w:w="2376"/>
            <w:vAlign w:val="center"/>
          </w:tcPr>
          <w:p>
            <w:pPr>
              <w:pStyle w:val="TableText"/>
              <w:keepNext w:val="0"/>
            </w:pPr>
            <w:r>
              <w:t>LiveKit Cloud</w:t>
            </w:r>
          </w:p>
        </w:tc>
        <w:tc>
          <w:tcPr>
            <w:tcW w:type="dxa" w:w="3197"/>
            <w:vAlign w:val="center"/>
          </w:tcPr>
          <w:p>
            <w:pPr>
              <w:pStyle w:val="TableText"/>
              <w:keepNext w:val="0"/>
            </w:pPr>
            <w:r>
              <w:t>Private one-to-one WebRTC media and scoped room tokens.</w:t>
            </w:r>
          </w:p>
        </w:tc>
        <w:tc>
          <w:tcPr>
            <w:tcW w:type="dxa" w:w="3787"/>
            <w:vAlign w:val="center"/>
          </w:tcPr>
          <w:p>
            <w:pPr>
              <w:pStyle w:val="TableText"/>
              <w:keepNext w:val="0"/>
            </w:pPr>
            <w:r>
              <w:t>Media connects directly, independently of a website tunnel.</w:t>
            </w:r>
          </w:p>
        </w:tc>
      </w:tr>
      <w:tr>
        <w:trPr>
          <w:cantSplit/>
        </w:trPr>
        <w:tc>
          <w:tcPr>
            <w:tcW w:type="dxa" w:w="2376"/>
            <w:vAlign w:val="center"/>
          </w:tcPr>
          <w:p>
            <w:pPr>
              <w:pStyle w:val="TableText"/>
              <w:keepNext w:val="0"/>
            </w:pPr>
            <w:r>
              <w:t>Deepgram + transcription worker</w:t>
            </w:r>
          </w:p>
        </w:tc>
        <w:tc>
          <w:tcPr>
            <w:tcW w:type="dxa" w:w="3197"/>
            <w:vAlign w:val="center"/>
          </w:tcPr>
          <w:p>
            <w:pPr>
              <w:pStyle w:val="TableText"/>
              <w:keepNext w:val="0"/>
            </w:pPr>
            <w:r>
              <w:t>Optional live microphone transcription.</w:t>
            </w:r>
          </w:p>
        </w:tc>
        <w:tc>
          <w:tcPr>
            <w:tcW w:type="dxa" w:w="3787"/>
            <w:vAlign w:val="center"/>
          </w:tcPr>
          <w:p>
            <w:pPr>
              <w:pStyle w:val="TableText"/>
              <w:keepNext w:val="0"/>
            </w:pPr>
            <w:r>
              <w:t>Both consents and interviewer start; provider loss does not end the call.</w:t>
            </w:r>
          </w:p>
        </w:tc>
      </w:tr>
      <w:tr>
        <w:trPr>
          <w:cantSplit/>
        </w:trPr>
        <w:tc>
          <w:tcPr>
            <w:tcW w:type="dxa" w:w="2376"/>
            <w:vAlign w:val="center"/>
          </w:tcPr>
          <w:p>
            <w:pPr>
              <w:pStyle w:val="TableText"/>
              <w:keepNext w:val="0"/>
            </w:pPr>
            <w:r>
              <w:t>Local OCR and identity models</w:t>
            </w:r>
          </w:p>
        </w:tc>
        <w:tc>
          <w:tcPr>
            <w:tcW w:type="dxa" w:w="3197"/>
            <w:vAlign w:val="center"/>
          </w:tcPr>
          <w:p>
            <w:pPr>
              <w:pStyle w:val="TableText"/>
              <w:keepNext w:val="0"/>
            </w:pPr>
            <w:r>
              <w:t>Scanned CV text; optional one-to-one face comparison.</w:t>
            </w:r>
          </w:p>
        </w:tc>
        <w:tc>
          <w:tcPr>
            <w:tcW w:type="dxa" w:w="3787"/>
            <w:vAlign w:val="center"/>
          </w:tcPr>
          <w:p>
            <w:pPr>
              <w:pStyle w:val="TableText"/>
              <w:keepNext w:val="0"/>
            </w:pPr>
            <w:r>
              <w:t>Models/limits are locally configured; no face data is sent to the LLM.</w:t>
            </w:r>
          </w:p>
        </w:tc>
      </w:tr>
    </w:tbl>
    <w:p>
      <w:pPr>
        <w:pStyle w:val="TableGap"/>
        <w:keepNext w:val="0"/>
      </w:pPr>
    </w:p>
    <w:p>
      <w:bookmarkStart w:id="11" w:name="SRS_11"/>
      <w:pPr>
        <w:pStyle w:val="Heading3"/>
      </w:pPr>
      <w:r>
        <w:t>2.1.3 User characteristics and assumptions</w:t>
      </w:r>
      <w:bookmarkEnd w:id="11"/>
    </w:p>
    <w:p>
      <w:r>
        <w:t>Interviewers use a modern desktop browser and can review job criteria and evidence. Candidates need a supported browser, a private link and suitable microphone/camera permissions. A narrow screen may reflow the interface; desktop side-by-side layout is the primary interview-console experience.</w:t>
      </w:r>
    </w:p>
    <w:p>
      <w:r>
        <w:t>An operator provisions the interviewer account, persistent storage, database, integration permissions, service credentials and model assets. Internet connectivity is required for cloud services and initial model downloads. Containerized embedding removes the need for a separately configured host Ollama installation, but does not make the complete system offline or configuration-free.</w:t>
      </w:r>
    </w:p>
    <w:p>
      <w:r>
        <w:t>Application documents and reference guides are assumed to be lawfully supplied by their owners. Optional permissions remain voluntary. Model findings may be wrong: uncertainty, source gaps and verification needs must be shown rather than concealed. Photo matching is an optional aid only.</w:t>
      </w:r>
    </w:p>
    <w:p>
      <w:bookmarkStart w:id="12" w:name="SRS_12"/>
      <w:pPr>
        <w:pStyle w:val="Heading3"/>
      </w:pPr>
      <w:r>
        <w:t>2.1.4 Score and state model</w:t>
      </w:r>
      <w:bookmarkEnd w:id="12"/>
    </w:p>
    <w:p>
      <w:r>
        <w:t>All component scores use a 0–100 percentage scale. CV evidence labels inform deterministic requirement coverage; interview and practical numeric marks are evidence-supported AI assessments. Their labels are not interchangeable scoring formulas.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109"/>
        <w:gridCol w:w="5112"/>
        <w:gridCol w:w="3139"/>
      </w:tblGrid>
      <w:tr>
        <w:trPr>
          <w:tblHeader/>
          <w:cantSplit/>
        </w:trPr>
        <w:tc>
          <w:tcPr>
            <w:tcW w:type="dxa" w:w="1109"/>
            <w:vAlign w:val="center"/>
            <w:shd w:fill="EEEEEE" w:val="clear"/>
          </w:tcPr>
          <w:p>
            <w:pPr>
              <w:pStyle w:val="TableText"/>
              <w:keepNext w:val="0"/>
              <w:jc w:val="center"/>
            </w:pPr>
            <w:r>
              <w:rPr>
                <w:b/>
              </w:rPr>
              <w:t>Score type</w:t>
            </w:r>
          </w:p>
        </w:tc>
        <w:tc>
          <w:tcPr>
            <w:tcW w:type="dxa" w:w="5112"/>
            <w:vAlign w:val="center"/>
            <w:shd w:fill="EEEEEE" w:val="clear"/>
          </w:tcPr>
          <w:p>
            <w:pPr>
              <w:pStyle w:val="TableText"/>
              <w:keepNext w:val="0"/>
            </w:pPr>
            <w:r>
              <w:rPr>
                <w:b/>
              </w:rPr>
              <w:t>Policy</w:t>
            </w:r>
          </w:p>
        </w:tc>
        <w:tc>
          <w:tcPr>
            <w:tcW w:type="dxa" w:w="3139"/>
            <w:vAlign w:val="center"/>
            <w:shd w:fill="EEEEEE" w:val="clear"/>
          </w:tcPr>
          <w:p>
            <w:pPr>
              <w:pStyle w:val="TableText"/>
              <w:keepNext w:val="0"/>
            </w:pPr>
            <w:r>
              <w:rPr>
                <w:b/>
              </w:rPr>
              <w:t>Incomplete behavior</w:t>
            </w:r>
          </w:p>
        </w:tc>
      </w:tr>
      <w:tr>
        <w:trPr>
          <w:cantSplit/>
        </w:trPr>
        <w:tc>
          <w:tcPr>
            <w:tcW w:type="dxa" w:w="1109"/>
            <w:vAlign w:val="center"/>
          </w:tcPr>
          <w:p>
            <w:pPr>
              <w:pStyle w:val="TableText"/>
              <w:keepNext w:val="0"/>
              <w:jc w:val="center"/>
            </w:pPr>
            <w:r>
              <w:t>CV</w:t>
            </w:r>
          </w:p>
        </w:tc>
        <w:tc>
          <w:tcPr>
            <w:tcW w:type="dxa" w:w="5112"/>
            <w:vAlign w:val="center"/>
          </w:tcPr>
          <w:p>
            <w:pPr>
              <w:pStyle w:val="TableText"/>
              <w:keepNext w:val="0"/>
            </w:pPr>
            <w:r>
              <w:t>Met = 1, partial = 0.5, unmet = 0; approved requirement/category weights. Defaults: skills 50%, experience 30%, qualifications 20%.</w:t>
            </w:r>
          </w:p>
        </w:tc>
        <w:tc>
          <w:tcPr>
            <w:tcW w:type="dxa" w:w="3139"/>
            <w:vAlign w:val="center"/>
          </w:tcPr>
          <w:p>
            <w:pPr>
              <w:pStyle w:val="TableText"/>
              <w:keepNext w:val="0"/>
            </w:pPr>
            <w:r>
              <w:t>Unreadable, failed or stale evidence is unranked.</w:t>
            </w:r>
          </w:p>
        </w:tc>
      </w:tr>
      <w:tr>
        <w:trPr>
          <w:cantSplit/>
        </w:trPr>
        <w:tc>
          <w:tcPr>
            <w:tcW w:type="dxa" w:w="1109"/>
            <w:vAlign w:val="center"/>
          </w:tcPr>
          <w:p>
            <w:pPr>
              <w:pStyle w:val="TableText"/>
              <w:keepNext w:val="0"/>
              <w:jc w:val="center"/>
            </w:pPr>
            <w:r>
              <w:t>Interview</w:t>
            </w:r>
          </w:p>
        </w:tc>
        <w:tc>
          <w:tcPr>
            <w:tcW w:type="dxa" w:w="5112"/>
            <w:vAlign w:val="center"/>
          </w:tcPr>
          <w:p>
            <w:pPr>
              <w:pStyle w:val="TableText"/>
              <w:keepNext w:val="0"/>
            </w:pPr>
            <w:r>
              <w:t>Four equally weighted dimensions: relevance, accuracy, completeness and quality. Average validated included-question scores.</w:t>
            </w:r>
          </w:p>
        </w:tc>
        <w:tc>
          <w:tcPr>
            <w:tcW w:type="dxa" w:w="3139"/>
            <w:vAlign w:val="center"/>
          </w:tcPr>
          <w:p>
            <w:pPr>
              <w:pStyle w:val="TableText"/>
              <w:keepNext w:val="0"/>
            </w:pPr>
            <w:r>
              <w:t>Housekeeping excluded; verified mismatch/unanswered = 0; uncertain/failed analysis remains incomplete.</w:t>
            </w:r>
          </w:p>
        </w:tc>
      </w:tr>
      <w:tr>
        <w:trPr>
          <w:cantSplit/>
        </w:trPr>
        <w:tc>
          <w:tcPr>
            <w:tcW w:type="dxa" w:w="1109"/>
            <w:vAlign w:val="center"/>
          </w:tcPr>
          <w:p>
            <w:pPr>
              <w:pStyle w:val="TableText"/>
              <w:keepNext w:val="0"/>
              <w:jc w:val="center"/>
            </w:pPr>
            <w:r>
              <w:t>Practical</w:t>
            </w:r>
          </w:p>
        </w:tc>
        <w:tc>
          <w:tcPr>
            <w:tcW w:type="dxa" w:w="5112"/>
            <w:vAlign w:val="center"/>
          </w:tcPr>
          <w:p>
            <w:pPr>
              <w:pStyle w:val="TableText"/>
              <w:keepNext w:val="0"/>
            </w:pPr>
            <w:r>
              <w:t>Verified AI correctness result, then explicit interviewer approval of that numerical result.</w:t>
            </w:r>
          </w:p>
        </w:tc>
        <w:tc>
          <w:tcPr>
            <w:tcW w:type="dxa" w:w="3139"/>
            <w:vAlign w:val="center"/>
          </w:tcPr>
          <w:p>
            <w:pPr>
              <w:pStyle w:val="TableText"/>
              <w:keepNext w:val="0"/>
            </w:pPr>
            <w:r>
              <w:t>Unsubmitted, unverified, failed or unapproved results do not contribute as zero.</w:t>
            </w:r>
          </w:p>
        </w:tc>
      </w:tr>
      <w:tr>
        <w:trPr>
          <w:cantSplit/>
        </w:trPr>
        <w:tc>
          <w:tcPr>
            <w:tcW w:type="dxa" w:w="1109"/>
            <w:vAlign w:val="center"/>
          </w:tcPr>
          <w:p>
            <w:pPr>
              <w:pStyle w:val="TableText"/>
              <w:keepNext w:val="0"/>
              <w:jc w:val="center"/>
            </w:pPr>
            <w:r>
              <w:t>Final</w:t>
            </w:r>
          </w:p>
        </w:tc>
        <w:tc>
          <w:tcPr>
            <w:tcW w:type="dxa" w:w="5112"/>
            <w:vAlign w:val="center"/>
          </w:tcPr>
          <w:p>
            <w:pPr>
              <w:pStyle w:val="TableText"/>
              <w:keepNext w:val="0"/>
            </w:pPr>
            <w:r>
              <w:t>Interview 60% + CV 30% + approved practical 10%. Exact totals govern ties.</w:t>
            </w:r>
          </w:p>
        </w:tc>
        <w:tc>
          <w:tcPr>
            <w:tcW w:type="dxa" w:w="3139"/>
            <w:vAlign w:val="center"/>
          </w:tcPr>
          <w:p>
            <w:pPr>
              <w:pStyle w:val="TableText"/>
              <w:keepNext w:val="0"/>
            </w:pPr>
            <w:r>
              <w:t>All required components must be current and compatible; weights are not silently redistributed.</w:t>
            </w:r>
          </w:p>
        </w:tc>
      </w:tr>
    </w:tbl>
    <w:p>
      <w:pPr>
        <w:pStyle w:val="TableGap"/>
        <w:keepNext w:val="0"/>
      </w:pPr>
    </w:p>
    <w:p>
      <w:pPr>
        <w:jc w:val="center"/>
      </w:pPr>
      <m:oMathPara>
        <m:oMath>
          <m:r>
            <m:rPr/>
            <w:rPr/>
            <m:t>Final score = 0.60 × Interview + 0.30 × CV + 0.10 × Practical</m:t>
          </m:r>
        </m:oMath>
      </m:oMathPara>
    </w:p>
    <w:p>
      <w:r>
        <w:t>Example: interview 80, CV 70 and practical 90 produce a final score of 78.00%. Display percentages round half-up to two decimals; exact totals determine shared ranks, for example 1, 1, 3. Equivalent-quality candidates may legitimately tie.</w:t>
      </w:r>
    </w:p>
    <w:p>
      <w:bookmarkStart w:id="13" w:name="SRS_13"/>
      <w:pPr>
        <w:pStyle w:val="Heading2"/>
      </w:pPr>
      <w:r>
        <w:t>2.2 Technical platform</w:t>
      </w:r>
      <w:bookmarkEnd w:id="13"/>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656"/>
        <w:gridCol w:w="3802"/>
        <w:gridCol w:w="3902"/>
      </w:tblGrid>
      <w:tr>
        <w:trPr>
          <w:tblHeader/>
          <w:cantSplit/>
        </w:trPr>
        <w:tc>
          <w:tcPr>
            <w:tcW w:type="dxa" w:w="1656"/>
            <w:vAlign w:val="center"/>
            <w:shd w:fill="EEEEEE" w:val="clear"/>
          </w:tcPr>
          <w:p>
            <w:pPr>
              <w:pStyle w:val="TableText"/>
              <w:keepNext w:val="0"/>
            </w:pPr>
            <w:r>
              <w:rPr>
                <w:b/>
              </w:rPr>
              <w:t>Layer</w:t>
            </w:r>
          </w:p>
        </w:tc>
        <w:tc>
          <w:tcPr>
            <w:tcW w:type="dxa" w:w="3802"/>
            <w:vAlign w:val="center"/>
            <w:shd w:fill="EEEEEE" w:val="clear"/>
          </w:tcPr>
          <w:p>
            <w:pPr>
              <w:pStyle w:val="TableText"/>
              <w:keepNext w:val="0"/>
            </w:pPr>
            <w:r>
              <w:rPr>
                <w:b/>
              </w:rPr>
              <w:t>Technology / execution</w:t>
            </w:r>
          </w:p>
        </w:tc>
        <w:tc>
          <w:tcPr>
            <w:tcW w:type="dxa" w:w="3902"/>
            <w:vAlign w:val="center"/>
            <w:shd w:fill="EEEEEE" w:val="clear"/>
          </w:tcPr>
          <w:p>
            <w:pPr>
              <w:pStyle w:val="TableText"/>
              <w:keepNext w:val="0"/>
            </w:pPr>
            <w:r>
              <w:rPr>
                <w:b/>
              </w:rPr>
              <w:t>Requirement implication</w:t>
            </w:r>
          </w:p>
        </w:tc>
      </w:tr>
      <w:tr>
        <w:trPr>
          <w:cantSplit/>
        </w:trPr>
        <w:tc>
          <w:tcPr>
            <w:tcW w:type="dxa" w:w="1656"/>
            <w:vAlign w:val="center"/>
          </w:tcPr>
          <w:p>
            <w:pPr>
              <w:pStyle w:val="TableText"/>
              <w:keepNext w:val="0"/>
            </w:pPr>
            <w:r>
              <w:t>Client</w:t>
            </w:r>
          </w:p>
        </w:tc>
        <w:tc>
          <w:tcPr>
            <w:tcW w:type="dxa" w:w="3802"/>
            <w:vAlign w:val="center"/>
          </w:tcPr>
          <w:p>
            <w:pPr>
              <w:pStyle w:val="TableText"/>
              <w:keepNext w:val="0"/>
            </w:pPr>
            <w:r>
              <w:t>React 19, TypeScript, Vite, Tailwind CSS; Nginx delivery.</w:t>
            </w:r>
          </w:p>
        </w:tc>
        <w:tc>
          <w:tcPr>
            <w:tcW w:type="dxa" w:w="3902"/>
            <w:vAlign w:val="center"/>
          </w:tcPr>
          <w:p>
            <w:pPr>
              <w:pStyle w:val="TableText"/>
              <w:keepNext w:val="0"/>
            </w:pPr>
            <w:r>
              <w:t>Browser UI calls the backend through /api; no provider keys in the client.</w:t>
            </w:r>
          </w:p>
        </w:tc>
      </w:tr>
      <w:tr>
        <w:trPr>
          <w:cantSplit/>
        </w:trPr>
        <w:tc>
          <w:tcPr>
            <w:tcW w:type="dxa" w:w="1656"/>
            <w:vAlign w:val="center"/>
          </w:tcPr>
          <w:p>
            <w:pPr>
              <w:pStyle w:val="TableText"/>
              <w:keepNext w:val="0"/>
            </w:pPr>
            <w:r>
              <w:t>Application</w:t>
            </w:r>
          </w:p>
        </w:tc>
        <w:tc>
          <w:tcPr>
            <w:tcW w:type="dxa" w:w="3802"/>
            <w:vAlign w:val="center"/>
          </w:tcPr>
          <w:p>
            <w:pPr>
              <w:pStyle w:val="TableText"/>
              <w:keepNext w:val="0"/>
            </w:pPr>
            <w:r>
              <w:t>Python 3.12, FastAPI, Pydantic, SQLAlchemy and Alembic.</w:t>
            </w:r>
          </w:p>
        </w:tc>
        <w:tc>
          <w:tcPr>
            <w:tcW w:type="dxa" w:w="3902"/>
            <w:vAlign w:val="center"/>
          </w:tcPr>
          <w:p>
            <w:pPr>
              <w:pStyle w:val="TableText"/>
              <w:keepNext w:val="0"/>
            </w:pPr>
            <w:r>
              <w:t>Validated API contracts, shared services and versioned DB migrations.</w:t>
            </w:r>
          </w:p>
        </w:tc>
      </w:tr>
      <w:tr>
        <w:trPr>
          <w:cantSplit/>
        </w:trPr>
        <w:tc>
          <w:tcPr>
            <w:tcW w:type="dxa" w:w="1656"/>
            <w:vAlign w:val="center"/>
          </w:tcPr>
          <w:p>
            <w:pPr>
              <w:pStyle w:val="TableText"/>
              <w:keepNext w:val="0"/>
            </w:pPr>
            <w:r>
              <w:t>Persistence</w:t>
            </w:r>
          </w:p>
        </w:tc>
        <w:tc>
          <w:tcPr>
            <w:tcW w:type="dxa" w:w="3802"/>
            <w:vAlign w:val="center"/>
          </w:tcPr>
          <w:p>
            <w:pPr>
              <w:pStyle w:val="TableText"/>
              <w:keepNext w:val="0"/>
            </w:pPr>
            <w:r>
              <w:t>PostgreSQL 16 with pgvector; persistent private storage.</w:t>
            </w:r>
          </w:p>
        </w:tc>
        <w:tc>
          <w:tcPr>
            <w:tcW w:type="dxa" w:w="3902"/>
            <w:vAlign w:val="center"/>
          </w:tcPr>
          <w:p>
            <w:pPr>
              <w:pStyle w:val="TableText"/>
              <w:keepNext w:val="0"/>
            </w:pPr>
            <w:r>
              <w:t>Owned relational state, 768-dimension vectors and protected file/model volumes.</w:t>
            </w:r>
          </w:p>
        </w:tc>
      </w:tr>
      <w:tr>
        <w:trPr>
          <w:cantSplit/>
        </w:trPr>
        <w:tc>
          <w:tcPr>
            <w:tcW w:type="dxa" w:w="1656"/>
            <w:vAlign w:val="center"/>
          </w:tcPr>
          <w:p>
            <w:pPr>
              <w:pStyle w:val="TableText"/>
              <w:keepNext w:val="0"/>
            </w:pPr>
            <w:r>
              <w:t>AI orchestration</w:t>
            </w:r>
          </w:p>
        </w:tc>
        <w:tc>
          <w:tcPr>
            <w:tcW w:type="dxa" w:w="3802"/>
            <w:vAlign w:val="center"/>
          </w:tcPr>
          <w:p>
            <w:pPr>
              <w:pStyle w:val="TableText"/>
              <w:keepNext w:val="0"/>
            </w:pPr>
            <w:r>
              <w:t>LangGraph / LangChain; configured Gemini generation; Ollama embeddings.</w:t>
            </w:r>
          </w:p>
        </w:tc>
        <w:tc>
          <w:tcPr>
            <w:tcW w:type="dxa" w:w="3902"/>
            <w:vAlign w:val="center"/>
          </w:tcPr>
          <w:p>
            <w:pPr>
              <w:pStyle w:val="TableText"/>
              <w:keepNext w:val="0"/>
            </w:pPr>
            <w:r>
              <w:t>Scoped tools and bounded recovery, not autonomous recruitment authority.</w:t>
            </w:r>
          </w:p>
        </w:tc>
      </w:tr>
      <w:tr>
        <w:trPr>
          <w:cantSplit/>
        </w:trPr>
        <w:tc>
          <w:tcPr>
            <w:tcW w:type="dxa" w:w="1656"/>
            <w:vAlign w:val="center"/>
          </w:tcPr>
          <w:p>
            <w:pPr>
              <w:pStyle w:val="TableText"/>
              <w:keepNext w:val="0"/>
            </w:pPr>
            <w:r>
              <w:t>Documents and media</w:t>
            </w:r>
          </w:p>
        </w:tc>
        <w:tc>
          <w:tcPr>
            <w:tcW w:type="dxa" w:w="3802"/>
            <w:vAlign w:val="center"/>
          </w:tcPr>
          <w:p>
            <w:pPr>
              <w:pStyle w:val="TableText"/>
              <w:keepNext w:val="0"/>
            </w:pPr>
            <w:r>
              <w:t>Native PDF/DOCX extraction, Poppler/Tesseract, isolated report browser, YuNet/SFace.</w:t>
            </w:r>
          </w:p>
        </w:tc>
        <w:tc>
          <w:tcPr>
            <w:tcW w:type="dxa" w:w="3902"/>
            <w:vAlign w:val="center"/>
          </w:tcPr>
          <w:p>
            <w:pPr>
              <w:pStyle w:val="TableText"/>
              <w:keepNext w:val="0"/>
            </w:pPr>
            <w:r>
              <w:t>Local processing is bounded and source-aware; submitted code is never executed.</w:t>
            </w:r>
          </w:p>
        </w:tc>
      </w:tr>
      <w:tr>
        <w:trPr>
          <w:cantSplit/>
        </w:trPr>
        <w:tc>
          <w:tcPr>
            <w:tcW w:type="dxa" w:w="1656"/>
            <w:vAlign w:val="center"/>
          </w:tcPr>
          <w:p>
            <w:pPr>
              <w:pStyle w:val="TableText"/>
              <w:keepNext w:val="0"/>
            </w:pPr>
            <w:r>
              <w:t>Runtime</w:t>
            </w:r>
          </w:p>
        </w:tc>
        <w:tc>
          <w:tcPr>
            <w:tcW w:type="dxa" w:w="3802"/>
            <w:vAlign w:val="center"/>
          </w:tcPr>
          <w:p>
            <w:pPr>
              <w:pStyle w:val="TableText"/>
              <w:keepNext w:val="0"/>
            </w:pPr>
            <w:r>
              <w:t>Docker Compose; backend, frontend, MCP services, transcription worker, database and Ollama.</w:t>
            </w:r>
          </w:p>
        </w:tc>
        <w:tc>
          <w:tcPr>
            <w:tcW w:type="dxa" w:w="3902"/>
            <w:vAlign w:val="center"/>
          </w:tcPr>
          <w:p>
            <w:pPr>
              <w:pStyle w:val="TableText"/>
              <w:keepNext w:val="0"/>
            </w:pPr>
            <w:r>
              <w:t>One-shot ollama-init prepares/validates the model; persistent cache avoids repeated downloads.</w:t>
            </w:r>
          </w:p>
        </w:tc>
      </w:tr>
      <w:tr>
        <w:trPr>
          <w:cantSplit/>
        </w:trPr>
        <w:tc>
          <w:tcPr>
            <w:tcW w:type="dxa" w:w="1656"/>
            <w:vAlign w:val="center"/>
          </w:tcPr>
          <w:p>
            <w:pPr>
              <w:pStyle w:val="TableText"/>
              <w:keepNext w:val="0"/>
            </w:pPr>
            <w:r>
              <w:t>Demo tools</w:t>
            </w:r>
          </w:p>
        </w:tc>
        <w:tc>
          <w:tcPr>
            <w:tcW w:type="dxa" w:w="3802"/>
            <w:vAlign w:val="center"/>
          </w:tcPr>
          <w:p>
            <w:pPr>
              <w:pStyle w:val="TableText"/>
              <w:keepNext w:val="0"/>
            </w:pPr>
            <w:r>
              <w:t>Mailpit and Cloudflare demo profile.</w:t>
            </w:r>
          </w:p>
        </w:tc>
        <w:tc>
          <w:tcPr>
            <w:tcW w:type="dxa" w:w="3902"/>
            <w:vAlign w:val="center"/>
          </w:tcPr>
          <w:p>
            <w:pPr>
              <w:pStyle w:val="TableText"/>
              <w:keepNext w:val="0"/>
            </w:pPr>
            <w:r>
              <w:t>Mailpit is a mail sink; a public tunnel needs explicit safe deployment and synthetic demo data.</w:t>
            </w:r>
          </w:p>
        </w:tc>
      </w:tr>
    </w:tbl>
    <w:p>
      <w:pPr>
        <w:pStyle w:val="TableGap"/>
        <w:keepNext w:val="0"/>
      </w:pPr>
    </w:p>
    <w:p>
      <w:r>
        <w:t>Background work uses in-process asynchronous/threaded execution with persisted run states and recovery handling. This baseline does not include Redis, Celery, a distributed job cluster or a candidate-account subsystem.</w:t>
      </w:r>
    </w:p>
    <w:p>
      <w:bookmarkStart w:id="14" w:name="SRS_14"/>
      <w:pPr>
        <w:pStyle w:val="Heading1"/>
      </w:pPr>
      <w:r>
        <w:t>3 Functional Requirements</w:t>
      </w:r>
      <w:bookmarkEnd w:id="14"/>
    </w:p>
    <w:p>
      <w:bookmarkStart w:id="15" w:name="SRS_15"/>
      <w:pPr>
        <w:pStyle w:val="Heading2"/>
      </w:pPr>
      <w:r>
        <w:t>3.1 Overview</w:t>
      </w:r>
      <w:bookmarkEnd w:id="15"/>
    </w:p>
    <w:p>
      <w:r>
        <w:t>Each feature below identifies its actors, purpose and mandatory behavior. The requirement table supplies an observable acceptance scenario and limitations. FRxx.yy identifies a requirement; TCxx.yy identifies its corresponding planned acceptance scenario. Test IDs are specification identifiers, not reports of executed tests.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35"/>
        <w:gridCol w:w="6077"/>
        <w:gridCol w:w="2448"/>
      </w:tblGrid>
      <w:tr>
        <w:trPr>
          <w:tblHeader/>
          <w:cantSplit/>
        </w:trPr>
        <w:tc>
          <w:tcPr>
            <w:tcW w:type="dxa" w:w="835"/>
            <w:vAlign w:val="center"/>
            <w:shd w:fill="EEEEEE" w:val="clear"/>
          </w:tcPr>
          <w:p>
            <w:pPr>
              <w:pStyle w:val="TableText"/>
              <w:keepNext w:val="0"/>
              <w:jc w:val="center"/>
            </w:pPr>
            <w:r>
              <w:rPr>
                <w:b/>
              </w:rPr>
              <w:t>No.</w:t>
            </w:r>
          </w:p>
        </w:tc>
        <w:tc>
          <w:tcPr>
            <w:tcW w:type="dxa" w:w="6077"/>
            <w:vAlign w:val="center"/>
            <w:shd w:fill="EEEEEE" w:val="clear"/>
          </w:tcPr>
          <w:p>
            <w:pPr>
              <w:pStyle w:val="TableText"/>
              <w:keepNext w:val="0"/>
            </w:pPr>
            <w:r>
              <w:rPr>
                <w:b/>
              </w:rPr>
              <w:t>Capability</w:t>
            </w:r>
          </w:p>
        </w:tc>
        <w:tc>
          <w:tcPr>
            <w:tcW w:type="dxa" w:w="2448"/>
            <w:vAlign w:val="center"/>
            <w:shd w:fill="EEEEEE" w:val="clear"/>
          </w:tcPr>
          <w:p>
            <w:pPr>
              <w:pStyle w:val="TableText"/>
              <w:keepNext w:val="0"/>
            </w:pPr>
            <w:r>
              <w:rPr>
                <w:b/>
              </w:rPr>
              <w:t>Requirements</w:t>
            </w:r>
          </w:p>
        </w:tc>
      </w:tr>
      <w:tr>
        <w:trPr>
          <w:cantSplit/>
        </w:trPr>
        <w:tc>
          <w:tcPr>
            <w:tcW w:type="dxa" w:w="835"/>
            <w:vAlign w:val="center"/>
          </w:tcPr>
          <w:p>
            <w:pPr>
              <w:pStyle w:val="TableText"/>
              <w:keepNext w:val="0"/>
              <w:jc w:val="center"/>
            </w:pPr>
            <w:r>
              <w:t>01</w:t>
            </w:r>
          </w:p>
        </w:tc>
        <w:tc>
          <w:tcPr>
            <w:tcW w:type="dxa" w:w="6077"/>
            <w:vAlign w:val="center"/>
          </w:tcPr>
          <w:p>
            <w:pPr>
              <w:pStyle w:val="TableText"/>
              <w:keepNext w:val="0"/>
            </w:pPr>
            <w:r>
              <w:t>Interviewer authentication and candidate access</w:t>
            </w:r>
          </w:p>
        </w:tc>
        <w:tc>
          <w:tcPr>
            <w:tcW w:type="dxa" w:w="2448"/>
            <w:vAlign w:val="center"/>
          </w:tcPr>
          <w:p>
            <w:pPr>
              <w:pStyle w:val="TableText"/>
              <w:keepNext w:val="0"/>
            </w:pPr>
            <w:r>
              <w:t>FR01.01 to FR01.05</w:t>
            </w:r>
          </w:p>
        </w:tc>
      </w:tr>
      <w:tr>
        <w:trPr>
          <w:cantSplit/>
        </w:trPr>
        <w:tc>
          <w:tcPr>
            <w:tcW w:type="dxa" w:w="835"/>
            <w:vAlign w:val="center"/>
          </w:tcPr>
          <w:p>
            <w:pPr>
              <w:pStyle w:val="TableText"/>
              <w:keepNext w:val="0"/>
              <w:jc w:val="center"/>
            </w:pPr>
            <w:r>
              <w:t>02</w:t>
            </w:r>
          </w:p>
        </w:tc>
        <w:tc>
          <w:tcPr>
            <w:tcW w:type="dxa" w:w="6077"/>
            <w:vAlign w:val="center"/>
          </w:tcPr>
          <w:p>
            <w:pPr>
              <w:pStyle w:val="TableText"/>
              <w:keepNext w:val="0"/>
            </w:pPr>
            <w:r>
              <w:t>Knowledge base and embedding retrieval</w:t>
            </w:r>
          </w:p>
        </w:tc>
        <w:tc>
          <w:tcPr>
            <w:tcW w:type="dxa" w:w="2448"/>
            <w:vAlign w:val="center"/>
          </w:tcPr>
          <w:p>
            <w:pPr>
              <w:pStyle w:val="TableText"/>
              <w:keepNext w:val="0"/>
            </w:pPr>
            <w:r>
              <w:t>FR02.01 to FR02.04</w:t>
            </w:r>
          </w:p>
        </w:tc>
      </w:tr>
      <w:tr>
        <w:trPr>
          <w:cantSplit/>
        </w:trPr>
        <w:tc>
          <w:tcPr>
            <w:tcW w:type="dxa" w:w="835"/>
            <w:vAlign w:val="center"/>
          </w:tcPr>
          <w:p>
            <w:pPr>
              <w:pStyle w:val="TableText"/>
              <w:keepNext w:val="0"/>
              <w:jc w:val="center"/>
            </w:pPr>
            <w:r>
              <w:t>03</w:t>
            </w:r>
          </w:p>
        </w:tc>
        <w:tc>
          <w:tcPr>
            <w:tcW w:type="dxa" w:w="6077"/>
            <w:vAlign w:val="center"/>
          </w:tcPr>
          <w:p>
            <w:pPr>
              <w:pStyle w:val="TableText"/>
              <w:keepNext w:val="0"/>
            </w:pPr>
            <w:r>
              <w:t>Job description preparation and approval</w:t>
            </w:r>
          </w:p>
        </w:tc>
        <w:tc>
          <w:tcPr>
            <w:tcW w:type="dxa" w:w="2448"/>
            <w:vAlign w:val="center"/>
          </w:tcPr>
          <w:p>
            <w:pPr>
              <w:pStyle w:val="TableText"/>
              <w:keepNext w:val="0"/>
            </w:pPr>
            <w:r>
              <w:t>FR03.01 to FR03.05</w:t>
            </w:r>
          </w:p>
        </w:tc>
      </w:tr>
      <w:tr>
        <w:trPr>
          <w:cantSplit/>
        </w:trPr>
        <w:tc>
          <w:tcPr>
            <w:tcW w:type="dxa" w:w="835"/>
            <w:vAlign w:val="center"/>
          </w:tcPr>
          <w:p>
            <w:pPr>
              <w:pStyle w:val="TableText"/>
              <w:keepNext w:val="0"/>
              <w:jc w:val="center"/>
            </w:pPr>
            <w:r>
              <w:t>04</w:t>
            </w:r>
          </w:p>
        </w:tc>
        <w:tc>
          <w:tcPr>
            <w:tcW w:type="dxa" w:w="6077"/>
            <w:vAlign w:val="center"/>
          </w:tcPr>
          <w:p>
            <w:pPr>
              <w:pStyle w:val="TableText"/>
              <w:keepNext w:val="0"/>
            </w:pPr>
            <w:r>
              <w:t>Job publication through Discord</w:t>
            </w:r>
          </w:p>
        </w:tc>
        <w:tc>
          <w:tcPr>
            <w:tcW w:type="dxa" w:w="2448"/>
            <w:vAlign w:val="center"/>
          </w:tcPr>
          <w:p>
            <w:pPr>
              <w:pStyle w:val="TableText"/>
              <w:keepNext w:val="0"/>
            </w:pPr>
            <w:r>
              <w:t>FR04.01 to FR04.04</w:t>
            </w:r>
          </w:p>
        </w:tc>
      </w:tr>
      <w:tr>
        <w:trPr>
          <w:cantSplit/>
        </w:trPr>
        <w:tc>
          <w:tcPr>
            <w:tcW w:type="dxa" w:w="835"/>
            <w:vAlign w:val="center"/>
          </w:tcPr>
          <w:p>
            <w:pPr>
              <w:pStyle w:val="TableText"/>
              <w:keepNext w:val="0"/>
              <w:jc w:val="center"/>
            </w:pPr>
            <w:r>
              <w:t>05</w:t>
            </w:r>
          </w:p>
        </w:tc>
        <w:tc>
          <w:tcPr>
            <w:tcW w:type="dxa" w:w="6077"/>
            <w:vAlign w:val="center"/>
          </w:tcPr>
          <w:p>
            <w:pPr>
              <w:pStyle w:val="TableText"/>
              <w:keepNext w:val="0"/>
            </w:pPr>
            <w:r>
              <w:t>Application intake and candidate management</w:t>
            </w:r>
          </w:p>
        </w:tc>
        <w:tc>
          <w:tcPr>
            <w:tcW w:type="dxa" w:w="2448"/>
            <w:vAlign w:val="center"/>
          </w:tcPr>
          <w:p>
            <w:pPr>
              <w:pStyle w:val="TableText"/>
              <w:keepNext w:val="0"/>
            </w:pPr>
            <w:r>
              <w:t>FR05.01 to FR05.06</w:t>
            </w:r>
          </w:p>
        </w:tc>
      </w:tr>
      <w:tr>
        <w:trPr>
          <w:cantSplit/>
        </w:trPr>
        <w:tc>
          <w:tcPr>
            <w:tcW w:type="dxa" w:w="835"/>
            <w:vAlign w:val="center"/>
          </w:tcPr>
          <w:p>
            <w:pPr>
              <w:pStyle w:val="TableText"/>
              <w:keepNext w:val="0"/>
              <w:jc w:val="center"/>
            </w:pPr>
            <w:r>
              <w:t>06</w:t>
            </w:r>
          </w:p>
        </w:tc>
        <w:tc>
          <w:tcPr>
            <w:tcW w:type="dxa" w:w="6077"/>
            <w:vAlign w:val="center"/>
          </w:tcPr>
          <w:p>
            <w:pPr>
              <w:pStyle w:val="TableText"/>
              <w:keepNext w:val="0"/>
            </w:pPr>
            <w:r>
              <w:t>CV extraction OCR and evidence screening</w:t>
            </w:r>
          </w:p>
        </w:tc>
        <w:tc>
          <w:tcPr>
            <w:tcW w:type="dxa" w:w="2448"/>
            <w:vAlign w:val="center"/>
          </w:tcPr>
          <w:p>
            <w:pPr>
              <w:pStyle w:val="TableText"/>
              <w:keepNext w:val="0"/>
            </w:pPr>
            <w:r>
              <w:t>FR06.01 to FR06.06</w:t>
            </w:r>
          </w:p>
        </w:tc>
      </w:tr>
      <w:tr>
        <w:trPr>
          <w:cantSplit/>
        </w:trPr>
        <w:tc>
          <w:tcPr>
            <w:tcW w:type="dxa" w:w="835"/>
            <w:vAlign w:val="center"/>
          </w:tcPr>
          <w:p>
            <w:pPr>
              <w:pStyle w:val="TableText"/>
              <w:keepNext w:val="0"/>
              <w:jc w:val="center"/>
            </w:pPr>
            <w:r>
              <w:t>07</w:t>
            </w:r>
          </w:p>
        </w:tc>
        <w:tc>
          <w:tcPr>
            <w:tcW w:type="dxa" w:w="6077"/>
            <w:vAlign w:val="center"/>
          </w:tcPr>
          <w:p>
            <w:pPr>
              <w:pStyle w:val="TableText"/>
              <w:keepNext w:val="0"/>
            </w:pPr>
            <w:r>
              <w:t>CV scoring and ranking</w:t>
            </w:r>
          </w:p>
        </w:tc>
        <w:tc>
          <w:tcPr>
            <w:tcW w:type="dxa" w:w="2448"/>
            <w:vAlign w:val="center"/>
          </w:tcPr>
          <w:p>
            <w:pPr>
              <w:pStyle w:val="TableText"/>
              <w:keepNext w:val="0"/>
            </w:pPr>
            <w:r>
              <w:t>FR07.01 to FR07.05</w:t>
            </w:r>
          </w:p>
        </w:tc>
      </w:tr>
      <w:tr>
        <w:trPr>
          <w:cantSplit/>
        </w:trPr>
        <w:tc>
          <w:tcPr>
            <w:tcW w:type="dxa" w:w="835"/>
            <w:vAlign w:val="center"/>
          </w:tcPr>
          <w:p>
            <w:pPr>
              <w:pStyle w:val="TableText"/>
              <w:keepNext w:val="0"/>
              <w:jc w:val="center"/>
            </w:pPr>
            <w:r>
              <w:t>08</w:t>
            </w:r>
          </w:p>
        </w:tc>
        <w:tc>
          <w:tcPr>
            <w:tcW w:type="dxa" w:w="6077"/>
            <w:vAlign w:val="center"/>
          </w:tcPr>
          <w:p>
            <w:pPr>
              <w:pStyle w:val="TableText"/>
              <w:keepNext w:val="0"/>
            </w:pPr>
            <w:r>
              <w:t>Interview scheduling invitations and rescheduling</w:t>
            </w:r>
          </w:p>
        </w:tc>
        <w:tc>
          <w:tcPr>
            <w:tcW w:type="dxa" w:w="2448"/>
            <w:vAlign w:val="center"/>
          </w:tcPr>
          <w:p>
            <w:pPr>
              <w:pStyle w:val="TableText"/>
              <w:keepNext w:val="0"/>
            </w:pPr>
            <w:r>
              <w:t>FR08.01 to FR08.06</w:t>
            </w:r>
          </w:p>
        </w:tc>
      </w:tr>
      <w:tr>
        <w:trPr>
          <w:cantSplit/>
        </w:trPr>
        <w:tc>
          <w:tcPr>
            <w:tcW w:type="dxa" w:w="835"/>
            <w:vAlign w:val="center"/>
          </w:tcPr>
          <w:p>
            <w:pPr>
              <w:pStyle w:val="TableText"/>
              <w:keepNext w:val="0"/>
              <w:jc w:val="center"/>
            </w:pPr>
            <w:r>
              <w:t>09</w:t>
            </w:r>
          </w:p>
        </w:tc>
        <w:tc>
          <w:tcPr>
            <w:tcW w:type="dxa" w:w="6077"/>
            <w:vAlign w:val="center"/>
          </w:tcPr>
          <w:p>
            <w:pPr>
              <w:pStyle w:val="TableText"/>
              <w:keepNext w:val="0"/>
            </w:pPr>
            <w:r>
              <w:t>Live interview rooms and participant consoles</w:t>
            </w:r>
          </w:p>
        </w:tc>
        <w:tc>
          <w:tcPr>
            <w:tcW w:type="dxa" w:w="2448"/>
            <w:vAlign w:val="center"/>
          </w:tcPr>
          <w:p>
            <w:pPr>
              <w:pStyle w:val="TableText"/>
              <w:keepNext w:val="0"/>
            </w:pPr>
            <w:r>
              <w:t>FR09.01 to FR09.05</w:t>
            </w:r>
          </w:p>
        </w:tc>
      </w:tr>
      <w:tr>
        <w:trPr>
          <w:cantSplit/>
        </w:trPr>
        <w:tc>
          <w:tcPr>
            <w:tcW w:type="dxa" w:w="835"/>
            <w:vAlign w:val="center"/>
          </w:tcPr>
          <w:p>
            <w:pPr>
              <w:pStyle w:val="TableText"/>
              <w:keepNext w:val="0"/>
              <w:jc w:val="center"/>
            </w:pPr>
            <w:r>
              <w:t>10</w:t>
            </w:r>
          </w:p>
        </w:tc>
        <w:tc>
          <w:tcPr>
            <w:tcW w:type="dxa" w:w="6077"/>
            <w:vAlign w:val="center"/>
          </w:tcPr>
          <w:p>
            <w:pPr>
              <w:pStyle w:val="TableText"/>
              <w:keepNext w:val="0"/>
            </w:pPr>
            <w:r>
              <w:t>Consented live transcription</w:t>
            </w:r>
          </w:p>
        </w:tc>
        <w:tc>
          <w:tcPr>
            <w:tcW w:type="dxa" w:w="2448"/>
            <w:vAlign w:val="center"/>
          </w:tcPr>
          <w:p>
            <w:pPr>
              <w:pStyle w:val="TableText"/>
              <w:keepNext w:val="0"/>
            </w:pPr>
            <w:r>
              <w:t>FR10.01 to FR10.05</w:t>
            </w:r>
          </w:p>
        </w:tc>
      </w:tr>
      <w:tr>
        <w:trPr>
          <w:cantSplit/>
        </w:trPr>
        <w:tc>
          <w:tcPr>
            <w:tcW w:type="dxa" w:w="835"/>
            <w:vAlign w:val="center"/>
          </w:tcPr>
          <w:p>
            <w:pPr>
              <w:pStyle w:val="TableText"/>
              <w:keepNext w:val="0"/>
              <w:jc w:val="center"/>
            </w:pPr>
            <w:r>
              <w:t>11</w:t>
            </w:r>
          </w:p>
        </w:tc>
        <w:tc>
          <w:tcPr>
            <w:tcW w:type="dxa" w:w="6077"/>
            <w:vAlign w:val="center"/>
          </w:tcPr>
          <w:p>
            <w:pPr>
              <w:pStyle w:val="TableText"/>
              <w:keepNext w:val="0"/>
            </w:pPr>
            <w:r>
              <w:t>Central and private interview assistants</w:t>
            </w:r>
          </w:p>
        </w:tc>
        <w:tc>
          <w:tcPr>
            <w:tcW w:type="dxa" w:w="2448"/>
            <w:vAlign w:val="center"/>
          </w:tcPr>
          <w:p>
            <w:pPr>
              <w:pStyle w:val="TableText"/>
              <w:keepNext w:val="0"/>
            </w:pPr>
            <w:r>
              <w:t>FR11.01 to FR11.05</w:t>
            </w:r>
          </w:p>
        </w:tc>
      </w:tr>
      <w:tr>
        <w:trPr>
          <w:cantSplit/>
        </w:trPr>
        <w:tc>
          <w:tcPr>
            <w:tcW w:type="dxa" w:w="835"/>
            <w:vAlign w:val="center"/>
          </w:tcPr>
          <w:p>
            <w:pPr>
              <w:pStyle w:val="TableText"/>
              <w:keepNext w:val="0"/>
              <w:jc w:val="center"/>
            </w:pPr>
            <w:r>
              <w:t>12</w:t>
            </w:r>
          </w:p>
        </w:tc>
        <w:tc>
          <w:tcPr>
            <w:tcW w:type="dxa" w:w="6077"/>
            <w:vAlign w:val="center"/>
          </w:tcPr>
          <w:p>
            <w:pPr>
              <w:pStyle w:val="TableText"/>
              <w:keepNext w:val="0"/>
            </w:pPr>
            <w:r>
              <w:t>Transcript analysis and candidate performance</w:t>
            </w:r>
          </w:p>
        </w:tc>
        <w:tc>
          <w:tcPr>
            <w:tcW w:type="dxa" w:w="2448"/>
            <w:vAlign w:val="center"/>
          </w:tcPr>
          <w:p>
            <w:pPr>
              <w:pStyle w:val="TableText"/>
              <w:keepNext w:val="0"/>
            </w:pPr>
            <w:r>
              <w:t>FR12.01 to FR12.07</w:t>
            </w:r>
          </w:p>
        </w:tc>
      </w:tr>
      <w:tr>
        <w:trPr>
          <w:cantSplit/>
        </w:trPr>
        <w:tc>
          <w:tcPr>
            <w:tcW w:type="dxa" w:w="835"/>
            <w:vAlign w:val="center"/>
          </w:tcPr>
          <w:p>
            <w:pPr>
              <w:pStyle w:val="TableText"/>
              <w:keepNext w:val="0"/>
              <w:jc w:val="center"/>
            </w:pPr>
            <w:r>
              <w:t>13</w:t>
            </w:r>
          </w:p>
        </w:tc>
        <w:tc>
          <w:tcPr>
            <w:tcW w:type="dxa" w:w="6077"/>
            <w:vAlign w:val="center"/>
          </w:tcPr>
          <w:p>
            <w:pPr>
              <w:pStyle w:val="TableText"/>
              <w:keepNext w:val="0"/>
            </w:pPr>
            <w:r>
              <w:t>Live Work Sample Studio</w:t>
            </w:r>
          </w:p>
        </w:tc>
        <w:tc>
          <w:tcPr>
            <w:tcW w:type="dxa" w:w="2448"/>
            <w:vAlign w:val="center"/>
          </w:tcPr>
          <w:p>
            <w:pPr>
              <w:pStyle w:val="TableText"/>
              <w:keepNext w:val="0"/>
            </w:pPr>
            <w:r>
              <w:t>FR13.01 to FR13.07</w:t>
            </w:r>
          </w:p>
        </w:tc>
      </w:tr>
      <w:tr>
        <w:trPr>
          <w:cantSplit/>
        </w:trPr>
        <w:tc>
          <w:tcPr>
            <w:tcW w:type="dxa" w:w="835"/>
            <w:vAlign w:val="center"/>
          </w:tcPr>
          <w:p>
            <w:pPr>
              <w:pStyle w:val="TableText"/>
              <w:keepNext w:val="0"/>
              <w:jc w:val="center"/>
            </w:pPr>
            <w:r>
              <w:t>14</w:t>
            </w:r>
          </w:p>
        </w:tc>
        <w:tc>
          <w:tcPr>
            <w:tcW w:type="dxa" w:w="6077"/>
            <w:vAlign w:val="center"/>
          </w:tcPr>
          <w:p>
            <w:pPr>
              <w:pStyle w:val="TableText"/>
              <w:keepNext w:val="0"/>
            </w:pPr>
            <w:r>
              <w:t>Optional photo verification and candidate profile</w:t>
            </w:r>
          </w:p>
        </w:tc>
        <w:tc>
          <w:tcPr>
            <w:tcW w:type="dxa" w:w="2448"/>
            <w:vAlign w:val="center"/>
          </w:tcPr>
          <w:p>
            <w:pPr>
              <w:pStyle w:val="TableText"/>
              <w:keepNext w:val="0"/>
            </w:pPr>
            <w:r>
              <w:t>FR14.01 to FR14.05</w:t>
            </w:r>
          </w:p>
        </w:tc>
      </w:tr>
      <w:tr>
        <w:trPr>
          <w:cantSplit/>
        </w:trPr>
        <w:tc>
          <w:tcPr>
            <w:tcW w:type="dxa" w:w="835"/>
            <w:vAlign w:val="center"/>
          </w:tcPr>
          <w:p>
            <w:pPr>
              <w:pStyle w:val="TableText"/>
              <w:keepNext w:val="0"/>
              <w:jc w:val="center"/>
            </w:pPr>
            <w:r>
              <w:t>15</w:t>
            </w:r>
          </w:p>
        </w:tc>
        <w:tc>
          <w:tcPr>
            <w:tcW w:type="dxa" w:w="6077"/>
            <w:vAlign w:val="center"/>
          </w:tcPr>
          <w:p>
            <w:pPr>
              <w:pStyle w:val="TableText"/>
              <w:keepNext w:val="0"/>
            </w:pPr>
            <w:r>
              <w:t>Final score consolidation and ranking</w:t>
            </w:r>
          </w:p>
        </w:tc>
        <w:tc>
          <w:tcPr>
            <w:tcW w:type="dxa" w:w="2448"/>
            <w:vAlign w:val="center"/>
          </w:tcPr>
          <w:p>
            <w:pPr>
              <w:pStyle w:val="TableText"/>
              <w:keepNext w:val="0"/>
            </w:pPr>
            <w:r>
              <w:t>FR15.01 to FR15.05</w:t>
            </w:r>
          </w:p>
        </w:tc>
      </w:tr>
      <w:tr>
        <w:trPr>
          <w:cantSplit/>
        </w:trPr>
        <w:tc>
          <w:tcPr>
            <w:tcW w:type="dxa" w:w="835"/>
            <w:vAlign w:val="center"/>
          </w:tcPr>
          <w:p>
            <w:pPr>
              <w:pStyle w:val="TableText"/>
              <w:keepNext w:val="0"/>
              <w:jc w:val="center"/>
            </w:pPr>
            <w:r>
              <w:t>16</w:t>
            </w:r>
          </w:p>
        </w:tc>
        <w:tc>
          <w:tcPr>
            <w:tcW w:type="dxa" w:w="6077"/>
            <w:vAlign w:val="center"/>
          </w:tcPr>
          <w:p>
            <w:pPr>
              <w:pStyle w:val="TableText"/>
              <w:keepNext w:val="0"/>
            </w:pPr>
            <w:r>
              <w:t>Candidate reports evidence and exports</w:t>
            </w:r>
          </w:p>
        </w:tc>
        <w:tc>
          <w:tcPr>
            <w:tcW w:type="dxa" w:w="2448"/>
            <w:vAlign w:val="center"/>
          </w:tcPr>
          <w:p>
            <w:pPr>
              <w:pStyle w:val="TableText"/>
              <w:keepNext w:val="0"/>
            </w:pPr>
            <w:r>
              <w:t>FR16.01 to FR16.04</w:t>
            </w:r>
          </w:p>
        </w:tc>
      </w:tr>
      <w:tr>
        <w:trPr>
          <w:cantSplit/>
        </w:trPr>
        <w:tc>
          <w:tcPr>
            <w:tcW w:type="dxa" w:w="835"/>
            <w:vAlign w:val="center"/>
          </w:tcPr>
          <w:p>
            <w:pPr>
              <w:pStyle w:val="TableText"/>
              <w:keepNext w:val="0"/>
              <w:jc w:val="center"/>
            </w:pPr>
            <w:r>
              <w:t>17</w:t>
            </w:r>
          </w:p>
        </w:tc>
        <w:tc>
          <w:tcPr>
            <w:tcW w:type="dxa" w:w="6077"/>
            <w:vAlign w:val="center"/>
          </w:tcPr>
          <w:p>
            <w:pPr>
              <w:pStyle w:val="TableText"/>
              <w:keepNext w:val="0"/>
            </w:pPr>
            <w:r>
              <w:t>Dashboard notifications and workflow navigation</w:t>
            </w:r>
          </w:p>
        </w:tc>
        <w:tc>
          <w:tcPr>
            <w:tcW w:type="dxa" w:w="2448"/>
            <w:vAlign w:val="center"/>
          </w:tcPr>
          <w:p>
            <w:pPr>
              <w:pStyle w:val="TableText"/>
              <w:keepNext w:val="0"/>
            </w:pPr>
            <w:r>
              <w:t>FR17.01 to FR17.04</w:t>
            </w:r>
          </w:p>
        </w:tc>
      </w:tr>
    </w:tbl>
    <w:p>
      <w:pPr>
        <w:pStyle w:val="TableGap"/>
        <w:keepNext w:val="0"/>
      </w:pPr>
    </w:p>
    <w:p>
      <w:bookmarkStart w:id="16" w:name="SRS_16"/>
      <w:pPr>
        <w:pStyle w:val="Heading3"/>
      </w:pPr>
      <w:r>
        <w:t>3.1.1 Interviewer authentication and candidate access</w:t>
      </w:r>
      <w:bookmarkEnd w:id="16"/>
    </w:p>
    <w:p>
      <w:pPr>
        <w:keepNext/>
      </w:pPr>
      <w:r>
        <w:t>Actors: Interviewer, candidate. The system separates authenticated interviewer workspaces from narrowly scoped candidate participation.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FR01.01</w:t>
            </w:r>
          </w:p>
        </w:tc>
        <w:tc>
          <w:tcPr>
            <w:tcW w:type="dxa" w:w="2923"/>
            <w:vAlign w:val="center"/>
          </w:tcPr>
          <w:p>
            <w:pPr>
              <w:pStyle w:val="TableText"/>
              <w:keepNext w:val="0"/>
            </w:pPr>
            <w:r>
              <w:t>The system shall authenticate active interviewers using hashed passwords and signed access tokens.</w:t>
            </w:r>
          </w:p>
        </w:tc>
        <w:tc>
          <w:tcPr>
            <w:tcW w:type="dxa" w:w="2664"/>
            <w:vAlign w:val="center"/>
          </w:tcPr>
          <w:p>
            <w:pPr>
              <w:pStyle w:val="TableText"/>
              <w:keepNext w:val="0"/>
            </w:pPr>
            <w:r>
              <w:t>Valid credentials grant interviewer access; invalid credentials return a generic denial.</w:t>
            </w:r>
          </w:p>
        </w:tc>
        <w:tc>
          <w:tcPr>
            <w:tcW w:type="dxa" w:w="1685"/>
            <w:vAlign w:val="center"/>
          </w:tcPr>
          <w:p>
            <w:pPr>
              <w:pStyle w:val="TableText"/>
              <w:keepNext w:val="0"/>
            </w:pPr>
            <w:r>
              <w:t>No public signup or candidate account.</w:t>
            </w:r>
          </w:p>
        </w:tc>
        <w:tc>
          <w:tcPr>
            <w:tcW w:type="dxa" w:w="1080"/>
            <w:vAlign w:val="center"/>
          </w:tcPr>
          <w:p>
            <w:pPr>
              <w:pStyle w:val="TableText"/>
              <w:keepNext w:val="0"/>
              <w:jc w:val="center"/>
            </w:pPr>
            <w:r>
              <w:t>TC01.01</w:t>
            </w:r>
          </w:p>
        </w:tc>
      </w:tr>
      <w:tr>
        <w:trPr>
          <w:cantSplit/>
        </w:trPr>
        <w:tc>
          <w:tcPr>
            <w:tcW w:type="dxa" w:w="1008"/>
            <w:vAlign w:val="center"/>
          </w:tcPr>
          <w:p>
            <w:pPr>
              <w:pStyle w:val="TableText"/>
              <w:keepNext w:val="0"/>
              <w:jc w:val="center"/>
            </w:pPr>
            <w:r>
              <w:t>FR01.02</w:t>
            </w:r>
          </w:p>
        </w:tc>
        <w:tc>
          <w:tcPr>
            <w:tcW w:type="dxa" w:w="2923"/>
            <w:vAlign w:val="center"/>
          </w:tcPr>
          <w:p>
            <w:pPr>
              <w:pStyle w:val="TableText"/>
              <w:keepNext w:val="0"/>
            </w:pPr>
            <w:r>
              <w:t>The system shall authorize every protected resource against its owning interviewer.</w:t>
            </w:r>
          </w:p>
        </w:tc>
        <w:tc>
          <w:tcPr>
            <w:tcW w:type="dxa" w:w="2664"/>
            <w:vAlign w:val="center"/>
          </w:tcPr>
          <w:p>
            <w:pPr>
              <w:pStyle w:val="TableText"/>
              <w:keepNext w:val="0"/>
            </w:pPr>
            <w:r>
              <w:t>A second interviewer cannot read, change, export or delete another owner's records.</w:t>
            </w:r>
          </w:p>
        </w:tc>
        <w:tc>
          <w:tcPr>
            <w:tcW w:type="dxa" w:w="1685"/>
            <w:vAlign w:val="center"/>
          </w:tcPr>
          <w:p>
            <w:pPr>
              <w:pStyle w:val="TableText"/>
              <w:keepNext w:val="0"/>
            </w:pPr>
            <w:r>
              <w:t>Backend checks apply to API and chat.</w:t>
            </w:r>
          </w:p>
        </w:tc>
        <w:tc>
          <w:tcPr>
            <w:tcW w:type="dxa" w:w="1080"/>
            <w:vAlign w:val="center"/>
          </w:tcPr>
          <w:p>
            <w:pPr>
              <w:pStyle w:val="TableText"/>
              <w:keepNext w:val="0"/>
              <w:jc w:val="center"/>
            </w:pPr>
            <w:r>
              <w:t>TC01.02</w:t>
            </w:r>
          </w:p>
        </w:tc>
      </w:tr>
      <w:tr>
        <w:trPr>
          <w:cantSplit/>
        </w:trPr>
        <w:tc>
          <w:tcPr>
            <w:tcW w:type="dxa" w:w="1008"/>
            <w:vAlign w:val="center"/>
          </w:tcPr>
          <w:p>
            <w:pPr>
              <w:pStyle w:val="TableText"/>
              <w:keepNext w:val="0"/>
              <w:jc w:val="center"/>
            </w:pPr>
            <w:r>
              <w:t>FR01.03</w:t>
            </w:r>
          </w:p>
        </w:tc>
        <w:tc>
          <w:tcPr>
            <w:tcW w:type="dxa" w:w="2923"/>
            <w:vAlign w:val="center"/>
          </w:tcPr>
          <w:p>
            <w:pPr>
              <w:pStyle w:val="TableText"/>
              <w:keepNext w:val="0"/>
            </w:pPr>
            <w:r>
              <w:t>The system shall exchange expiring private interview links for scoped HttpOnly candidate sessions.</w:t>
            </w:r>
          </w:p>
        </w:tc>
        <w:tc>
          <w:tcPr>
            <w:tcW w:type="dxa" w:w="2664"/>
            <w:vAlign w:val="center"/>
          </w:tcPr>
          <w:p>
            <w:pPr>
              <w:pStyle w:val="TableText"/>
              <w:keepNext w:val="0"/>
            </w:pPr>
            <w:r>
              <w:t>A valid link opens only its intended interview; expired, revoked or altered links are rejected.</w:t>
            </w:r>
          </w:p>
        </w:tc>
        <w:tc>
          <w:tcPr>
            <w:tcW w:type="dxa" w:w="1685"/>
            <w:vAlign w:val="center"/>
          </w:tcPr>
          <w:p>
            <w:pPr>
              <w:pStyle w:val="TableText"/>
              <w:keepNext w:val="0"/>
            </w:pPr>
            <w:r>
              <w:t>HTTPS secure-cookie settings are deployment dependent.</w:t>
            </w:r>
          </w:p>
        </w:tc>
        <w:tc>
          <w:tcPr>
            <w:tcW w:type="dxa" w:w="1080"/>
            <w:vAlign w:val="center"/>
          </w:tcPr>
          <w:p>
            <w:pPr>
              <w:pStyle w:val="TableText"/>
              <w:keepNext w:val="0"/>
              <w:jc w:val="center"/>
            </w:pPr>
            <w:r>
              <w:t>TC01.03</w:t>
            </w:r>
          </w:p>
        </w:tc>
      </w:tr>
      <w:tr>
        <w:trPr>
          <w:cantSplit/>
        </w:trPr>
        <w:tc>
          <w:tcPr>
            <w:tcW w:type="dxa" w:w="1008"/>
            <w:vAlign w:val="center"/>
          </w:tcPr>
          <w:p>
            <w:pPr>
              <w:pStyle w:val="TableText"/>
              <w:keepNext w:val="0"/>
              <w:jc w:val="center"/>
            </w:pPr>
            <w:r>
              <w:t>FR01.04</w:t>
            </w:r>
          </w:p>
        </w:tc>
        <w:tc>
          <w:tcPr>
            <w:tcW w:type="dxa" w:w="2923"/>
            <w:vAlign w:val="center"/>
          </w:tcPr>
          <w:p>
            <w:pPr>
              <w:pStyle w:val="TableText"/>
              <w:keepNext w:val="0"/>
            </w:pPr>
            <w:r>
              <w:t>The system shall prevent candidate access to private interviewer information.</w:t>
            </w:r>
          </w:p>
        </w:tc>
        <w:tc>
          <w:tcPr>
            <w:tcW w:type="dxa" w:w="2664"/>
            <w:vAlign w:val="center"/>
          </w:tcPr>
          <w:p>
            <w:pPr>
              <w:pStyle w:val="TableText"/>
              <w:keepNext w:val="0"/>
            </w:pPr>
            <w:r>
              <w:t>Candidate requests for transcripts, analysis, assistant messages, match outcomes and reports are denied.</w:t>
            </w:r>
          </w:p>
        </w:tc>
        <w:tc>
          <w:tcPr>
            <w:tcW w:type="dxa" w:w="1685"/>
            <w:vAlign w:val="center"/>
          </w:tcPr>
          <w:p>
            <w:pPr>
              <w:pStyle w:val="TableText"/>
              <w:keepNext w:val="0"/>
            </w:pPr>
            <w:r>
              <w:t>Hiding controls alone is insufficient.</w:t>
            </w:r>
          </w:p>
        </w:tc>
        <w:tc>
          <w:tcPr>
            <w:tcW w:type="dxa" w:w="1080"/>
            <w:vAlign w:val="center"/>
          </w:tcPr>
          <w:p>
            <w:pPr>
              <w:pStyle w:val="TableText"/>
              <w:keepNext w:val="0"/>
              <w:jc w:val="center"/>
            </w:pPr>
            <w:r>
              <w:t>TC01.04</w:t>
            </w:r>
          </w:p>
        </w:tc>
      </w:tr>
      <w:tr>
        <w:trPr>
          <w:cantSplit/>
        </w:trPr>
        <w:tc>
          <w:tcPr>
            <w:tcW w:type="dxa" w:w="1008"/>
            <w:vAlign w:val="center"/>
          </w:tcPr>
          <w:p>
            <w:pPr>
              <w:pStyle w:val="TableText"/>
              <w:keepNext w:val="0"/>
              <w:jc w:val="center"/>
            </w:pPr>
            <w:r>
              <w:t>FR01.05</w:t>
            </w:r>
          </w:p>
        </w:tc>
        <w:tc>
          <w:tcPr>
            <w:tcW w:type="dxa" w:w="2923"/>
            <w:vAlign w:val="center"/>
          </w:tcPr>
          <w:p>
            <w:pPr>
              <w:pStyle w:val="TableText"/>
              <w:keepNext w:val="0"/>
            </w:pPr>
            <w:r>
              <w:t>The system shall revoke obsolete access when invitation links change or interviews close.</w:t>
            </w:r>
          </w:p>
        </w:tc>
        <w:tc>
          <w:tcPr>
            <w:tcW w:type="dxa" w:w="2664"/>
            <w:vAlign w:val="center"/>
          </w:tcPr>
          <w:p>
            <w:pPr>
              <w:pStyle w:val="TableText"/>
              <w:keepNext w:val="0"/>
            </w:pPr>
            <w:r>
              <w:t>Old links cannot issue new access after revocation or closure.</w:t>
            </w:r>
          </w:p>
        </w:tc>
        <w:tc>
          <w:tcPr>
            <w:tcW w:type="dxa" w:w="1685"/>
            <w:vAlign w:val="center"/>
          </w:tcPr>
          <w:p>
            <w:pPr>
              <w:pStyle w:val="TableText"/>
              <w:keepNext w:val="0"/>
            </w:pPr>
            <w:r>
              <w:t>Previously issued sessions must respect room state.</w:t>
            </w:r>
          </w:p>
        </w:tc>
        <w:tc>
          <w:tcPr>
            <w:tcW w:type="dxa" w:w="1080"/>
            <w:vAlign w:val="center"/>
          </w:tcPr>
          <w:p>
            <w:pPr>
              <w:pStyle w:val="TableText"/>
              <w:keepNext w:val="0"/>
              <w:jc w:val="center"/>
            </w:pPr>
            <w:r>
              <w:t>TC01.05</w:t>
            </w:r>
          </w:p>
        </w:tc>
      </w:tr>
    </w:tbl>
    <w:p>
      <w:pPr>
        <w:pStyle w:val="TableGap"/>
        <w:keepNext w:val="0"/>
      </w:pPr>
    </w:p>
    <w:p>
      <w:bookmarkStart w:id="17" w:name="SRS_17"/>
      <w:pPr>
        <w:pStyle w:val="Heading3"/>
      </w:pPr>
      <w:r>
        <w:t>3.1.2 Knowledge base and embedding retrieval</w:t>
      </w:r>
      <w:bookmarkEnd w:id="17"/>
    </w:p>
    <w:p>
      <w:pPr>
        <w:keepNext/>
      </w:pPr>
      <w:r>
        <w:t>Actors: Interviewer, background services. Typed reference knowledge supports drafting and interview questions. Private candidate passages are not shared reference material.</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FR02.01</w:t>
            </w:r>
          </w:p>
        </w:tc>
        <w:tc>
          <w:tcPr>
            <w:tcW w:type="dxa" w:w="2923"/>
            <w:vAlign w:val="center"/>
          </w:tcPr>
          <w:p>
            <w:pPr>
              <w:pStyle w:val="TableText"/>
              <w:keepNext w:val="0"/>
            </w:pPr>
            <w:r>
              <w:t>The system shall ingest authorized reference PDFs with document, page, chunk and source-type metadata.</w:t>
            </w:r>
          </w:p>
        </w:tc>
        <w:tc>
          <w:tcPr>
            <w:tcW w:type="dxa" w:w="2664"/>
            <w:vAlign w:val="center"/>
          </w:tcPr>
          <w:p>
            <w:pPr>
              <w:pStyle w:val="TableText"/>
              <w:keepNext w:val="0"/>
            </w:pPr>
            <w:r>
              <w:t>Retrieved text resolves to the uploaded document and its source type.</w:t>
            </w:r>
          </w:p>
        </w:tc>
        <w:tc>
          <w:tcPr>
            <w:tcW w:type="dxa" w:w="1685"/>
            <w:vAlign w:val="center"/>
          </w:tcPr>
          <w:p>
            <w:pPr>
              <w:pStyle w:val="TableText"/>
              <w:keepNext w:val="0"/>
            </w:pPr>
            <w:r>
              <w:t>Historical JDs and question/answer guides remain distinguishable.</w:t>
            </w:r>
          </w:p>
        </w:tc>
        <w:tc>
          <w:tcPr>
            <w:tcW w:type="dxa" w:w="1080"/>
            <w:vAlign w:val="center"/>
          </w:tcPr>
          <w:p>
            <w:pPr>
              <w:pStyle w:val="TableText"/>
              <w:keepNext w:val="0"/>
              <w:jc w:val="center"/>
            </w:pPr>
            <w:r>
              <w:t>TC02.01</w:t>
            </w:r>
          </w:p>
        </w:tc>
      </w:tr>
      <w:tr>
        <w:trPr>
          <w:cantSplit/>
        </w:trPr>
        <w:tc>
          <w:tcPr>
            <w:tcW w:type="dxa" w:w="1008"/>
            <w:vAlign w:val="center"/>
          </w:tcPr>
          <w:p>
            <w:pPr>
              <w:pStyle w:val="TableText"/>
              <w:keepNext w:val="0"/>
              <w:jc w:val="center"/>
            </w:pPr>
            <w:r>
              <w:t>FR02.02</w:t>
            </w:r>
          </w:p>
        </w:tc>
        <w:tc>
          <w:tcPr>
            <w:tcW w:type="dxa" w:w="2923"/>
            <w:vAlign w:val="center"/>
          </w:tcPr>
          <w:p>
            <w:pPr>
              <w:pStyle w:val="TableText"/>
              <w:keepNext w:val="0"/>
            </w:pPr>
            <w:r>
              <w:t>The system shall generate 768-dimensional embeddings through containerized Ollama and nomic-embed-text.</w:t>
            </w:r>
          </w:p>
        </w:tc>
        <w:tc>
          <w:tcPr>
            <w:tcW w:type="dxa" w:w="2664"/>
            <w:vAlign w:val="center"/>
          </w:tcPr>
          <w:p>
            <w:pPr>
              <w:pStyle w:val="TableText"/>
              <w:keepNext w:val="0"/>
            </w:pPr>
            <w:r>
              <w:t>The model initializer verifies identity, dimensions and inference before backend readiness.</w:t>
            </w:r>
          </w:p>
        </w:tc>
        <w:tc>
          <w:tcPr>
            <w:tcW w:type="dxa" w:w="1685"/>
            <w:vAlign w:val="center"/>
          </w:tcPr>
          <w:p>
            <w:pPr>
              <w:pStyle w:val="TableText"/>
              <w:keepNext w:val="0"/>
            </w:pPr>
            <w:r>
              <w:t>A missing model downloads once; cached models are reused.</w:t>
            </w:r>
          </w:p>
        </w:tc>
        <w:tc>
          <w:tcPr>
            <w:tcW w:type="dxa" w:w="1080"/>
            <w:vAlign w:val="center"/>
          </w:tcPr>
          <w:p>
            <w:pPr>
              <w:pStyle w:val="TableText"/>
              <w:keepNext w:val="0"/>
              <w:jc w:val="center"/>
            </w:pPr>
            <w:r>
              <w:t>TC02.02</w:t>
            </w:r>
          </w:p>
        </w:tc>
      </w:tr>
      <w:tr>
        <w:trPr>
          <w:cantSplit/>
        </w:trPr>
        <w:tc>
          <w:tcPr>
            <w:tcW w:type="dxa" w:w="1008"/>
            <w:vAlign w:val="center"/>
          </w:tcPr>
          <w:p>
            <w:pPr>
              <w:pStyle w:val="TableText"/>
              <w:keepNext w:val="0"/>
              <w:jc w:val="center"/>
            </w:pPr>
            <w:r>
              <w:t>FR02.03</w:t>
            </w:r>
          </w:p>
        </w:tc>
        <w:tc>
          <w:tcPr>
            <w:tcW w:type="dxa" w:w="2923"/>
            <w:vAlign w:val="center"/>
          </w:tcPr>
          <w:p>
            <w:pPr>
              <w:pStyle w:val="TableText"/>
              <w:keepNext w:val="0"/>
            </w:pPr>
            <w:r>
              <w:t>The system shall retrieve relevant sources with ownership and source-type restrictions.</w:t>
            </w:r>
          </w:p>
        </w:tc>
        <w:tc>
          <w:tcPr>
            <w:tcW w:type="dxa" w:w="2664"/>
            <w:vAlign w:val="center"/>
          </w:tcPr>
          <w:p>
            <w:pPr>
              <w:pStyle w:val="TableText"/>
              <w:keepNext w:val="0"/>
            </w:pPr>
            <w:r>
              <w:t>A JD search returns permitted JD references; a question search returns permitted question-bank material.</w:t>
            </w:r>
          </w:p>
        </w:tc>
        <w:tc>
          <w:tcPr>
            <w:tcW w:type="dxa" w:w="1685"/>
            <w:vAlign w:val="center"/>
          </w:tcPr>
          <w:p>
            <w:pPr>
              <w:pStyle w:val="TableText"/>
              <w:keepNext w:val="0"/>
            </w:pPr>
            <w:r>
              <w:t>Similarity retrieves evidence; it is not a recruitment score.</w:t>
            </w:r>
          </w:p>
        </w:tc>
        <w:tc>
          <w:tcPr>
            <w:tcW w:type="dxa" w:w="1080"/>
            <w:vAlign w:val="center"/>
          </w:tcPr>
          <w:p>
            <w:pPr>
              <w:pStyle w:val="TableText"/>
              <w:keepNext w:val="0"/>
              <w:jc w:val="center"/>
            </w:pPr>
            <w:r>
              <w:t>TC02.03</w:t>
            </w:r>
          </w:p>
        </w:tc>
      </w:tr>
      <w:tr>
        <w:trPr>
          <w:cantSplit/>
        </w:trPr>
        <w:tc>
          <w:tcPr>
            <w:tcW w:type="dxa" w:w="1008"/>
            <w:vAlign w:val="center"/>
          </w:tcPr>
          <w:p>
            <w:pPr>
              <w:pStyle w:val="TableText"/>
              <w:keepNext w:val="0"/>
              <w:jc w:val="center"/>
            </w:pPr>
            <w:r>
              <w:t>FR02.04</w:t>
            </w:r>
          </w:p>
        </w:tc>
        <w:tc>
          <w:tcPr>
            <w:tcW w:type="dxa" w:w="2923"/>
            <w:vAlign w:val="center"/>
          </w:tcPr>
          <w:p>
            <w:pPr>
              <w:pStyle w:val="TableText"/>
              <w:keepNext w:val="0"/>
            </w:pPr>
            <w:r>
              <w:t>The system shall isolate private CV vectors from shared knowledge and detect incompatible model changes.</w:t>
            </w:r>
          </w:p>
        </w:tc>
        <w:tc>
          <w:tcPr>
            <w:tcW w:type="dxa" w:w="2664"/>
            <w:vAlign w:val="center"/>
          </w:tcPr>
          <w:p>
            <w:pPr>
              <w:pStyle w:val="TableText"/>
              <w:keepNext w:val="0"/>
            </w:pPr>
            <w:r>
              <w:t>Search never returns another application's private CV passages; incompatible vectors are not mixed.</w:t>
            </w:r>
          </w:p>
        </w:tc>
        <w:tc>
          <w:tcPr>
            <w:tcW w:type="dxa" w:w="1685"/>
            <w:vAlign w:val="center"/>
          </w:tcPr>
          <w:p>
            <w:pPr>
              <w:pStyle w:val="TableText"/>
              <w:keepNext w:val="0"/>
            </w:pPr>
            <w:r>
              <w:t>Model changes require controlled re-indexing.</w:t>
            </w:r>
          </w:p>
        </w:tc>
        <w:tc>
          <w:tcPr>
            <w:tcW w:type="dxa" w:w="1080"/>
            <w:vAlign w:val="center"/>
          </w:tcPr>
          <w:p>
            <w:pPr>
              <w:pStyle w:val="TableText"/>
              <w:keepNext w:val="0"/>
              <w:jc w:val="center"/>
            </w:pPr>
            <w:r>
              <w:t>TC02.04</w:t>
            </w:r>
          </w:p>
        </w:tc>
      </w:tr>
    </w:tbl>
    <w:p>
      <w:pPr>
        <w:pStyle w:val="TableGap"/>
        <w:keepNext w:val="0"/>
      </w:pPr>
    </w:p>
    <w:p>
      <w:bookmarkStart w:id="18" w:name="SRS_18"/>
      <w:pPr>
        <w:pStyle w:val="Heading3"/>
      </w:pPr>
      <w:r>
        <w:t>3.1.3 Job description preparation and approval</w:t>
      </w:r>
      <w:bookmarkEnd w:id="18"/>
    </w:p>
    <w:p>
      <w:pPr>
        <w:keepNext/>
      </w:pPr>
      <w:r>
        <w:t>Actors: Interviewer. Interviewers may create a grounded draft conversationally or enter a job description manually, then review and approve a version.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FR03.01</w:t>
            </w:r>
          </w:p>
        </w:tc>
        <w:tc>
          <w:tcPr>
            <w:tcW w:type="dxa" w:w="2923"/>
            <w:vAlign w:val="center"/>
          </w:tcPr>
          <w:p>
            <w:pPr>
              <w:pStyle w:val="TableText"/>
              <w:keepNext w:val="0"/>
            </w:pPr>
            <w:r>
              <w:t>The system shall draft a JD using relevant historical sources and explicit interviewer details.</w:t>
            </w:r>
          </w:p>
        </w:tc>
        <w:tc>
          <w:tcPr>
            <w:tcW w:type="dxa" w:w="2664"/>
            <w:vAlign w:val="center"/>
          </w:tcPr>
          <w:p>
            <w:pPr>
              <w:pStyle w:val="TableText"/>
              <w:keepNext w:val="0"/>
            </w:pPr>
            <w:r>
              <w:t>The draft contains grounded skills and responsibilities and records source references.</w:t>
            </w:r>
          </w:p>
        </w:tc>
        <w:tc>
          <w:tcPr>
            <w:tcW w:type="dxa" w:w="1685"/>
            <w:vAlign w:val="center"/>
          </w:tcPr>
          <w:p>
            <w:pPr>
              <w:pStyle w:val="TableText"/>
              <w:keepNext w:val="0"/>
            </w:pPr>
            <w:r>
              <w:t>Unrelated roles cannot substitute for missing evidence.</w:t>
            </w:r>
          </w:p>
        </w:tc>
        <w:tc>
          <w:tcPr>
            <w:tcW w:type="dxa" w:w="1080"/>
            <w:vAlign w:val="center"/>
          </w:tcPr>
          <w:p>
            <w:pPr>
              <w:pStyle w:val="TableText"/>
              <w:keepNext w:val="0"/>
              <w:jc w:val="center"/>
            </w:pPr>
            <w:r>
              <w:t>TC03.01</w:t>
            </w:r>
          </w:p>
        </w:tc>
      </w:tr>
      <w:tr>
        <w:trPr>
          <w:cantSplit/>
        </w:trPr>
        <w:tc>
          <w:tcPr>
            <w:tcW w:type="dxa" w:w="1008"/>
            <w:vAlign w:val="center"/>
          </w:tcPr>
          <w:p>
            <w:pPr>
              <w:pStyle w:val="TableText"/>
              <w:keepNext w:val="0"/>
              <w:jc w:val="center"/>
            </w:pPr>
            <w:r>
              <w:t>FR03.02</w:t>
            </w:r>
          </w:p>
        </w:tc>
        <w:tc>
          <w:tcPr>
            <w:tcW w:type="dxa" w:w="2923"/>
            <w:vAlign w:val="center"/>
          </w:tcPr>
          <w:p>
            <w:pPr>
              <w:pStyle w:val="TableText"/>
              <w:keepNext w:val="0"/>
            </w:pPr>
            <w:r>
              <w:t>The system shall ask for essential missing details instead of inventing requirements.</w:t>
            </w:r>
          </w:p>
        </w:tc>
        <w:tc>
          <w:tcPr>
            <w:tcW w:type="dxa" w:w="2664"/>
            <w:vAlign w:val="center"/>
          </w:tcPr>
          <w:p>
            <w:pPr>
              <w:pStyle w:val="TableText"/>
              <w:keepNext w:val="0"/>
            </w:pPr>
            <w:r>
              <w:t>Insufficient source and user detail produces a concise follow-up without a fabricated draft.</w:t>
            </w:r>
          </w:p>
        </w:tc>
        <w:tc>
          <w:tcPr>
            <w:tcW w:type="dxa" w:w="1685"/>
            <w:vAlign w:val="center"/>
          </w:tcPr>
          <w:p>
            <w:pPr>
              <w:pStyle w:val="TableText"/>
              <w:keepNext w:val="0"/>
            </w:pPr>
            <w:r>
              <w:t>No separate requirement-discovery approval workflow.</w:t>
            </w:r>
          </w:p>
        </w:tc>
        <w:tc>
          <w:tcPr>
            <w:tcW w:type="dxa" w:w="1080"/>
            <w:vAlign w:val="center"/>
          </w:tcPr>
          <w:p>
            <w:pPr>
              <w:pStyle w:val="TableText"/>
              <w:keepNext w:val="0"/>
              <w:jc w:val="center"/>
            </w:pPr>
            <w:r>
              <w:t>TC03.02</w:t>
            </w:r>
          </w:p>
        </w:tc>
      </w:tr>
      <w:tr>
        <w:trPr>
          <w:cantSplit/>
        </w:trPr>
        <w:tc>
          <w:tcPr>
            <w:tcW w:type="dxa" w:w="1008"/>
            <w:vAlign w:val="center"/>
          </w:tcPr>
          <w:p>
            <w:pPr>
              <w:pStyle w:val="TableText"/>
              <w:keepNext w:val="0"/>
              <w:jc w:val="center"/>
            </w:pPr>
            <w:r>
              <w:t>FR03.03</w:t>
            </w:r>
          </w:p>
        </w:tc>
        <w:tc>
          <w:tcPr>
            <w:tcW w:type="dxa" w:w="2923"/>
            <w:vAlign w:val="center"/>
          </w:tcPr>
          <w:p>
            <w:pPr>
              <w:pStyle w:val="TableText"/>
              <w:keepNext w:val="0"/>
            </w:pPr>
            <w:r>
              <w:t>The system shall derive an internal screening profile and preserve required versus preferred criteria.</w:t>
            </w:r>
          </w:p>
        </w:tc>
        <w:tc>
          <w:tcPr>
            <w:tcW w:type="dxa" w:w="2664"/>
            <w:vAlign w:val="center"/>
          </w:tcPr>
          <w:p>
            <w:pPr>
              <w:pStyle w:val="TableText"/>
              <w:keepNext w:val="0"/>
            </w:pPr>
            <w:r>
              <w:t>Saved JD criteria and the profile agree, including supported minimum experience.</w:t>
            </w:r>
          </w:p>
        </w:tc>
        <w:tc>
          <w:tcPr>
            <w:tcW w:type="dxa" w:w="1685"/>
            <w:vAlign w:val="center"/>
          </w:tcPr>
          <w:p>
            <w:pPr>
              <w:pStyle w:val="TableText"/>
              <w:keepNext w:val="0"/>
            </w:pPr>
            <w:r>
              <w:t>Unknown qualifications, pay or benefits are not invented.</w:t>
            </w:r>
          </w:p>
        </w:tc>
        <w:tc>
          <w:tcPr>
            <w:tcW w:type="dxa" w:w="1080"/>
            <w:vAlign w:val="center"/>
          </w:tcPr>
          <w:p>
            <w:pPr>
              <w:pStyle w:val="TableText"/>
              <w:keepNext w:val="0"/>
              <w:jc w:val="center"/>
            </w:pPr>
            <w:r>
              <w:t>TC03.03</w:t>
            </w:r>
          </w:p>
        </w:tc>
      </w:tr>
      <w:tr>
        <w:trPr>
          <w:cantSplit/>
        </w:trPr>
        <w:tc>
          <w:tcPr>
            <w:tcW w:type="dxa" w:w="1008"/>
            <w:vAlign w:val="center"/>
          </w:tcPr>
          <w:p>
            <w:pPr>
              <w:pStyle w:val="TableText"/>
              <w:keepNext w:val="0"/>
              <w:jc w:val="center"/>
            </w:pPr>
            <w:r>
              <w:t>FR03.04</w:t>
            </w:r>
          </w:p>
        </w:tc>
        <w:tc>
          <w:tcPr>
            <w:tcW w:type="dxa" w:w="2923"/>
            <w:vAlign w:val="center"/>
          </w:tcPr>
          <w:p>
            <w:pPr>
              <w:pStyle w:val="TableText"/>
              <w:keepNext w:val="0"/>
            </w:pPr>
            <w:r>
              <w:t>The system shall support manual creation, targeted edits and versioned approval.</w:t>
            </w:r>
          </w:p>
        </w:tc>
        <w:tc>
          <w:tcPr>
            <w:tcW w:type="dxa" w:w="2664"/>
            <w:vAlign w:val="center"/>
          </w:tcPr>
          <w:p>
            <w:pPr>
              <w:pStyle w:val="TableText"/>
              <w:keepNext w:val="0"/>
            </w:pPr>
            <w:r>
              <w:t>Edits preserve unrelated content; explicit approval marks the reviewed version.</w:t>
            </w:r>
          </w:p>
        </w:tc>
        <w:tc>
          <w:tcPr>
            <w:tcW w:type="dxa" w:w="1685"/>
            <w:vAlign w:val="center"/>
          </w:tcPr>
          <w:p>
            <w:pPr>
              <w:pStyle w:val="TableText"/>
              <w:keepNext w:val="0"/>
            </w:pPr>
            <w:r>
              <w:t>An approved version remains preserved when a new draft is made.</w:t>
            </w:r>
          </w:p>
        </w:tc>
        <w:tc>
          <w:tcPr>
            <w:tcW w:type="dxa" w:w="1080"/>
            <w:vAlign w:val="center"/>
          </w:tcPr>
          <w:p>
            <w:pPr>
              <w:pStyle w:val="TableText"/>
              <w:keepNext w:val="0"/>
              <w:jc w:val="center"/>
            </w:pPr>
            <w:r>
              <w:t>TC03.04</w:t>
            </w:r>
          </w:p>
        </w:tc>
      </w:tr>
      <w:tr>
        <w:trPr>
          <w:cantSplit/>
        </w:trPr>
        <w:tc>
          <w:tcPr>
            <w:tcW w:type="dxa" w:w="1008"/>
            <w:vAlign w:val="center"/>
          </w:tcPr>
          <w:p>
            <w:pPr>
              <w:pStyle w:val="TableText"/>
              <w:keepNext w:val="0"/>
              <w:jc w:val="center"/>
            </w:pPr>
            <w:r>
              <w:t>FR03.05</w:t>
            </w:r>
          </w:p>
        </w:tc>
        <w:tc>
          <w:tcPr>
            <w:tcW w:type="dxa" w:w="2923"/>
            <w:vAlign w:val="center"/>
          </w:tcPr>
          <w:p>
            <w:pPr>
              <w:pStyle w:val="TableText"/>
              <w:keepNext w:val="0"/>
            </w:pPr>
            <w:r>
              <w:t>The system shall prevent generation or editing from implicitly publishing a job.</w:t>
            </w:r>
          </w:p>
        </w:tc>
        <w:tc>
          <w:tcPr>
            <w:tcW w:type="dxa" w:w="2664"/>
            <w:vAlign w:val="center"/>
          </w:tcPr>
          <w:p>
            <w:pPr>
              <w:pStyle w:val="TableText"/>
              <w:keepNext w:val="0"/>
            </w:pPr>
            <w:r>
              <w:t>Drafting and approval alone produce no external post.</w:t>
            </w:r>
          </w:p>
        </w:tc>
        <w:tc>
          <w:tcPr>
            <w:tcW w:type="dxa" w:w="1685"/>
            <w:vAlign w:val="center"/>
          </w:tcPr>
          <w:p>
            <w:pPr>
              <w:pStyle w:val="TableText"/>
              <w:keepNext w:val="0"/>
            </w:pPr>
            <w:r>
              <w:t>Publication is a separate confirmed operation.</w:t>
            </w:r>
          </w:p>
        </w:tc>
        <w:tc>
          <w:tcPr>
            <w:tcW w:type="dxa" w:w="1080"/>
            <w:vAlign w:val="center"/>
          </w:tcPr>
          <w:p>
            <w:pPr>
              <w:pStyle w:val="TableText"/>
              <w:keepNext w:val="0"/>
              <w:jc w:val="center"/>
            </w:pPr>
            <w:r>
              <w:t>TC03.05</w:t>
            </w:r>
          </w:p>
        </w:tc>
      </w:tr>
    </w:tbl>
    <w:p>
      <w:pPr>
        <w:pStyle w:val="TableGap"/>
        <w:keepNext w:val="0"/>
      </w:pPr>
    </w:p>
    <w:p>
      <w:bookmarkStart w:id="19" w:name="SRS_19"/>
      <w:pPr>
        <w:pStyle w:val="Heading3"/>
      </w:pPr>
      <w:r>
        <w:t>3.1.4 Job publication through Discord</w:t>
      </w:r>
      <w:bookmarkEnd w:id="19"/>
    </w:p>
    <w:p>
      <w:pPr>
        <w:keepNext/>
      </w:pPr>
      <w:r>
        <w:t>Actors: Interviewer, job posting MCP service. A reviewed approved job can be published to a configured Discord channel through a dedicated service.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FR04.01</w:t>
            </w:r>
          </w:p>
        </w:tc>
        <w:tc>
          <w:tcPr>
            <w:tcW w:type="dxa" w:w="2923"/>
            <w:vAlign w:val="center"/>
          </w:tcPr>
          <w:p>
            <w:pPr>
              <w:pStyle w:val="TableText"/>
              <w:keepNext w:val="0"/>
            </w:pPr>
            <w:r>
              <w:t>The system shall prepare a post from an approved JD version, application URL and deadline.</w:t>
            </w:r>
          </w:p>
        </w:tc>
        <w:tc>
          <w:tcPr>
            <w:tcW w:type="dxa" w:w="2664"/>
            <w:vAlign w:val="center"/>
          </w:tcPr>
          <w:p>
            <w:pPr>
              <w:pStyle w:val="TableText"/>
              <w:keepNext w:val="0"/>
            </w:pPr>
            <w:r>
              <w:t>The preview displays the intended content, destination, application link and deadline.</w:t>
            </w:r>
          </w:p>
        </w:tc>
        <w:tc>
          <w:tcPr>
            <w:tcW w:type="dxa" w:w="1685"/>
            <w:vAlign w:val="center"/>
          </w:tcPr>
          <w:p>
            <w:pPr>
              <w:pStyle w:val="TableText"/>
              <w:keepNext w:val="0"/>
            </w:pPr>
            <w:r>
              <w:t>Employer branding and channel are configured.</w:t>
            </w:r>
          </w:p>
        </w:tc>
        <w:tc>
          <w:tcPr>
            <w:tcW w:type="dxa" w:w="1080"/>
            <w:vAlign w:val="center"/>
          </w:tcPr>
          <w:p>
            <w:pPr>
              <w:pStyle w:val="TableText"/>
              <w:keepNext w:val="0"/>
              <w:jc w:val="center"/>
            </w:pPr>
            <w:r>
              <w:t>TC04.01</w:t>
            </w:r>
          </w:p>
        </w:tc>
      </w:tr>
      <w:tr>
        <w:trPr>
          <w:cantSplit/>
        </w:trPr>
        <w:tc>
          <w:tcPr>
            <w:tcW w:type="dxa" w:w="1008"/>
            <w:vAlign w:val="center"/>
          </w:tcPr>
          <w:p>
            <w:pPr>
              <w:pStyle w:val="TableText"/>
              <w:keepNext w:val="0"/>
              <w:jc w:val="center"/>
            </w:pPr>
            <w:r>
              <w:t>FR04.02</w:t>
            </w:r>
          </w:p>
        </w:tc>
        <w:tc>
          <w:tcPr>
            <w:tcW w:type="dxa" w:w="2923"/>
            <w:vAlign w:val="center"/>
          </w:tcPr>
          <w:p>
            <w:pPr>
              <w:pStyle w:val="TableText"/>
              <w:keepNext w:val="0"/>
            </w:pPr>
            <w:r>
              <w:t>The system shall require explicit interviewer approval of the current preview before publication.</w:t>
            </w:r>
          </w:p>
        </w:tc>
        <w:tc>
          <w:tcPr>
            <w:tcW w:type="dxa" w:w="2664"/>
            <w:vAlign w:val="center"/>
          </w:tcPr>
          <w:p>
            <w:pPr>
              <w:pStyle w:val="TableText"/>
              <w:keepNext w:val="0"/>
            </w:pPr>
            <w:r>
              <w:t>Unconfirmed or rejected previews do not produce Discord messages.</w:t>
            </w:r>
          </w:p>
        </w:tc>
        <w:tc>
          <w:tcPr>
            <w:tcW w:type="dxa" w:w="1685"/>
            <w:vAlign w:val="center"/>
          </w:tcPr>
          <w:p>
            <w:pPr>
              <w:pStyle w:val="TableText"/>
              <w:keepNext w:val="0"/>
            </w:pPr>
            <w:r>
              <w:t>An outdated JD/preview requires renewed review.</w:t>
            </w:r>
          </w:p>
        </w:tc>
        <w:tc>
          <w:tcPr>
            <w:tcW w:type="dxa" w:w="1080"/>
            <w:vAlign w:val="center"/>
          </w:tcPr>
          <w:p>
            <w:pPr>
              <w:pStyle w:val="TableText"/>
              <w:keepNext w:val="0"/>
              <w:jc w:val="center"/>
            </w:pPr>
            <w:r>
              <w:t>TC04.02</w:t>
            </w:r>
          </w:p>
        </w:tc>
      </w:tr>
      <w:tr>
        <w:trPr>
          <w:cantSplit/>
        </w:trPr>
        <w:tc>
          <w:tcPr>
            <w:tcW w:type="dxa" w:w="1008"/>
            <w:vAlign w:val="center"/>
          </w:tcPr>
          <w:p>
            <w:pPr>
              <w:pStyle w:val="TableText"/>
              <w:keepNext w:val="0"/>
              <w:jc w:val="center"/>
            </w:pPr>
            <w:r>
              <w:t>FR04.03</w:t>
            </w:r>
          </w:p>
        </w:tc>
        <w:tc>
          <w:tcPr>
            <w:tcW w:type="dxa" w:w="2923"/>
            <w:vAlign w:val="center"/>
          </w:tcPr>
          <w:p>
            <w:pPr>
              <w:pStyle w:val="TableText"/>
              <w:keepNext w:val="0"/>
            </w:pPr>
            <w:r>
              <w:t>The system shall publish through the private job posting MCP service and save its outcome.</w:t>
            </w:r>
          </w:p>
        </w:tc>
        <w:tc>
          <w:tcPr>
            <w:tcW w:type="dxa" w:w="2664"/>
            <w:vAlign w:val="center"/>
          </w:tcPr>
          <w:p>
            <w:pPr>
              <w:pStyle w:val="TableText"/>
              <w:keepNext w:val="0"/>
            </w:pPr>
            <w:r>
              <w:t>A successful publication stores its external reference and reviewed version.</w:t>
            </w:r>
          </w:p>
        </w:tc>
        <w:tc>
          <w:tcPr>
            <w:tcW w:type="dxa" w:w="1685"/>
            <w:vAlign w:val="center"/>
          </w:tcPr>
          <w:p>
            <w:pPr>
              <w:pStyle w:val="TableText"/>
              <w:keepNext w:val="0"/>
            </w:pPr>
            <w:r>
              <w:t>The bot token remains service-side.</w:t>
            </w:r>
          </w:p>
        </w:tc>
        <w:tc>
          <w:tcPr>
            <w:tcW w:type="dxa" w:w="1080"/>
            <w:vAlign w:val="center"/>
          </w:tcPr>
          <w:p>
            <w:pPr>
              <w:pStyle w:val="TableText"/>
              <w:keepNext w:val="0"/>
              <w:jc w:val="center"/>
            </w:pPr>
            <w:r>
              <w:t>TC04.03</w:t>
            </w:r>
          </w:p>
        </w:tc>
      </w:tr>
      <w:tr>
        <w:trPr>
          <w:cantSplit/>
        </w:trPr>
        <w:tc>
          <w:tcPr>
            <w:tcW w:type="dxa" w:w="1008"/>
            <w:vAlign w:val="center"/>
          </w:tcPr>
          <w:p>
            <w:pPr>
              <w:pStyle w:val="TableText"/>
              <w:keepNext w:val="0"/>
              <w:jc w:val="center"/>
            </w:pPr>
            <w:r>
              <w:t>FR04.04</w:t>
            </w:r>
          </w:p>
        </w:tc>
        <w:tc>
          <w:tcPr>
            <w:tcW w:type="dxa" w:w="2923"/>
            <w:vAlign w:val="center"/>
          </w:tcPr>
          <w:p>
            <w:pPr>
              <w:pStyle w:val="TableText"/>
              <w:keepNext w:val="0"/>
            </w:pPr>
            <w:r>
              <w:t>The system shall handle repeated and uncertain publication requests safely.</w:t>
            </w:r>
          </w:p>
        </w:tc>
        <w:tc>
          <w:tcPr>
            <w:tcW w:type="dxa" w:w="2664"/>
            <w:vAlign w:val="center"/>
          </w:tcPr>
          <w:p>
            <w:pPr>
              <w:pStyle w:val="TableText"/>
              <w:keepNext w:val="0"/>
            </w:pPr>
            <w:r>
              <w:t>Duplicate confirmation does not knowingly create another identical post; failures remain visible.</w:t>
            </w:r>
          </w:p>
        </w:tc>
        <w:tc>
          <w:tcPr>
            <w:tcW w:type="dxa" w:w="1685"/>
            <w:vAlign w:val="center"/>
          </w:tcPr>
          <w:p>
            <w:pPr>
              <w:pStyle w:val="TableText"/>
              <w:keepNext w:val="0"/>
            </w:pPr>
            <w:r>
              <w:t>Do not blindly retry uncertain external outcomes.</w:t>
            </w:r>
          </w:p>
        </w:tc>
        <w:tc>
          <w:tcPr>
            <w:tcW w:type="dxa" w:w="1080"/>
            <w:vAlign w:val="center"/>
          </w:tcPr>
          <w:p>
            <w:pPr>
              <w:pStyle w:val="TableText"/>
              <w:keepNext w:val="0"/>
              <w:jc w:val="center"/>
            </w:pPr>
            <w:r>
              <w:t>TC04.04</w:t>
            </w:r>
          </w:p>
        </w:tc>
      </w:tr>
    </w:tbl>
    <w:p>
      <w:pPr>
        <w:pStyle w:val="TableGap"/>
        <w:keepNext w:val="0"/>
      </w:pPr>
    </w:p>
    <w:p>
      <w:bookmarkStart w:id="20" w:name="SRS_20"/>
      <w:pPr>
        <w:pStyle w:val="Heading3"/>
      </w:pPr>
      <w:r>
        <w:t>3.1.5 Application intake and candidate management</w:t>
      </w:r>
      <w:bookmarkEnd w:id="20"/>
    </w:p>
    <w:p>
      <w:pPr>
        <w:keepNext/>
      </w:pPr>
      <w:r>
        <w:t>Actors: Interviewer, Google Sheets and Drive integration. Google Form responses are imported read-only and routed to their intended job posting.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FR05.01</w:t>
            </w:r>
          </w:p>
        </w:tc>
        <w:tc>
          <w:tcPr>
            <w:tcW w:type="dxa" w:w="2923"/>
            <w:vAlign w:val="center"/>
          </w:tcPr>
          <w:p>
            <w:pPr>
              <w:pStyle w:val="TableText"/>
              <w:keepNext w:val="0"/>
            </w:pPr>
            <w:r>
              <w:t>The system shall import response rows and privately download supported CV/photo files.</w:t>
            </w:r>
          </w:p>
        </w:tc>
        <w:tc>
          <w:tcPr>
            <w:tcW w:type="dxa" w:w="2664"/>
            <w:vAlign w:val="center"/>
          </w:tcPr>
          <w:p>
            <w:pPr>
              <w:pStyle w:val="TableText"/>
              <w:keepNext w:val="0"/>
            </w:pPr>
            <w:r>
              <w:t>Each imported application has the correct posting, source identity and document metadata.</w:t>
            </w:r>
          </w:p>
        </w:tc>
        <w:tc>
          <w:tcPr>
            <w:tcW w:type="dxa" w:w="1685"/>
            <w:vAlign w:val="center"/>
          </w:tcPr>
          <w:p>
            <w:pPr>
              <w:pStyle w:val="TableText"/>
              <w:keepNext w:val="0"/>
            </w:pPr>
            <w:r>
              <w:t>Service-account viewer access and column mappings are required.</w:t>
            </w:r>
          </w:p>
        </w:tc>
        <w:tc>
          <w:tcPr>
            <w:tcW w:type="dxa" w:w="1080"/>
            <w:vAlign w:val="center"/>
          </w:tcPr>
          <w:p>
            <w:pPr>
              <w:pStyle w:val="TableText"/>
              <w:keepNext w:val="0"/>
              <w:jc w:val="center"/>
            </w:pPr>
            <w:r>
              <w:t>TC05.01</w:t>
            </w:r>
          </w:p>
        </w:tc>
      </w:tr>
      <w:tr>
        <w:trPr>
          <w:cantSplit/>
        </w:trPr>
        <w:tc>
          <w:tcPr>
            <w:tcW w:type="dxa" w:w="1008"/>
            <w:vAlign w:val="center"/>
          </w:tcPr>
          <w:p>
            <w:pPr>
              <w:pStyle w:val="TableText"/>
              <w:keepNext w:val="0"/>
              <w:jc w:val="center"/>
            </w:pPr>
            <w:r>
              <w:t>FR05.02</w:t>
            </w:r>
          </w:p>
        </w:tc>
        <w:tc>
          <w:tcPr>
            <w:tcW w:type="dxa" w:w="2923"/>
            <w:vAlign w:val="center"/>
          </w:tcPr>
          <w:p>
            <w:pPr>
              <w:pStyle w:val="TableText"/>
              <w:keepNext w:val="0"/>
            </w:pPr>
            <w:r>
              <w:t>The system shall synchronize idempotently using source identities and file hashes.</w:t>
            </w:r>
          </w:p>
        </w:tc>
        <w:tc>
          <w:tcPr>
            <w:tcW w:type="dxa" w:w="2664"/>
            <w:vAlign w:val="center"/>
          </w:tcPr>
          <w:p>
            <w:pPr>
              <w:pStyle w:val="TableText"/>
              <w:keepNext w:val="0"/>
            </w:pPr>
            <w:r>
              <w:t>Re-sync of an unchanged response does not duplicate applications or documents.</w:t>
            </w:r>
          </w:p>
        </w:tc>
        <w:tc>
          <w:tcPr>
            <w:tcW w:type="dxa" w:w="1685"/>
            <w:vAlign w:val="center"/>
          </w:tcPr>
          <w:p>
            <w:pPr>
              <w:pStyle w:val="TableText"/>
              <w:keepNext w:val="0"/>
            </w:pPr>
            <w:r>
              <w:t>Failures identify affected rows without undoing successful imports.</w:t>
            </w:r>
          </w:p>
        </w:tc>
        <w:tc>
          <w:tcPr>
            <w:tcW w:type="dxa" w:w="1080"/>
            <w:vAlign w:val="center"/>
          </w:tcPr>
          <w:p>
            <w:pPr>
              <w:pStyle w:val="TableText"/>
              <w:keepNext w:val="0"/>
              <w:jc w:val="center"/>
            </w:pPr>
            <w:r>
              <w:t>TC05.02</w:t>
            </w:r>
          </w:p>
        </w:tc>
      </w:tr>
      <w:tr>
        <w:trPr>
          <w:cantSplit/>
        </w:trPr>
        <w:tc>
          <w:tcPr>
            <w:tcW w:type="dxa" w:w="1008"/>
            <w:vAlign w:val="center"/>
          </w:tcPr>
          <w:p>
            <w:pPr>
              <w:pStyle w:val="TableText"/>
              <w:keepNext w:val="0"/>
              <w:jc w:val="center"/>
            </w:pPr>
            <w:r>
              <w:t>FR05.03</w:t>
            </w:r>
          </w:p>
        </w:tc>
        <w:tc>
          <w:tcPr>
            <w:tcW w:type="dxa" w:w="2923"/>
            <w:vAlign w:val="center"/>
          </w:tcPr>
          <w:p>
            <w:pPr>
              <w:pStyle w:val="TableText"/>
              <w:keepNext w:val="0"/>
            </w:pPr>
            <w:r>
              <w:t>The system shall isolate application profiles despite repeated email addresses.</w:t>
            </w:r>
          </w:p>
        </w:tc>
        <w:tc>
          <w:tcPr>
            <w:tcW w:type="dxa" w:w="2664"/>
            <w:vAlign w:val="center"/>
          </w:tcPr>
          <w:p>
            <w:pPr>
              <w:pStyle w:val="TableText"/>
              <w:keepNext w:val="0"/>
            </w:pPr>
            <w:r>
              <w:t>Two applications with the same email cannot silently overwrite each other's identity or evidence.</w:t>
            </w:r>
          </w:p>
        </w:tc>
        <w:tc>
          <w:tcPr>
            <w:tcW w:type="dxa" w:w="1685"/>
            <w:vAlign w:val="center"/>
          </w:tcPr>
          <w:p>
            <w:pPr>
              <w:pStyle w:val="TableText"/>
              <w:keepNext w:val="0"/>
            </w:pPr>
            <w:r>
              <w:t>Duplicate detection is conservative and traceable.</w:t>
            </w:r>
          </w:p>
        </w:tc>
        <w:tc>
          <w:tcPr>
            <w:tcW w:type="dxa" w:w="1080"/>
            <w:vAlign w:val="center"/>
          </w:tcPr>
          <w:p>
            <w:pPr>
              <w:pStyle w:val="TableText"/>
              <w:keepNext w:val="0"/>
              <w:jc w:val="center"/>
            </w:pPr>
            <w:r>
              <w:t>TC05.03</w:t>
            </w:r>
          </w:p>
        </w:tc>
      </w:tr>
      <w:tr>
        <w:trPr>
          <w:cantSplit/>
        </w:trPr>
        <w:tc>
          <w:tcPr>
            <w:tcW w:type="dxa" w:w="1008"/>
            <w:vAlign w:val="center"/>
          </w:tcPr>
          <w:p>
            <w:pPr>
              <w:pStyle w:val="TableText"/>
              <w:keepNext w:val="0"/>
              <w:jc w:val="center"/>
            </w:pPr>
            <w:r>
              <w:t>FR05.04</w:t>
            </w:r>
          </w:p>
        </w:tc>
        <w:tc>
          <w:tcPr>
            <w:tcW w:type="dxa" w:w="2923"/>
            <w:vAlign w:val="center"/>
          </w:tcPr>
          <w:p>
            <w:pPr>
              <w:pStyle w:val="TableText"/>
              <w:keepNext w:val="0"/>
            </w:pPr>
            <w:r>
              <w:t>The system shall provide candidate search, job filters, pagination and private document access.</w:t>
            </w:r>
          </w:p>
        </w:tc>
        <w:tc>
          <w:tcPr>
            <w:tcW w:type="dxa" w:w="2664"/>
            <w:vAlign w:val="center"/>
          </w:tcPr>
          <w:p>
            <w:pPr>
              <w:pStyle w:val="TableText"/>
              <w:keepNext w:val="0"/>
            </w:pPr>
            <w:r>
              <w:t>Counts and pages reflect the selected authorized posting/filter; CV access is authenticated.</w:t>
            </w:r>
          </w:p>
        </w:tc>
        <w:tc>
          <w:tcPr>
            <w:tcW w:type="dxa" w:w="1685"/>
            <w:vAlign w:val="center"/>
          </w:tcPr>
          <w:p>
            <w:pPr>
              <w:pStyle w:val="TableText"/>
              <w:keepNext w:val="0"/>
            </w:pPr>
            <w:r>
              <w:t>Private storage paths and Drive URLs are not exposed publicly.</w:t>
            </w:r>
          </w:p>
        </w:tc>
        <w:tc>
          <w:tcPr>
            <w:tcW w:type="dxa" w:w="1080"/>
            <w:vAlign w:val="center"/>
          </w:tcPr>
          <w:p>
            <w:pPr>
              <w:pStyle w:val="TableText"/>
              <w:keepNext w:val="0"/>
              <w:jc w:val="center"/>
            </w:pPr>
            <w:r>
              <w:t>TC05.04</w:t>
            </w:r>
          </w:p>
        </w:tc>
      </w:tr>
      <w:tr>
        <w:trPr>
          <w:cantSplit/>
        </w:trPr>
        <w:tc>
          <w:tcPr>
            <w:tcW w:type="dxa" w:w="1008"/>
            <w:vAlign w:val="center"/>
          </w:tcPr>
          <w:p>
            <w:pPr>
              <w:pStyle w:val="TableText"/>
              <w:keepNext w:val="0"/>
              <w:jc w:val="center"/>
            </w:pPr>
            <w:r>
              <w:t>FR05.05</w:t>
            </w:r>
          </w:p>
        </w:tc>
        <w:tc>
          <w:tcPr>
            <w:tcW w:type="dxa" w:w="2923"/>
            <w:vAlign w:val="center"/>
          </w:tcPr>
          <w:p>
            <w:pPr>
              <w:pStyle w:val="TableText"/>
              <w:keepNext w:val="0"/>
            </w:pPr>
            <w:r>
              <w:t>The system shall delete selected applications and prevent unintended re-import.</w:t>
            </w:r>
          </w:p>
        </w:tc>
        <w:tc>
          <w:tcPr>
            <w:tcW w:type="dxa" w:w="2664"/>
            <w:vAlign w:val="center"/>
          </w:tcPr>
          <w:p>
            <w:pPr>
              <w:pStyle w:val="TableText"/>
              <w:keepNext w:val="0"/>
            </w:pPr>
            <w:r>
              <w:t>Deleted source responses are excluded on later sync unless explicitly repaired.</w:t>
            </w:r>
          </w:p>
        </w:tc>
        <w:tc>
          <w:tcPr>
            <w:tcW w:type="dxa" w:w="1685"/>
            <w:vAlign w:val="center"/>
          </w:tcPr>
          <w:p>
            <w:pPr>
              <w:pStyle w:val="TableText"/>
              <w:keepNext w:val="0"/>
            </w:pPr>
            <w:r>
              <w:t>Dependent assessments and private artifacts follow deletion rules.</w:t>
            </w:r>
          </w:p>
        </w:tc>
        <w:tc>
          <w:tcPr>
            <w:tcW w:type="dxa" w:w="1080"/>
            <w:vAlign w:val="center"/>
          </w:tcPr>
          <w:p>
            <w:pPr>
              <w:pStyle w:val="TableText"/>
              <w:keepNext w:val="0"/>
              <w:jc w:val="center"/>
            </w:pPr>
            <w:r>
              <w:t>TC05.05</w:t>
            </w:r>
          </w:p>
        </w:tc>
      </w:tr>
      <w:tr>
        <w:trPr>
          <w:cantSplit/>
        </w:trPr>
        <w:tc>
          <w:tcPr>
            <w:tcW w:type="dxa" w:w="1008"/>
            <w:vAlign w:val="center"/>
          </w:tcPr>
          <w:p>
            <w:pPr>
              <w:pStyle w:val="TableText"/>
              <w:keepNext w:val="0"/>
              <w:jc w:val="center"/>
            </w:pPr>
            <w:r>
              <w:t>FR05.06</w:t>
            </w:r>
          </w:p>
        </w:tc>
        <w:tc>
          <w:tcPr>
            <w:tcW w:type="dxa" w:w="2923"/>
            <w:vAlign w:val="center"/>
          </w:tcPr>
          <w:p>
            <w:pPr>
              <w:pStyle w:val="TableText"/>
              <w:keepNext w:val="0"/>
            </w:pPr>
            <w:r>
              <w:t>The system shall show job-specific notifications for pending form responses.</w:t>
            </w:r>
          </w:p>
        </w:tc>
        <w:tc>
          <w:tcPr>
            <w:tcW w:type="dxa" w:w="2664"/>
            <w:vAlign w:val="center"/>
          </w:tcPr>
          <w:p>
            <w:pPr>
              <w:pStyle w:val="TableText"/>
              <w:keepNext w:val="0"/>
            </w:pPr>
            <w:r>
              <w:t>Pending counts direct the interviewer to the relevant posting and synchronization action.</w:t>
            </w:r>
          </w:p>
        </w:tc>
        <w:tc>
          <w:tcPr>
            <w:tcW w:type="dxa" w:w="1685"/>
            <w:vAlign w:val="center"/>
          </w:tcPr>
          <w:p>
            <w:pPr>
              <w:pStyle w:val="TableText"/>
              <w:keepNext w:val="0"/>
            </w:pPr>
            <w:r>
              <w:t>Unavailable Google access is shown as unavailable, not zero pending.</w:t>
            </w:r>
          </w:p>
        </w:tc>
        <w:tc>
          <w:tcPr>
            <w:tcW w:type="dxa" w:w="1080"/>
            <w:vAlign w:val="center"/>
          </w:tcPr>
          <w:p>
            <w:pPr>
              <w:pStyle w:val="TableText"/>
              <w:keepNext w:val="0"/>
              <w:jc w:val="center"/>
            </w:pPr>
            <w:r>
              <w:t>TC05.06</w:t>
            </w:r>
          </w:p>
        </w:tc>
      </w:tr>
    </w:tbl>
    <w:p>
      <w:pPr>
        <w:pStyle w:val="TableGap"/>
        <w:keepNext w:val="0"/>
      </w:pPr>
    </w:p>
    <w:p>
      <w:bookmarkStart w:id="21" w:name="SRS_21"/>
      <w:pPr>
        <w:pStyle w:val="Heading3"/>
      </w:pPr>
      <w:r>
        <w:t>3.1.6 CV extraction OCR and evidence screening</w:t>
      </w:r>
      <w:bookmarkEnd w:id="21"/>
    </w:p>
    <w:p>
      <w:pPr>
        <w:keepNext/>
      </w:pPr>
      <w:r>
        <w:t>Actors: Interviewer, screening services. Screening extracts usable text and checks job requirements against source-backed candidate evidence.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FR06.01</w:t>
            </w:r>
          </w:p>
        </w:tc>
        <w:tc>
          <w:tcPr>
            <w:tcW w:type="dxa" w:w="2923"/>
            <w:vAlign w:val="center"/>
          </w:tcPr>
          <w:p>
            <w:pPr>
              <w:pStyle w:val="TableText"/>
              <w:keepNext w:val="0"/>
            </w:pPr>
            <w:r>
              <w:t>The system shall extract text from supported PDF and DOCX CVs.</w:t>
            </w:r>
          </w:p>
        </w:tc>
        <w:tc>
          <w:tcPr>
            <w:tcW w:type="dxa" w:w="2664"/>
            <w:vAlign w:val="center"/>
          </w:tcPr>
          <w:p>
            <w:pPr>
              <w:pStyle w:val="TableText"/>
              <w:keepNext w:val="0"/>
            </w:pPr>
            <w:r>
              <w:t>Native documents retain page/block locators and original source text.</w:t>
            </w:r>
          </w:p>
        </w:tc>
        <w:tc>
          <w:tcPr>
            <w:tcW w:type="dxa" w:w="1685"/>
            <w:vAlign w:val="center"/>
          </w:tcPr>
          <w:p>
            <w:pPr>
              <w:pStyle w:val="TableText"/>
              <w:keepNext w:val="0"/>
            </w:pPr>
            <w:r>
              <w:t>Default CV bounds are 10 MB, 40 pages and 150000 characters.</w:t>
            </w:r>
          </w:p>
        </w:tc>
        <w:tc>
          <w:tcPr>
            <w:tcW w:type="dxa" w:w="1080"/>
            <w:vAlign w:val="center"/>
          </w:tcPr>
          <w:p>
            <w:pPr>
              <w:pStyle w:val="TableText"/>
              <w:keepNext w:val="0"/>
              <w:jc w:val="center"/>
            </w:pPr>
            <w:r>
              <w:t>TC06.01</w:t>
            </w:r>
          </w:p>
        </w:tc>
      </w:tr>
      <w:tr>
        <w:trPr>
          <w:cantSplit/>
        </w:trPr>
        <w:tc>
          <w:tcPr>
            <w:tcW w:type="dxa" w:w="1008"/>
            <w:vAlign w:val="center"/>
          </w:tcPr>
          <w:p>
            <w:pPr>
              <w:pStyle w:val="TableText"/>
              <w:keepNext w:val="0"/>
              <w:jc w:val="center"/>
            </w:pPr>
            <w:r>
              <w:t>FR06.02</w:t>
            </w:r>
          </w:p>
        </w:tc>
        <w:tc>
          <w:tcPr>
            <w:tcW w:type="dxa" w:w="2923"/>
            <w:vAlign w:val="center"/>
          </w:tcPr>
          <w:p>
            <w:pPr>
              <w:pStyle w:val="TableText"/>
              <w:keepNext w:val="0"/>
            </w:pPr>
            <w:r>
              <w:t>The system shall use local OCR for scanned PDF pages when native text is insufficient.</w:t>
            </w:r>
          </w:p>
        </w:tc>
        <w:tc>
          <w:tcPr>
            <w:tcW w:type="dxa" w:w="2664"/>
            <w:vAlign w:val="center"/>
          </w:tcPr>
          <w:p>
            <w:pPr>
              <w:pStyle w:val="TableText"/>
              <w:keepNext w:val="0"/>
            </w:pPr>
            <w:r>
              <w:t>Accepted OCR retains page references and uncertainty warnings.</w:t>
            </w:r>
          </w:p>
        </w:tc>
        <w:tc>
          <w:tcPr>
            <w:tcW w:type="dxa" w:w="1685"/>
            <w:vAlign w:val="center"/>
          </w:tcPr>
          <w:p>
            <w:pPr>
              <w:pStyle w:val="TableText"/>
              <w:keepNext w:val="0"/>
            </w:pPr>
            <w:r>
              <w:t>Default OCR cap is 8 pages, confidence 80 and uncertain ratio at most 0.15.</w:t>
            </w:r>
          </w:p>
        </w:tc>
        <w:tc>
          <w:tcPr>
            <w:tcW w:type="dxa" w:w="1080"/>
            <w:vAlign w:val="center"/>
          </w:tcPr>
          <w:p>
            <w:pPr>
              <w:pStyle w:val="TableText"/>
              <w:keepNext w:val="0"/>
              <w:jc w:val="center"/>
            </w:pPr>
            <w:r>
              <w:t>TC06.02</w:t>
            </w:r>
          </w:p>
        </w:tc>
      </w:tr>
      <w:tr>
        <w:trPr>
          <w:cantSplit/>
        </w:trPr>
        <w:tc>
          <w:tcPr>
            <w:tcW w:type="dxa" w:w="1008"/>
            <w:vAlign w:val="center"/>
          </w:tcPr>
          <w:p>
            <w:pPr>
              <w:pStyle w:val="TableText"/>
              <w:keepNext w:val="0"/>
              <w:jc w:val="center"/>
            </w:pPr>
            <w:r>
              <w:t>FR06.03</w:t>
            </w:r>
          </w:p>
        </w:tc>
        <w:tc>
          <w:tcPr>
            <w:tcW w:type="dxa" w:w="2923"/>
            <w:vAlign w:val="center"/>
          </w:tcPr>
          <w:p>
            <w:pPr>
              <w:pStyle w:val="TableText"/>
              <w:keepNext w:val="0"/>
            </w:pPr>
            <w:r>
              <w:t>The system shall reject unreadable or unreliable extraction without awarding a zero score.</w:t>
            </w:r>
          </w:p>
        </w:tc>
        <w:tc>
          <w:tcPr>
            <w:tcW w:type="dxa" w:w="2664"/>
            <w:vAlign w:val="center"/>
          </w:tcPr>
          <w:p>
            <w:pPr>
              <w:pStyle w:val="TableText"/>
              <w:keepNext w:val="0"/>
            </w:pPr>
            <w:r>
              <w:t>The affected document shows a processing issue and a retry path.</w:t>
            </w:r>
          </w:p>
        </w:tc>
        <w:tc>
          <w:tcPr>
            <w:tcW w:type="dxa" w:w="1685"/>
            <w:vAlign w:val="center"/>
          </w:tcPr>
          <w:p>
            <w:pPr>
              <w:pStyle w:val="TableText"/>
              <w:keepNext w:val="0"/>
            </w:pPr>
            <w:r>
              <w:t>A processing failure is not evidence of candidate inability.</w:t>
            </w:r>
          </w:p>
        </w:tc>
        <w:tc>
          <w:tcPr>
            <w:tcW w:type="dxa" w:w="1080"/>
            <w:vAlign w:val="center"/>
          </w:tcPr>
          <w:p>
            <w:pPr>
              <w:pStyle w:val="TableText"/>
              <w:keepNext w:val="0"/>
              <w:jc w:val="center"/>
            </w:pPr>
            <w:r>
              <w:t>TC06.03</w:t>
            </w:r>
          </w:p>
        </w:tc>
      </w:tr>
      <w:tr>
        <w:trPr>
          <w:cantSplit/>
        </w:trPr>
        <w:tc>
          <w:tcPr>
            <w:tcW w:type="dxa" w:w="1008"/>
            <w:vAlign w:val="center"/>
          </w:tcPr>
          <w:p>
            <w:pPr>
              <w:pStyle w:val="TableText"/>
              <w:keepNext w:val="0"/>
              <w:jc w:val="center"/>
            </w:pPr>
            <w:r>
              <w:t>FR06.04</w:t>
            </w:r>
          </w:p>
        </w:tc>
        <w:tc>
          <w:tcPr>
            <w:tcW w:type="dxa" w:w="2923"/>
            <w:vAlign w:val="center"/>
          </w:tcPr>
          <w:p>
            <w:pPr>
              <w:pStyle w:val="TableText"/>
              <w:keepNext w:val="0"/>
            </w:pPr>
            <w:r>
              <w:t>The system shall match approved requirements using candidate-specific retrieved passages.</w:t>
            </w:r>
          </w:p>
        </w:tc>
        <w:tc>
          <w:tcPr>
            <w:tcW w:type="dxa" w:w="2664"/>
            <w:vAlign w:val="center"/>
          </w:tcPr>
          <w:p>
            <w:pPr>
              <w:pStyle w:val="TableText"/>
              <w:keepNext w:val="0"/>
            </w:pPr>
            <w:r>
              <w:t>Findings cover each requirement and contain verifiable source references.</w:t>
            </w:r>
          </w:p>
        </w:tc>
        <w:tc>
          <w:tcPr>
            <w:tcW w:type="dxa" w:w="1685"/>
            <w:vAlign w:val="center"/>
          </w:tcPr>
          <w:p>
            <w:pPr>
              <w:pStyle w:val="TableText"/>
              <w:keepNext w:val="0"/>
            </w:pPr>
            <w:r>
              <w:t>Semantic equivalence does not imply equivalence of different named technologies or degree levels.</w:t>
            </w:r>
          </w:p>
        </w:tc>
        <w:tc>
          <w:tcPr>
            <w:tcW w:type="dxa" w:w="1080"/>
            <w:vAlign w:val="center"/>
          </w:tcPr>
          <w:p>
            <w:pPr>
              <w:pStyle w:val="TableText"/>
              <w:keepNext w:val="0"/>
              <w:jc w:val="center"/>
            </w:pPr>
            <w:r>
              <w:t>TC06.04</w:t>
            </w:r>
          </w:p>
        </w:tc>
      </w:tr>
      <w:tr>
        <w:trPr>
          <w:cantSplit/>
        </w:trPr>
        <w:tc>
          <w:tcPr>
            <w:tcW w:type="dxa" w:w="1008"/>
            <w:vAlign w:val="center"/>
          </w:tcPr>
          <w:p>
            <w:pPr>
              <w:pStyle w:val="TableText"/>
              <w:keepNext w:val="0"/>
              <w:jc w:val="center"/>
            </w:pPr>
            <w:r>
              <w:t>FR06.05</w:t>
            </w:r>
          </w:p>
        </w:tc>
        <w:tc>
          <w:tcPr>
            <w:tcW w:type="dxa" w:w="2923"/>
            <w:vAlign w:val="center"/>
          </w:tcPr>
          <w:p>
            <w:pPr>
              <w:pStyle w:val="TableText"/>
              <w:keepNext w:val="0"/>
            </w:pPr>
            <w:r>
              <w:t>The system shall independently validate evidence and perform bounded recovery of unsupported findings.</w:t>
            </w:r>
          </w:p>
        </w:tc>
        <w:tc>
          <w:tcPr>
            <w:tcW w:type="dxa" w:w="2664"/>
            <w:vAlign w:val="center"/>
          </w:tcPr>
          <w:p>
            <w:pPr>
              <w:pStyle w:val="TableText"/>
              <w:keepNext w:val="0"/>
            </w:pPr>
            <w:r>
              <w:t>Unknown quotations/passages are rejected; unresolved errors remain processing failures.</w:t>
            </w:r>
          </w:p>
        </w:tc>
        <w:tc>
          <w:tcPr>
            <w:tcW w:type="dxa" w:w="1685"/>
            <w:vAlign w:val="center"/>
          </w:tcPr>
          <w:p>
            <w:pPr>
              <w:pStyle w:val="TableText"/>
              <w:keepNext w:val="0"/>
            </w:pPr>
            <w:r>
              <w:t>No protected-trait or institution-prestige preference.</w:t>
            </w:r>
          </w:p>
        </w:tc>
        <w:tc>
          <w:tcPr>
            <w:tcW w:type="dxa" w:w="1080"/>
            <w:vAlign w:val="center"/>
          </w:tcPr>
          <w:p>
            <w:pPr>
              <w:pStyle w:val="TableText"/>
              <w:keepNext w:val="0"/>
              <w:jc w:val="center"/>
            </w:pPr>
            <w:r>
              <w:t>TC06.05</w:t>
            </w:r>
          </w:p>
        </w:tc>
      </w:tr>
      <w:tr>
        <w:trPr>
          <w:cantSplit/>
        </w:trPr>
        <w:tc>
          <w:tcPr>
            <w:tcW w:type="dxa" w:w="1008"/>
            <w:vAlign w:val="center"/>
          </w:tcPr>
          <w:p>
            <w:pPr>
              <w:pStyle w:val="TableText"/>
              <w:keepNext w:val="0"/>
              <w:jc w:val="center"/>
            </w:pPr>
            <w:r>
              <w:t>FR06.06</w:t>
            </w:r>
          </w:p>
        </w:tc>
        <w:tc>
          <w:tcPr>
            <w:tcW w:type="dxa" w:w="2923"/>
            <w:vAlign w:val="center"/>
          </w:tcPr>
          <w:p>
            <w:pPr>
              <w:pStyle w:val="TableText"/>
              <w:keepNext w:val="0"/>
            </w:pPr>
            <w:r>
              <w:t>The system shall reuse compatible results and report partial-batch outcomes.</w:t>
            </w:r>
          </w:p>
        </w:tc>
        <w:tc>
          <w:tcPr>
            <w:tcW w:type="dxa" w:w="2664"/>
            <w:vAlign w:val="center"/>
          </w:tcPr>
          <w:p>
            <w:pPr>
              <w:pStyle w:val="TableText"/>
              <w:keepNext w:val="0"/>
            </w:pPr>
            <w:r>
              <w:t>Unchanged validated inputs reuse results; successful CVs remain usable when another fails.</w:t>
            </w:r>
          </w:p>
        </w:tc>
        <w:tc>
          <w:tcPr>
            <w:tcW w:type="dxa" w:w="1685"/>
            <w:vAlign w:val="center"/>
          </w:tcPr>
          <w:p>
            <w:pPr>
              <w:pStyle w:val="TableText"/>
              <w:keepNext w:val="0"/>
            </w:pPr>
            <w:r>
              <w:t>Changed documents, criteria or scoring inputs invalidate stale results.</w:t>
            </w:r>
          </w:p>
        </w:tc>
        <w:tc>
          <w:tcPr>
            <w:tcW w:type="dxa" w:w="1080"/>
            <w:vAlign w:val="center"/>
          </w:tcPr>
          <w:p>
            <w:pPr>
              <w:pStyle w:val="TableText"/>
              <w:keepNext w:val="0"/>
              <w:jc w:val="center"/>
            </w:pPr>
            <w:r>
              <w:t>TC06.06</w:t>
            </w:r>
          </w:p>
        </w:tc>
      </w:tr>
    </w:tbl>
    <w:p>
      <w:pPr>
        <w:pStyle w:val="TableGap"/>
        <w:keepNext w:val="0"/>
      </w:pPr>
    </w:p>
    <w:p>
      <w:bookmarkStart w:id="22" w:name="SRS_22"/>
      <w:pPr>
        <w:pStyle w:val="Heading3"/>
      </w:pPr>
      <w:r>
        <w:t>3.1.7 CV scoring and ranking</w:t>
      </w:r>
      <w:bookmarkEnd w:id="22"/>
    </w:p>
    <w:p>
      <w:pPr>
        <w:keepNext/>
      </w:pPr>
      <w:r>
        <w:t>Actors: Interviewer, scoring services. Application code calculates explainable CV scores after evidence validation, rather than asking an LLM to invent totals.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FR07.01</w:t>
            </w:r>
          </w:p>
        </w:tc>
        <w:tc>
          <w:tcPr>
            <w:tcW w:type="dxa" w:w="2923"/>
            <w:vAlign w:val="center"/>
          </w:tcPr>
          <w:p>
            <w:pPr>
              <w:pStyle w:val="TableText"/>
              <w:keepNext w:val="0"/>
            </w:pPr>
            <w:r>
              <w:t>The system shall calculate requirement coverage using met 1, partially met 0.5 and unmet 0.</w:t>
            </w:r>
          </w:p>
        </w:tc>
        <w:tc>
          <w:tcPr>
            <w:tcW w:type="dxa" w:w="2664"/>
            <w:vAlign w:val="center"/>
          </w:tcPr>
          <w:p>
            <w:pPr>
              <w:pStyle w:val="TableText"/>
              <w:keepNext w:val="0"/>
            </w:pPr>
            <w:r>
              <w:t>A fixed set of validated findings and approved weights yields the same exact total.</w:t>
            </w:r>
          </w:p>
        </w:tc>
        <w:tc>
          <w:tcPr>
            <w:tcW w:type="dxa" w:w="1685"/>
            <w:vAlign w:val="center"/>
          </w:tcPr>
          <w:p>
            <w:pPr>
              <w:pStyle w:val="TableText"/>
              <w:keepNext w:val="0"/>
            </w:pPr>
            <w:r>
              <w:t>Unprocessed or failed documents remain unranked.</w:t>
            </w:r>
          </w:p>
        </w:tc>
        <w:tc>
          <w:tcPr>
            <w:tcW w:type="dxa" w:w="1080"/>
            <w:vAlign w:val="center"/>
          </w:tcPr>
          <w:p>
            <w:pPr>
              <w:pStyle w:val="TableText"/>
              <w:keepNext w:val="0"/>
              <w:jc w:val="center"/>
            </w:pPr>
            <w:r>
              <w:t>TC07.01</w:t>
            </w:r>
          </w:p>
        </w:tc>
      </w:tr>
      <w:tr>
        <w:trPr>
          <w:cantSplit/>
        </w:trPr>
        <w:tc>
          <w:tcPr>
            <w:tcW w:type="dxa" w:w="1008"/>
            <w:vAlign w:val="center"/>
          </w:tcPr>
          <w:p>
            <w:pPr>
              <w:pStyle w:val="TableText"/>
              <w:keepNext w:val="0"/>
              <w:jc w:val="center"/>
            </w:pPr>
            <w:r>
              <w:t>FR07.02</w:t>
            </w:r>
          </w:p>
        </w:tc>
        <w:tc>
          <w:tcPr>
            <w:tcW w:type="dxa" w:w="2923"/>
            <w:vAlign w:val="center"/>
          </w:tcPr>
          <w:p>
            <w:pPr>
              <w:pStyle w:val="TableText"/>
              <w:keepNext w:val="0"/>
            </w:pPr>
            <w:r>
              <w:t>The system shall validate interviewer-approved CV category and requirement weights.</w:t>
            </w:r>
          </w:p>
        </w:tc>
        <w:tc>
          <w:tcPr>
            <w:tcW w:type="dxa" w:w="2664"/>
            <w:vAlign w:val="center"/>
          </w:tcPr>
          <w:p>
            <w:pPr>
              <w:pStyle w:val="TableText"/>
              <w:keepNext w:val="0"/>
            </w:pPr>
            <w:r>
              <w:t>Category weights total 100 and invalid, negative or overprecise values are rejected.</w:t>
            </w:r>
          </w:p>
        </w:tc>
        <w:tc>
          <w:tcPr>
            <w:tcW w:type="dxa" w:w="1685"/>
            <w:vAlign w:val="center"/>
          </w:tcPr>
          <w:p>
            <w:pPr>
              <w:pStyle w:val="TableText"/>
              <w:keepNext w:val="0"/>
            </w:pPr>
            <w:r>
              <w:t>Defaults are skills 50%, experience 30% and qualifications 20%.</w:t>
            </w:r>
          </w:p>
        </w:tc>
        <w:tc>
          <w:tcPr>
            <w:tcW w:type="dxa" w:w="1080"/>
            <w:vAlign w:val="center"/>
          </w:tcPr>
          <w:p>
            <w:pPr>
              <w:pStyle w:val="TableText"/>
              <w:keepNext w:val="0"/>
              <w:jc w:val="center"/>
            </w:pPr>
            <w:r>
              <w:t>TC07.02</w:t>
            </w:r>
          </w:p>
        </w:tc>
      </w:tr>
      <w:tr>
        <w:trPr>
          <w:cantSplit/>
        </w:trPr>
        <w:tc>
          <w:tcPr>
            <w:tcW w:type="dxa" w:w="1008"/>
            <w:vAlign w:val="center"/>
          </w:tcPr>
          <w:p>
            <w:pPr>
              <w:pStyle w:val="TableText"/>
              <w:keepNext w:val="0"/>
              <w:jc w:val="center"/>
            </w:pPr>
            <w:r>
              <w:t>FR07.03</w:t>
            </w:r>
          </w:p>
        </w:tc>
        <w:tc>
          <w:tcPr>
            <w:tcW w:type="dxa" w:w="2923"/>
            <w:vAlign w:val="center"/>
          </w:tcPr>
          <w:p>
            <w:pPr>
              <w:pStyle w:val="TableText"/>
              <w:keepNext w:val="0"/>
            </w:pPr>
            <w:r>
              <w:t>The system shall handle categories without weighted requirements explicitly.</w:t>
            </w:r>
          </w:p>
        </w:tc>
        <w:tc>
          <w:tcPr>
            <w:tcW w:type="dxa" w:w="2664"/>
            <w:vAlign w:val="center"/>
          </w:tcPr>
          <w:p>
            <w:pPr>
              <w:pStyle w:val="TableText"/>
              <w:keepNext w:val="0"/>
            </w:pPr>
            <w:r>
              <w:t>An empty category has no unsupported contribution; redistribution follows the approved policy.</w:t>
            </w:r>
          </w:p>
        </w:tc>
        <w:tc>
          <w:tcPr>
            <w:tcW w:type="dxa" w:w="1685"/>
            <w:vAlign w:val="center"/>
          </w:tcPr>
          <w:p>
            <w:pPr>
              <w:pStyle w:val="TableText"/>
              <w:keepNext w:val="0"/>
            </w:pPr>
            <w:r>
              <w:t>Effective weights and the configuration are saved.</w:t>
            </w:r>
          </w:p>
        </w:tc>
        <w:tc>
          <w:tcPr>
            <w:tcW w:type="dxa" w:w="1080"/>
            <w:vAlign w:val="center"/>
          </w:tcPr>
          <w:p>
            <w:pPr>
              <w:pStyle w:val="TableText"/>
              <w:keepNext w:val="0"/>
              <w:jc w:val="center"/>
            </w:pPr>
            <w:r>
              <w:t>TC07.03</w:t>
            </w:r>
          </w:p>
        </w:tc>
      </w:tr>
      <w:tr>
        <w:trPr>
          <w:cantSplit/>
        </w:trPr>
        <w:tc>
          <w:tcPr>
            <w:tcW w:type="dxa" w:w="1008"/>
            <w:vAlign w:val="center"/>
          </w:tcPr>
          <w:p>
            <w:pPr>
              <w:pStyle w:val="TableText"/>
              <w:keepNext w:val="0"/>
              <w:jc w:val="center"/>
            </w:pPr>
            <w:r>
              <w:t>FR07.04</w:t>
            </w:r>
          </w:p>
        </w:tc>
        <w:tc>
          <w:tcPr>
            <w:tcW w:type="dxa" w:w="2923"/>
            <w:vAlign w:val="center"/>
          </w:tcPr>
          <w:p>
            <w:pPr>
              <w:pStyle w:val="TableText"/>
              <w:keepNext w:val="0"/>
            </w:pPr>
            <w:r>
              <w:t>The system shall retain scoring snapshots, breakdowns, explanations and evidence.</w:t>
            </w:r>
          </w:p>
        </w:tc>
        <w:tc>
          <w:tcPr>
            <w:tcW w:type="dxa" w:w="2664"/>
            <w:vAlign w:val="center"/>
          </w:tcPr>
          <w:p>
            <w:pPr>
              <w:pStyle w:val="TableText"/>
              <w:keepNext w:val="0"/>
            </w:pPr>
            <w:r>
              <w:t>Each ranked score traces to its requirement configuration and validated CV run.</w:t>
            </w:r>
          </w:p>
        </w:tc>
        <w:tc>
          <w:tcPr>
            <w:tcW w:type="dxa" w:w="1685"/>
            <w:vAlign w:val="center"/>
          </w:tcPr>
          <w:p>
            <w:pPr>
              <w:pStyle w:val="TableText"/>
              <w:keepNext w:val="0"/>
            </w:pPr>
            <w:r>
              <w:t>Embedding similarity is not used as a candidate percentage.</w:t>
            </w:r>
          </w:p>
        </w:tc>
        <w:tc>
          <w:tcPr>
            <w:tcW w:type="dxa" w:w="1080"/>
            <w:vAlign w:val="center"/>
          </w:tcPr>
          <w:p>
            <w:pPr>
              <w:pStyle w:val="TableText"/>
              <w:keepNext w:val="0"/>
              <w:jc w:val="center"/>
            </w:pPr>
            <w:r>
              <w:t>TC07.04</w:t>
            </w:r>
          </w:p>
        </w:tc>
      </w:tr>
      <w:tr>
        <w:trPr>
          <w:cantSplit/>
        </w:trPr>
        <w:tc>
          <w:tcPr>
            <w:tcW w:type="dxa" w:w="1008"/>
            <w:vAlign w:val="center"/>
          </w:tcPr>
          <w:p>
            <w:pPr>
              <w:pStyle w:val="TableText"/>
              <w:keepNext w:val="0"/>
              <w:jc w:val="center"/>
            </w:pPr>
            <w:r>
              <w:t>FR07.05</w:t>
            </w:r>
          </w:p>
        </w:tc>
        <w:tc>
          <w:tcPr>
            <w:tcW w:type="dxa" w:w="2923"/>
            <w:vAlign w:val="center"/>
          </w:tcPr>
          <w:p>
            <w:pPr>
              <w:pStyle w:val="TableText"/>
              <w:keepNext w:val="0"/>
            </w:pPr>
            <w:r>
              <w:t>The system shall use exact arithmetic and stable shared ranks for ties.</w:t>
            </w:r>
          </w:p>
        </w:tc>
        <w:tc>
          <w:tcPr>
            <w:tcW w:type="dxa" w:w="2664"/>
            <w:vAlign w:val="center"/>
          </w:tcPr>
          <w:p>
            <w:pPr>
              <w:pStyle w:val="TableText"/>
              <w:keepNext w:val="0"/>
            </w:pPr>
            <w:r>
              <w:t>Equal exact totals produce ranks such as 1, 1, 3; display rounds half-up to two decimals.</w:t>
            </w:r>
          </w:p>
        </w:tc>
        <w:tc>
          <w:tcPr>
            <w:tcW w:type="dxa" w:w="1685"/>
            <w:vAlign w:val="center"/>
          </w:tcPr>
          <w:p>
            <w:pPr>
              <w:pStyle w:val="TableText"/>
              <w:keepNext w:val="0"/>
            </w:pPr>
            <w:r>
              <w:t>Pagination and filtering do not renumber saved ranks.</w:t>
            </w:r>
          </w:p>
        </w:tc>
        <w:tc>
          <w:tcPr>
            <w:tcW w:type="dxa" w:w="1080"/>
            <w:vAlign w:val="center"/>
          </w:tcPr>
          <w:p>
            <w:pPr>
              <w:pStyle w:val="TableText"/>
              <w:keepNext w:val="0"/>
              <w:jc w:val="center"/>
            </w:pPr>
            <w:r>
              <w:t>TC07.05</w:t>
            </w:r>
          </w:p>
        </w:tc>
      </w:tr>
    </w:tbl>
    <w:p>
      <w:pPr>
        <w:pStyle w:val="TableGap"/>
        <w:keepNext w:val="0"/>
      </w:pPr>
    </w:p>
    <w:p>
      <w:bookmarkStart w:id="23" w:name="SRS_23"/>
      <w:pPr>
        <w:pStyle w:val="Heading3"/>
      </w:pPr>
      <w:r>
        <w:t>3.1.8 Interview scheduling invitations and rescheduling</w:t>
      </w:r>
      <w:bookmarkEnd w:id="23"/>
    </w:p>
    <w:p>
      <w:pPr>
        <w:keepNext/>
      </w:pPr>
      <w:r>
        <w:t>Actors: Interviewer, scheduling MCP service, SMTP. Manual controls and conversational commands use the same reviewed scheduling workflow.</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FR08.01</w:t>
            </w:r>
          </w:p>
        </w:tc>
        <w:tc>
          <w:tcPr>
            <w:tcW w:type="dxa" w:w="2923"/>
            <w:vAlign w:val="center"/>
          </w:tcPr>
          <w:p>
            <w:pPr>
              <w:pStyle w:val="TableText"/>
              <w:keepNext w:val="0"/>
            </w:pPr>
            <w:r>
              <w:t>The system shall select candidates from saved rankings by checked application, name, top N or threshold.</w:t>
            </w:r>
          </w:p>
        </w:tc>
        <w:tc>
          <w:tcPr>
            <w:tcW w:type="dxa" w:w="2664"/>
            <w:vAlign w:val="center"/>
          </w:tcPr>
          <w:p>
            <w:pPr>
              <w:pStyle w:val="TableText"/>
              <w:keepNext w:val="0"/>
            </w:pPr>
            <w:r>
              <w:t>A named candidate resolves within the selected posting; ambiguity requests clarification.</w:t>
            </w:r>
          </w:p>
        </w:tc>
        <w:tc>
          <w:tcPr>
            <w:tcW w:type="dxa" w:w="1685"/>
            <w:vAlign w:val="center"/>
          </w:tcPr>
          <w:p>
            <w:pPr>
              <w:pStyle w:val="TableText"/>
              <w:keepNext w:val="0"/>
            </w:pPr>
            <w:r>
              <w:t>Top N is not silently replaced by lower-ranked excluded candidates.</w:t>
            </w:r>
          </w:p>
        </w:tc>
        <w:tc>
          <w:tcPr>
            <w:tcW w:type="dxa" w:w="1080"/>
            <w:vAlign w:val="center"/>
          </w:tcPr>
          <w:p>
            <w:pPr>
              <w:pStyle w:val="TableText"/>
              <w:keepNext w:val="0"/>
              <w:jc w:val="center"/>
            </w:pPr>
            <w:r>
              <w:t>TC08.01</w:t>
            </w:r>
          </w:p>
        </w:tc>
      </w:tr>
      <w:tr>
        <w:trPr>
          <w:cantSplit/>
        </w:trPr>
        <w:tc>
          <w:tcPr>
            <w:tcW w:type="dxa" w:w="1008"/>
            <w:vAlign w:val="center"/>
          </w:tcPr>
          <w:p>
            <w:pPr>
              <w:pStyle w:val="TableText"/>
              <w:keepNext w:val="0"/>
              <w:jc w:val="center"/>
            </w:pPr>
            <w:r>
              <w:t>FR08.02</w:t>
            </w:r>
          </w:p>
        </w:tc>
        <w:tc>
          <w:tcPr>
            <w:tcW w:type="dxa" w:w="2923"/>
            <w:vAlign w:val="center"/>
          </w:tcPr>
          <w:p>
            <w:pPr>
              <w:pStyle w:val="TableText"/>
              <w:keepNext w:val="0"/>
            </w:pPr>
            <w:r>
              <w:t>The system shall distinguish not scheduled, scheduled and completed interviews.</w:t>
            </w:r>
          </w:p>
        </w:tc>
        <w:tc>
          <w:tcPr>
            <w:tcW w:type="dxa" w:w="2664"/>
            <w:vAlign w:val="center"/>
          </w:tcPr>
          <w:p>
            <w:pPr>
              <w:pStyle w:val="TableText"/>
              <w:keepNext w:val="0"/>
            </w:pPr>
            <w:r>
              <w:t>The candidate selection view shows the relevant state and schedule details.</w:t>
            </w:r>
          </w:p>
        </w:tc>
        <w:tc>
          <w:tcPr>
            <w:tcW w:type="dxa" w:w="1685"/>
            <w:vAlign w:val="center"/>
          </w:tcPr>
          <w:p>
            <w:pPr>
              <w:pStyle w:val="TableText"/>
              <w:keepNext w:val="0"/>
            </w:pPr>
            <w:r>
              <w:t>Duplicate active invitations are blocked.</w:t>
            </w:r>
          </w:p>
        </w:tc>
        <w:tc>
          <w:tcPr>
            <w:tcW w:type="dxa" w:w="1080"/>
            <w:vAlign w:val="center"/>
          </w:tcPr>
          <w:p>
            <w:pPr>
              <w:pStyle w:val="TableText"/>
              <w:keepNext w:val="0"/>
              <w:jc w:val="center"/>
            </w:pPr>
            <w:r>
              <w:t>TC08.02</w:t>
            </w:r>
          </w:p>
        </w:tc>
      </w:tr>
      <w:tr>
        <w:trPr>
          <w:cantSplit/>
        </w:trPr>
        <w:tc>
          <w:tcPr>
            <w:tcW w:type="dxa" w:w="1008"/>
            <w:vAlign w:val="center"/>
          </w:tcPr>
          <w:p>
            <w:pPr>
              <w:pStyle w:val="TableText"/>
              <w:keepNext w:val="0"/>
              <w:jc w:val="center"/>
            </w:pPr>
            <w:r>
              <w:t>FR08.03</w:t>
            </w:r>
          </w:p>
        </w:tc>
        <w:tc>
          <w:tcPr>
            <w:tcW w:type="dxa" w:w="2923"/>
            <w:vAlign w:val="center"/>
          </w:tcPr>
          <w:p>
            <w:pPr>
              <w:pStyle w:val="TableText"/>
              <w:keepNext w:val="0"/>
            </w:pPr>
            <w:r>
              <w:t>The system shall prepare sequential individual slots and a recipient/time/email preview.</w:t>
            </w:r>
          </w:p>
        </w:tc>
        <w:tc>
          <w:tcPr>
            <w:tcW w:type="dxa" w:w="2664"/>
            <w:vAlign w:val="center"/>
          </w:tcPr>
          <w:p>
            <w:pPr>
              <w:pStyle w:val="TableText"/>
              <w:keepNext w:val="0"/>
            </w:pPr>
            <w:r>
              <w:t>The preview shows each recipient, local time, duration, message and calendar attachment.</w:t>
            </w:r>
          </w:p>
        </w:tc>
        <w:tc>
          <w:tcPr>
            <w:tcW w:type="dxa" w:w="1685"/>
            <w:vAlign w:val="center"/>
          </w:tcPr>
          <w:p>
            <w:pPr>
              <w:pStyle w:val="TableText"/>
              <w:keepNext w:val="0"/>
            </w:pPr>
            <w:r>
              <w:t>Asia/Dhaka is the default display/scheduling zone; times persist in UTC.</w:t>
            </w:r>
          </w:p>
        </w:tc>
        <w:tc>
          <w:tcPr>
            <w:tcW w:type="dxa" w:w="1080"/>
            <w:vAlign w:val="center"/>
          </w:tcPr>
          <w:p>
            <w:pPr>
              <w:pStyle w:val="TableText"/>
              <w:keepNext w:val="0"/>
              <w:jc w:val="center"/>
            </w:pPr>
            <w:r>
              <w:t>TC08.03</w:t>
            </w:r>
          </w:p>
        </w:tc>
      </w:tr>
      <w:tr>
        <w:trPr>
          <w:cantSplit/>
        </w:trPr>
        <w:tc>
          <w:tcPr>
            <w:tcW w:type="dxa" w:w="1008"/>
            <w:vAlign w:val="center"/>
          </w:tcPr>
          <w:p>
            <w:pPr>
              <w:pStyle w:val="TableText"/>
              <w:keepNext w:val="0"/>
              <w:jc w:val="center"/>
            </w:pPr>
            <w:r>
              <w:t>FR08.04</w:t>
            </w:r>
          </w:p>
        </w:tc>
        <w:tc>
          <w:tcPr>
            <w:tcW w:type="dxa" w:w="2923"/>
            <w:vAlign w:val="center"/>
          </w:tcPr>
          <w:p>
            <w:pPr>
              <w:pStyle w:val="TableText"/>
              <w:keepNext w:val="0"/>
            </w:pPr>
            <w:r>
              <w:t>The system shall send SMTP invitations with private join links and ICS files only after confirmation.</w:t>
            </w:r>
          </w:p>
        </w:tc>
        <w:tc>
          <w:tcPr>
            <w:tcW w:type="dxa" w:w="2664"/>
            <w:vAlign w:val="center"/>
          </w:tcPr>
          <w:p>
            <w:pPr>
              <w:pStyle w:val="TableText"/>
              <w:keepNext w:val="0"/>
            </w:pPr>
            <w:r>
              <w:t>Only the explicitly confirmed preview is delivered and its outcome is stored.</w:t>
            </w:r>
          </w:p>
        </w:tc>
        <w:tc>
          <w:tcPr>
            <w:tcW w:type="dxa" w:w="1685"/>
            <w:vAlign w:val="center"/>
          </w:tcPr>
          <w:p>
            <w:pPr>
              <w:pStyle w:val="TableText"/>
              <w:keepNext w:val="0"/>
            </w:pPr>
            <w:r>
              <w:t>No Google/Outlook calendar-booking integration is required.</w:t>
            </w:r>
          </w:p>
        </w:tc>
        <w:tc>
          <w:tcPr>
            <w:tcW w:type="dxa" w:w="1080"/>
            <w:vAlign w:val="center"/>
          </w:tcPr>
          <w:p>
            <w:pPr>
              <w:pStyle w:val="TableText"/>
              <w:keepNext w:val="0"/>
              <w:jc w:val="center"/>
            </w:pPr>
            <w:r>
              <w:t>TC08.04</w:t>
            </w:r>
          </w:p>
        </w:tc>
      </w:tr>
      <w:tr>
        <w:trPr>
          <w:cantSplit/>
        </w:trPr>
        <w:tc>
          <w:tcPr>
            <w:tcW w:type="dxa" w:w="1008"/>
            <w:vAlign w:val="center"/>
          </w:tcPr>
          <w:p>
            <w:pPr>
              <w:pStyle w:val="TableText"/>
              <w:keepNext w:val="0"/>
              <w:jc w:val="center"/>
            </w:pPr>
            <w:r>
              <w:t>FR08.05</w:t>
            </w:r>
          </w:p>
        </w:tc>
        <w:tc>
          <w:tcPr>
            <w:tcW w:type="dxa" w:w="2923"/>
            <w:vAlign w:val="center"/>
          </w:tcPr>
          <w:p>
            <w:pPr>
              <w:pStyle w:val="TableText"/>
              <w:keepNext w:val="0"/>
            </w:pPr>
            <w:r>
              <w:t>The system shall represent pending, sending, sent, failed and uncertain delivery outcomes.</w:t>
            </w:r>
          </w:p>
        </w:tc>
        <w:tc>
          <w:tcPr>
            <w:tcW w:type="dxa" w:w="2664"/>
            <w:vAlign w:val="center"/>
          </w:tcPr>
          <w:p>
            <w:pPr>
              <w:pStyle w:val="TableText"/>
              <w:keepNext w:val="0"/>
            </w:pPr>
            <w:r>
              <w:t>Progress and per-recipient states remain accurate after refresh.</w:t>
            </w:r>
          </w:p>
        </w:tc>
        <w:tc>
          <w:tcPr>
            <w:tcW w:type="dxa" w:w="1685"/>
            <w:vAlign w:val="center"/>
          </w:tcPr>
          <w:p>
            <w:pPr>
              <w:pStyle w:val="TableText"/>
              <w:keepNext w:val="0"/>
            </w:pPr>
            <w:r>
              <w:t>Uncertain delivery is not automatically resent.</w:t>
            </w:r>
          </w:p>
        </w:tc>
        <w:tc>
          <w:tcPr>
            <w:tcW w:type="dxa" w:w="1080"/>
            <w:vAlign w:val="center"/>
          </w:tcPr>
          <w:p>
            <w:pPr>
              <w:pStyle w:val="TableText"/>
              <w:keepNext w:val="0"/>
              <w:jc w:val="center"/>
            </w:pPr>
            <w:r>
              <w:t>TC08.05</w:t>
            </w:r>
          </w:p>
        </w:tc>
      </w:tr>
      <w:tr>
        <w:trPr>
          <w:cantSplit/>
        </w:trPr>
        <w:tc>
          <w:tcPr>
            <w:tcW w:type="dxa" w:w="1008"/>
            <w:vAlign w:val="center"/>
          </w:tcPr>
          <w:p>
            <w:pPr>
              <w:pStyle w:val="TableText"/>
              <w:keepNext w:val="0"/>
              <w:jc w:val="center"/>
            </w:pPr>
            <w:r>
              <w:t>FR08.06</w:t>
            </w:r>
          </w:p>
        </w:tc>
        <w:tc>
          <w:tcPr>
            <w:tcW w:type="dxa" w:w="2923"/>
            <w:vAlign w:val="center"/>
          </w:tcPr>
          <w:p>
            <w:pPr>
              <w:pStyle w:val="TableText"/>
              <w:keepNext w:val="0"/>
            </w:pPr>
            <w:r>
              <w:t>The system shall support reviewed rescheduling and preserve schedule history.</w:t>
            </w:r>
          </w:p>
        </w:tc>
        <w:tc>
          <w:tcPr>
            <w:tcW w:type="dxa" w:w="2664"/>
            <w:vAlign w:val="center"/>
          </w:tcPr>
          <w:p>
            <w:pPr>
              <w:pStyle w:val="TableText"/>
              <w:keepNext w:val="0"/>
            </w:pPr>
            <w:r>
              <w:t>Confirmed rescheduling updates slots and links while retaining prior history.</w:t>
            </w:r>
          </w:p>
        </w:tc>
        <w:tc>
          <w:tcPr>
            <w:tcW w:type="dxa" w:w="1685"/>
            <w:vAlign w:val="center"/>
          </w:tcPr>
          <w:p>
            <w:pPr>
              <w:pStyle w:val="TableText"/>
              <w:keepNext w:val="0"/>
            </w:pPr>
            <w:r>
              <w:t>The scheduling MCP service forwards delegated, owned backend operations.</w:t>
            </w:r>
          </w:p>
        </w:tc>
        <w:tc>
          <w:tcPr>
            <w:tcW w:type="dxa" w:w="1080"/>
            <w:vAlign w:val="center"/>
          </w:tcPr>
          <w:p>
            <w:pPr>
              <w:pStyle w:val="TableText"/>
              <w:keepNext w:val="0"/>
              <w:jc w:val="center"/>
            </w:pPr>
            <w:r>
              <w:t>TC08.06</w:t>
            </w:r>
          </w:p>
        </w:tc>
      </w:tr>
    </w:tbl>
    <w:p>
      <w:pPr>
        <w:pStyle w:val="TableGap"/>
        <w:keepNext w:val="0"/>
      </w:pPr>
    </w:p>
    <w:p>
      <w:bookmarkStart w:id="24" w:name="SRS_24"/>
      <w:pPr>
        <w:pStyle w:val="Heading3"/>
      </w:pPr>
      <w:r>
        <w:t>3.1.9 Live interview rooms and participant consoles</w:t>
      </w:r>
      <w:bookmarkEnd w:id="24"/>
    </w:p>
    <w:p>
      <w:pPr>
        <w:keepNext/>
      </w:pPr>
      <w:r>
        <w:t>Actors: Interviewer, candidate, LiveKit Cloud. A private room supports device checks, waiting, admission and controlled one-to-one media.</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FR09.01</w:t>
            </w:r>
          </w:p>
        </w:tc>
        <w:tc>
          <w:tcPr>
            <w:tcW w:type="dxa" w:w="2923"/>
            <w:vAlign w:val="center"/>
          </w:tcPr>
          <w:p>
            <w:pPr>
              <w:pStyle w:val="TableText"/>
              <w:keepNext w:val="0"/>
            </w:pPr>
            <w:r>
              <w:t>The system shall provide device checks and an interviewer-controlled waiting/admission flow.</w:t>
            </w:r>
          </w:p>
        </w:tc>
        <w:tc>
          <w:tcPr>
            <w:tcW w:type="dxa" w:w="2664"/>
            <w:vAlign w:val="center"/>
          </w:tcPr>
          <w:p>
            <w:pPr>
              <w:pStyle w:val="TableText"/>
              <w:keepNext w:val="0"/>
            </w:pPr>
            <w:r>
              <w:t>A candidate cannot obtain joined-room capabilities before admission.</w:t>
            </w:r>
          </w:p>
        </w:tc>
        <w:tc>
          <w:tcPr>
            <w:tcW w:type="dxa" w:w="1685"/>
            <w:vAlign w:val="center"/>
          </w:tcPr>
          <w:p>
            <w:pPr>
              <w:pStyle w:val="TableText"/>
              <w:keepNext w:val="0"/>
            </w:pPr>
            <w:r>
              <w:t>A candidate account is not required.</w:t>
            </w:r>
          </w:p>
        </w:tc>
        <w:tc>
          <w:tcPr>
            <w:tcW w:type="dxa" w:w="1080"/>
            <w:vAlign w:val="center"/>
          </w:tcPr>
          <w:p>
            <w:pPr>
              <w:pStyle w:val="TableText"/>
              <w:keepNext w:val="0"/>
              <w:jc w:val="center"/>
            </w:pPr>
            <w:r>
              <w:t>TC09.01</w:t>
            </w:r>
          </w:p>
        </w:tc>
      </w:tr>
      <w:tr>
        <w:trPr>
          <w:cantSplit/>
        </w:trPr>
        <w:tc>
          <w:tcPr>
            <w:tcW w:type="dxa" w:w="1008"/>
            <w:vAlign w:val="center"/>
          </w:tcPr>
          <w:p>
            <w:pPr>
              <w:pStyle w:val="TableText"/>
              <w:keepNext w:val="0"/>
              <w:jc w:val="center"/>
            </w:pPr>
            <w:r>
              <w:t>FR09.02</w:t>
            </w:r>
          </w:p>
        </w:tc>
        <w:tc>
          <w:tcPr>
            <w:tcW w:type="dxa" w:w="2923"/>
            <w:vAlign w:val="center"/>
          </w:tcPr>
          <w:p>
            <w:pPr>
              <w:pStyle w:val="TableText"/>
              <w:keepNext w:val="0"/>
            </w:pPr>
            <w:r>
              <w:t>The system shall issue scoped room tokens and use direct browser WebRTC through LiveKit.</w:t>
            </w:r>
          </w:p>
        </w:tc>
        <w:tc>
          <w:tcPr>
            <w:tcW w:type="dxa" w:w="2664"/>
            <w:vAlign w:val="center"/>
          </w:tcPr>
          <w:p>
            <w:pPr>
              <w:pStyle w:val="TableText"/>
              <w:keepNext w:val="0"/>
            </w:pPr>
            <w:r>
              <w:t>Only authorized participants can join the intended room.</w:t>
            </w:r>
          </w:p>
        </w:tc>
        <w:tc>
          <w:tcPr>
            <w:tcW w:type="dxa" w:w="1685"/>
            <w:vAlign w:val="center"/>
          </w:tcPr>
          <w:p>
            <w:pPr>
              <w:pStyle w:val="TableText"/>
              <w:keepNext w:val="0"/>
            </w:pPr>
            <w:r>
              <w:t>Website/API tunneling is not the media transport.</w:t>
            </w:r>
          </w:p>
        </w:tc>
        <w:tc>
          <w:tcPr>
            <w:tcW w:type="dxa" w:w="1080"/>
            <w:vAlign w:val="center"/>
          </w:tcPr>
          <w:p>
            <w:pPr>
              <w:pStyle w:val="TableText"/>
              <w:keepNext w:val="0"/>
              <w:jc w:val="center"/>
            </w:pPr>
            <w:r>
              <w:t>TC09.02</w:t>
            </w:r>
          </w:p>
        </w:tc>
      </w:tr>
      <w:tr>
        <w:trPr>
          <w:cantSplit/>
        </w:trPr>
        <w:tc>
          <w:tcPr>
            <w:tcW w:type="dxa" w:w="1008"/>
            <w:vAlign w:val="center"/>
          </w:tcPr>
          <w:p>
            <w:pPr>
              <w:pStyle w:val="TableText"/>
              <w:keepNext w:val="0"/>
              <w:jc w:val="center"/>
            </w:pPr>
            <w:r>
              <w:t>FR09.03</w:t>
            </w:r>
          </w:p>
        </w:tc>
        <w:tc>
          <w:tcPr>
            <w:tcW w:type="dxa" w:w="2923"/>
            <w:vAlign w:val="center"/>
          </w:tcPr>
          <w:p>
            <w:pPr>
              <w:pStyle w:val="TableText"/>
              <w:keepNext w:val="0"/>
            </w:pPr>
            <w:r>
              <w:t>The system shall support microphone, camera, leave, reconnect and end-interview controls.</w:t>
            </w:r>
          </w:p>
        </w:tc>
        <w:tc>
          <w:tcPr>
            <w:tcW w:type="dxa" w:w="2664"/>
            <w:vAlign w:val="center"/>
          </w:tcPr>
          <w:p>
            <w:pPr>
              <w:pStyle w:val="TableText"/>
              <w:keepNext w:val="0"/>
            </w:pPr>
            <w:r>
              <w:t>Controls preserve room state and closure prevents new participant access.</w:t>
            </w:r>
          </w:p>
        </w:tc>
        <w:tc>
          <w:tcPr>
            <w:tcW w:type="dxa" w:w="1685"/>
            <w:vAlign w:val="center"/>
          </w:tcPr>
          <w:p>
            <w:pPr>
              <w:pStyle w:val="TableText"/>
              <w:keepNext w:val="0"/>
            </w:pPr>
            <w:r>
              <w:t>Ending requires interviewer authority.</w:t>
            </w:r>
          </w:p>
        </w:tc>
        <w:tc>
          <w:tcPr>
            <w:tcW w:type="dxa" w:w="1080"/>
            <w:vAlign w:val="center"/>
          </w:tcPr>
          <w:p>
            <w:pPr>
              <w:pStyle w:val="TableText"/>
              <w:keepNext w:val="0"/>
              <w:jc w:val="center"/>
            </w:pPr>
            <w:r>
              <w:t>TC09.03</w:t>
            </w:r>
          </w:p>
        </w:tc>
      </w:tr>
      <w:tr>
        <w:trPr>
          <w:cantSplit/>
        </w:trPr>
        <w:tc>
          <w:tcPr>
            <w:tcW w:type="dxa" w:w="1008"/>
            <w:vAlign w:val="center"/>
          </w:tcPr>
          <w:p>
            <w:pPr>
              <w:pStyle w:val="TableText"/>
              <w:keepNext w:val="0"/>
              <w:jc w:val="center"/>
            </w:pPr>
            <w:r>
              <w:t>FR09.04</w:t>
            </w:r>
          </w:p>
        </w:tc>
        <w:tc>
          <w:tcPr>
            <w:tcW w:type="dxa" w:w="2923"/>
            <w:vAlign w:val="center"/>
          </w:tcPr>
          <w:p>
            <w:pPr>
              <w:pStyle w:val="TableText"/>
              <w:keepNext w:val="0"/>
            </w:pPr>
            <w:r>
              <w:t>The system shall show a main participant view with a switchable smaller self-preview.</w:t>
            </w:r>
          </w:p>
        </w:tc>
        <w:tc>
          <w:tcPr>
            <w:tcW w:type="dxa" w:w="2664"/>
            <w:vAlign w:val="center"/>
          </w:tcPr>
          <w:p>
            <w:pPr>
              <w:pStyle w:val="TableText"/>
              <w:keepNext w:val="0"/>
            </w:pPr>
            <w:r>
              <w:t>Selecting the preview swaps the displayed focus without disconnecting media.</w:t>
            </w:r>
          </w:p>
        </w:tc>
        <w:tc>
          <w:tcPr>
            <w:tcW w:type="dxa" w:w="1685"/>
            <w:vAlign w:val="center"/>
          </w:tcPr>
          <w:p>
            <w:pPr>
              <w:pStyle w:val="TableText"/>
              <w:keepNext w:val="0"/>
            </w:pPr>
            <w:r>
              <w:t>Controls remain compact, labeled and keyboard usable.</w:t>
            </w:r>
          </w:p>
        </w:tc>
        <w:tc>
          <w:tcPr>
            <w:tcW w:type="dxa" w:w="1080"/>
            <w:vAlign w:val="center"/>
          </w:tcPr>
          <w:p>
            <w:pPr>
              <w:pStyle w:val="TableText"/>
              <w:keepNext w:val="0"/>
              <w:jc w:val="center"/>
            </w:pPr>
            <w:r>
              <w:t>TC09.04</w:t>
            </w:r>
          </w:p>
        </w:tc>
      </w:tr>
      <w:tr>
        <w:trPr>
          <w:cantSplit/>
        </w:trPr>
        <w:tc>
          <w:tcPr>
            <w:tcW w:type="dxa" w:w="1008"/>
            <w:vAlign w:val="center"/>
          </w:tcPr>
          <w:p>
            <w:pPr>
              <w:pStyle w:val="TableText"/>
              <w:keepNext w:val="0"/>
              <w:jc w:val="center"/>
            </w:pPr>
            <w:r>
              <w:t>FR09.05</w:t>
            </w:r>
          </w:p>
        </w:tc>
        <w:tc>
          <w:tcPr>
            <w:tcW w:type="dxa" w:w="2923"/>
            <w:vAlign w:val="center"/>
          </w:tcPr>
          <w:p>
            <w:pPr>
              <w:pStyle w:val="TableText"/>
              <w:keepNext w:val="0"/>
            </w:pPr>
            <w:r>
              <w:t>The system shall open the interviewer console on candidate information and restrict candidate tools.</w:t>
            </w:r>
          </w:p>
        </w:tc>
        <w:tc>
          <w:tcPr>
            <w:tcW w:type="dxa" w:w="2664"/>
            <w:vAlign w:val="center"/>
          </w:tcPr>
          <w:p>
            <w:pPr>
              <w:pStyle w:val="TableText"/>
              <w:keepNext w:val="0"/>
            </w:pPr>
            <w:r>
              <w:t>Interviewer sees profile/CV context first; candidate sees participation and practical work only.</w:t>
            </w:r>
          </w:p>
        </w:tc>
        <w:tc>
          <w:tcPr>
            <w:tcW w:type="dxa" w:w="1685"/>
            <w:vAlign w:val="center"/>
          </w:tcPr>
          <w:p>
            <w:pPr>
              <w:pStyle w:val="TableText"/>
              <w:keepNext w:val="0"/>
            </w:pPr>
            <w:r>
              <w:t>No interview audio/video recording is stored.</w:t>
            </w:r>
          </w:p>
        </w:tc>
        <w:tc>
          <w:tcPr>
            <w:tcW w:type="dxa" w:w="1080"/>
            <w:vAlign w:val="center"/>
          </w:tcPr>
          <w:p>
            <w:pPr>
              <w:pStyle w:val="TableText"/>
              <w:keepNext w:val="0"/>
              <w:jc w:val="center"/>
            </w:pPr>
            <w:r>
              <w:t>TC09.05</w:t>
            </w:r>
          </w:p>
        </w:tc>
      </w:tr>
    </w:tbl>
    <w:p>
      <w:pPr>
        <w:pStyle w:val="TableGap"/>
        <w:keepNext w:val="0"/>
      </w:pPr>
    </w:p>
    <w:p>
      <w:bookmarkStart w:id="25" w:name="SRS_25"/>
      <w:pPr>
        <w:pStyle w:val="Heading3"/>
      </w:pPr>
      <w:r>
        <w:t>3.1.10 Consented live transcription</w:t>
      </w:r>
      <w:bookmarkEnd w:id="25"/>
    </w:p>
    <w:p>
      <w:pPr>
        <w:keepNext/>
      </w:pPr>
      <w:r>
        <w:t>Actors: Interviewer, candidate, transcription worker, Deepgram. An optional worker persists only final speech text with trustworthy speaker and timing metadata.</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FR10.01</w:t>
            </w:r>
          </w:p>
        </w:tc>
        <w:tc>
          <w:tcPr>
            <w:tcW w:type="dxa" w:w="2923"/>
            <w:vAlign w:val="center"/>
          </w:tcPr>
          <w:p>
            <w:pPr>
              <w:pStyle w:val="TableText"/>
              <w:keepNext w:val="0"/>
            </w:pPr>
            <w:r>
              <w:t>The system shall require both participant consents and interviewer start before transcription.</w:t>
            </w:r>
          </w:p>
        </w:tc>
        <w:tc>
          <w:tcPr>
            <w:tcW w:type="dxa" w:w="2664"/>
            <w:vAlign w:val="center"/>
          </w:tcPr>
          <w:p>
            <w:pPr>
              <w:pStyle w:val="TableText"/>
              <w:keepNext w:val="0"/>
            </w:pPr>
            <w:r>
              <w:t>Missing consent prevents a new transcription session; withdrawal stops authorized processing.</w:t>
            </w:r>
          </w:p>
        </w:tc>
        <w:tc>
          <w:tcPr>
            <w:tcW w:type="dxa" w:w="1685"/>
            <w:vAlign w:val="center"/>
          </w:tcPr>
          <w:p>
            <w:pPr>
              <w:pStyle w:val="TableText"/>
              <w:keepNext w:val="0"/>
            </w:pPr>
            <w:r>
              <w:t>Consent must not be inferred from merely joining.</w:t>
            </w:r>
          </w:p>
        </w:tc>
        <w:tc>
          <w:tcPr>
            <w:tcW w:type="dxa" w:w="1080"/>
            <w:vAlign w:val="center"/>
          </w:tcPr>
          <w:p>
            <w:pPr>
              <w:pStyle w:val="TableText"/>
              <w:keepNext w:val="0"/>
              <w:jc w:val="center"/>
            </w:pPr>
            <w:r>
              <w:t>TC10.01</w:t>
            </w:r>
          </w:p>
        </w:tc>
      </w:tr>
      <w:tr>
        <w:trPr>
          <w:cantSplit/>
        </w:trPr>
        <w:tc>
          <w:tcPr>
            <w:tcW w:type="dxa" w:w="1008"/>
            <w:vAlign w:val="center"/>
          </w:tcPr>
          <w:p>
            <w:pPr>
              <w:pStyle w:val="TableText"/>
              <w:keepNext w:val="0"/>
              <w:jc w:val="center"/>
            </w:pPr>
            <w:r>
              <w:t>FR10.02</w:t>
            </w:r>
          </w:p>
        </w:tc>
        <w:tc>
          <w:tcPr>
            <w:tcW w:type="dxa" w:w="2923"/>
            <w:vAlign w:val="center"/>
          </w:tcPr>
          <w:p>
            <w:pPr>
              <w:pStyle w:val="TableText"/>
              <w:keepNext w:val="0"/>
            </w:pPr>
            <w:r>
              <w:t>The system shall subscribe only to authorized participant microphone tracks.</w:t>
            </w:r>
          </w:p>
        </w:tc>
        <w:tc>
          <w:tcPr>
            <w:tcW w:type="dxa" w:w="2664"/>
            <w:vAlign w:val="center"/>
          </w:tcPr>
          <w:p>
            <w:pPr>
              <w:pStyle w:val="TableText"/>
              <w:keepNext w:val="0"/>
            </w:pPr>
            <w:r>
              <w:t>Other participant, screen-share and untrusted tracks are ignored.</w:t>
            </w:r>
          </w:p>
        </w:tc>
        <w:tc>
          <w:tcPr>
            <w:tcW w:type="dxa" w:w="1685"/>
            <w:vAlign w:val="center"/>
          </w:tcPr>
          <w:p>
            <w:pPr>
              <w:pStyle w:val="TableText"/>
              <w:keepNext w:val="0"/>
            </w:pPr>
            <w:r>
              <w:t>Two microphone streams are handled independently.</w:t>
            </w:r>
          </w:p>
        </w:tc>
        <w:tc>
          <w:tcPr>
            <w:tcW w:type="dxa" w:w="1080"/>
            <w:vAlign w:val="center"/>
          </w:tcPr>
          <w:p>
            <w:pPr>
              <w:pStyle w:val="TableText"/>
              <w:keepNext w:val="0"/>
              <w:jc w:val="center"/>
            </w:pPr>
            <w:r>
              <w:t>TC10.02</w:t>
            </w:r>
          </w:p>
        </w:tc>
      </w:tr>
      <w:tr>
        <w:trPr>
          <w:cantSplit/>
        </w:trPr>
        <w:tc>
          <w:tcPr>
            <w:tcW w:type="dxa" w:w="1008"/>
            <w:vAlign w:val="center"/>
          </w:tcPr>
          <w:p>
            <w:pPr>
              <w:pStyle w:val="TableText"/>
              <w:keepNext w:val="0"/>
              <w:jc w:val="center"/>
            </w:pPr>
            <w:r>
              <w:t>FR10.03</w:t>
            </w:r>
          </w:p>
        </w:tc>
        <w:tc>
          <w:tcPr>
            <w:tcW w:type="dxa" w:w="2923"/>
            <w:vAlign w:val="center"/>
          </w:tcPr>
          <w:p>
            <w:pPr>
              <w:pStyle w:val="TableText"/>
              <w:keepNext w:val="0"/>
            </w:pPr>
            <w:r>
              <w:t>The system shall persist final segments idempotently with speaker, sequence and timestamps.</w:t>
            </w:r>
          </w:p>
        </w:tc>
        <w:tc>
          <w:tcPr>
            <w:tcW w:type="dxa" w:w="2664"/>
            <w:vAlign w:val="center"/>
          </w:tcPr>
          <w:p>
            <w:pPr>
              <w:pStyle w:val="TableText"/>
              <w:keepNext w:val="0"/>
            </w:pPr>
            <w:r>
              <w:t>Duplicate/replayed final events do not create duplicate source evidence.</w:t>
            </w:r>
          </w:p>
        </w:tc>
        <w:tc>
          <w:tcPr>
            <w:tcW w:type="dxa" w:w="1685"/>
            <w:vAlign w:val="center"/>
          </w:tcPr>
          <w:p>
            <w:pPr>
              <w:pStyle w:val="TableText"/>
              <w:keepNext w:val="0"/>
            </w:pPr>
            <w:r>
              <w:t>Interim text is not the durable transcript.</w:t>
            </w:r>
          </w:p>
        </w:tc>
        <w:tc>
          <w:tcPr>
            <w:tcW w:type="dxa" w:w="1080"/>
            <w:vAlign w:val="center"/>
          </w:tcPr>
          <w:p>
            <w:pPr>
              <w:pStyle w:val="TableText"/>
              <w:keepNext w:val="0"/>
              <w:jc w:val="center"/>
            </w:pPr>
            <w:r>
              <w:t>TC10.03</w:t>
            </w:r>
          </w:p>
        </w:tc>
      </w:tr>
      <w:tr>
        <w:trPr>
          <w:cantSplit/>
        </w:trPr>
        <w:tc>
          <w:tcPr>
            <w:tcW w:type="dxa" w:w="1008"/>
            <w:vAlign w:val="center"/>
          </w:tcPr>
          <w:p>
            <w:pPr>
              <w:pStyle w:val="TableText"/>
              <w:keepNext w:val="0"/>
              <w:jc w:val="center"/>
            </w:pPr>
            <w:r>
              <w:t>FR10.04</w:t>
            </w:r>
          </w:p>
        </w:tc>
        <w:tc>
          <w:tcPr>
            <w:tcW w:type="dxa" w:w="2923"/>
            <w:vAlign w:val="center"/>
          </w:tcPr>
          <w:p>
            <w:pPr>
              <w:pStyle w:val="TableText"/>
              <w:keepNext w:val="0"/>
            </w:pPr>
            <w:r>
              <w:t>The system shall protect worker callbacks and keep transcripts interviewer-only.</w:t>
            </w:r>
          </w:p>
        </w:tc>
        <w:tc>
          <w:tcPr>
            <w:tcW w:type="dxa" w:w="2664"/>
            <w:vAlign w:val="center"/>
          </w:tcPr>
          <w:p>
            <w:pPr>
              <w:pStyle w:val="TableText"/>
              <w:keepNext w:val="0"/>
            </w:pPr>
            <w:r>
              <w:t>A separate worker secret is required and public proxy access to internal callbacks is blocked.</w:t>
            </w:r>
          </w:p>
        </w:tc>
        <w:tc>
          <w:tcPr>
            <w:tcW w:type="dxa" w:w="1685"/>
            <w:vAlign w:val="center"/>
          </w:tcPr>
          <w:p>
            <w:pPr>
              <w:pStyle w:val="TableText"/>
              <w:keepNext w:val="0"/>
            </w:pPr>
            <w:r>
              <w:t>Deepgram credentials never reach browsers.</w:t>
            </w:r>
          </w:p>
        </w:tc>
        <w:tc>
          <w:tcPr>
            <w:tcW w:type="dxa" w:w="1080"/>
            <w:vAlign w:val="center"/>
          </w:tcPr>
          <w:p>
            <w:pPr>
              <w:pStyle w:val="TableText"/>
              <w:keepNext w:val="0"/>
              <w:jc w:val="center"/>
            </w:pPr>
            <w:r>
              <w:t>TC10.04</w:t>
            </w:r>
          </w:p>
        </w:tc>
      </w:tr>
      <w:tr>
        <w:trPr>
          <w:cantSplit/>
        </w:trPr>
        <w:tc>
          <w:tcPr>
            <w:tcW w:type="dxa" w:w="1008"/>
            <w:vAlign w:val="center"/>
          </w:tcPr>
          <w:p>
            <w:pPr>
              <w:pStyle w:val="TableText"/>
              <w:keepNext w:val="0"/>
              <w:jc w:val="center"/>
            </w:pPr>
            <w:r>
              <w:t>FR10.05</w:t>
            </w:r>
          </w:p>
        </w:tc>
        <w:tc>
          <w:tcPr>
            <w:tcW w:type="dxa" w:w="2923"/>
            <w:vAlign w:val="center"/>
          </w:tcPr>
          <w:p>
            <w:pPr>
              <w:pStyle w:val="TableText"/>
              <w:keepNext w:val="0"/>
            </w:pPr>
            <w:r>
              <w:t>The system shall expose gaps, provider failure and reconnect states without ending the human call.</w:t>
            </w:r>
          </w:p>
        </w:tc>
        <w:tc>
          <w:tcPr>
            <w:tcW w:type="dxa" w:w="2664"/>
            <w:vAlign w:val="center"/>
          </w:tcPr>
          <w:p>
            <w:pPr>
              <w:pStyle w:val="TableText"/>
              <w:keepNext w:val="0"/>
            </w:pPr>
            <w:r>
              <w:t>Missing-speech warnings remain visible and saved final text is recoverable.</w:t>
            </w:r>
          </w:p>
        </w:tc>
        <w:tc>
          <w:tcPr>
            <w:tcW w:type="dxa" w:w="1685"/>
            <w:vAlign w:val="center"/>
          </w:tcPr>
          <w:p>
            <w:pPr>
              <w:pStyle w:val="TableText"/>
              <w:keepNext w:val="0"/>
            </w:pPr>
            <w:r>
              <w:t>Default final-text retention is 30 days; no raw audio/video is retained.</w:t>
            </w:r>
          </w:p>
        </w:tc>
        <w:tc>
          <w:tcPr>
            <w:tcW w:type="dxa" w:w="1080"/>
            <w:vAlign w:val="center"/>
          </w:tcPr>
          <w:p>
            <w:pPr>
              <w:pStyle w:val="TableText"/>
              <w:keepNext w:val="0"/>
              <w:jc w:val="center"/>
            </w:pPr>
            <w:r>
              <w:t>TC10.05</w:t>
            </w:r>
          </w:p>
        </w:tc>
      </w:tr>
    </w:tbl>
    <w:p>
      <w:pPr>
        <w:pStyle w:val="TableGap"/>
        <w:keepNext w:val="0"/>
      </w:pPr>
    </w:p>
    <w:p>
      <w:bookmarkStart w:id="26" w:name="SRS_26"/>
      <w:pPr>
        <w:pStyle w:val="Heading3"/>
      </w:pPr>
      <w:r>
        <w:t>3.1.11 Central and private interview assistants</w:t>
      </w:r>
      <w:bookmarkEnd w:id="26"/>
    </w:p>
    <w:p>
      <w:pPr>
        <w:keepNext/>
      </w:pPr>
      <w:r>
        <w:t>Actors: Interviewer, scoped supervisor tools. One supervisor definition coordinates authorized business operations in different capability scopes.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FR11.01</w:t>
            </w:r>
          </w:p>
        </w:tc>
        <w:tc>
          <w:tcPr>
            <w:tcW w:type="dxa" w:w="2923"/>
            <w:vAlign w:val="center"/>
          </w:tcPr>
          <w:p>
            <w:pPr>
              <w:pStyle w:val="TableText"/>
              <w:keepNext w:val="0"/>
            </w:pPr>
            <w:r>
              <w:t>The system shall select and execute at most one business tool for each assistant request.</w:t>
            </w:r>
          </w:p>
        </w:tc>
        <w:tc>
          <w:tcPr>
            <w:tcW w:type="dxa" w:w="2664"/>
            <w:vAlign w:val="center"/>
          </w:tcPr>
          <w:p>
            <w:pPr>
              <w:pStyle w:val="TableText"/>
              <w:keepNext w:val="0"/>
            </w:pPr>
            <w:r>
              <w:t>Malformed, unknown or multiple tool calls do not execute unauthorized operations.</w:t>
            </w:r>
          </w:p>
        </w:tc>
        <w:tc>
          <w:tcPr>
            <w:tcW w:type="dxa" w:w="1685"/>
            <w:vAlign w:val="center"/>
          </w:tcPr>
          <w:p>
            <w:pPr>
              <w:pStyle w:val="TableText"/>
              <w:keepNext w:val="0"/>
            </w:pPr>
            <w:r>
              <w:t>The final response reports the actual tool result.</w:t>
            </w:r>
          </w:p>
        </w:tc>
        <w:tc>
          <w:tcPr>
            <w:tcW w:type="dxa" w:w="1080"/>
            <w:vAlign w:val="center"/>
          </w:tcPr>
          <w:p>
            <w:pPr>
              <w:pStyle w:val="TableText"/>
              <w:keepNext w:val="0"/>
              <w:jc w:val="center"/>
            </w:pPr>
            <w:r>
              <w:t>TC11.01</w:t>
            </w:r>
          </w:p>
        </w:tc>
      </w:tr>
      <w:tr>
        <w:trPr>
          <w:cantSplit/>
        </w:trPr>
        <w:tc>
          <w:tcPr>
            <w:tcW w:type="dxa" w:w="1008"/>
            <w:vAlign w:val="center"/>
          </w:tcPr>
          <w:p>
            <w:pPr>
              <w:pStyle w:val="TableText"/>
              <w:keepNext w:val="0"/>
              <w:jc w:val="center"/>
            </w:pPr>
            <w:r>
              <w:t>FR11.02</w:t>
            </w:r>
          </w:p>
        </w:tc>
        <w:tc>
          <w:tcPr>
            <w:tcW w:type="dxa" w:w="2923"/>
            <w:vAlign w:val="center"/>
          </w:tcPr>
          <w:p>
            <w:pPr>
              <w:pStyle w:val="TableText"/>
              <w:keepNext w:val="0"/>
            </w:pPr>
            <w:r>
              <w:t>The system shall expose only the allowed central recruitment or private interview tools.</w:t>
            </w:r>
          </w:p>
        </w:tc>
        <w:tc>
          <w:tcPr>
            <w:tcW w:type="dxa" w:w="2664"/>
            <w:vAlign w:val="center"/>
          </w:tcPr>
          <w:p>
            <w:pPr>
              <w:pStyle w:val="TableText"/>
              <w:keepNext w:val="0"/>
            </w:pPr>
            <w:r>
              <w:t>Room chat cannot publish, email, schedule, edit JDs or control meetings.</w:t>
            </w:r>
          </w:p>
        </w:tc>
        <w:tc>
          <w:tcPr>
            <w:tcW w:type="dxa" w:w="1685"/>
            <w:vAlign w:val="center"/>
          </w:tcPr>
          <w:p>
            <w:pPr>
              <w:pStyle w:val="TableText"/>
              <w:keepNext w:val="0"/>
            </w:pPr>
            <w:r>
              <w:t>Server scope binds one authorized interview.</w:t>
            </w:r>
          </w:p>
        </w:tc>
        <w:tc>
          <w:tcPr>
            <w:tcW w:type="dxa" w:w="1080"/>
            <w:vAlign w:val="center"/>
          </w:tcPr>
          <w:p>
            <w:pPr>
              <w:pStyle w:val="TableText"/>
              <w:keepNext w:val="0"/>
              <w:jc w:val="center"/>
            </w:pPr>
            <w:r>
              <w:t>TC11.02</w:t>
            </w:r>
          </w:p>
        </w:tc>
      </w:tr>
      <w:tr>
        <w:trPr>
          <w:cantSplit/>
        </w:trPr>
        <w:tc>
          <w:tcPr>
            <w:tcW w:type="dxa" w:w="1008"/>
            <w:vAlign w:val="center"/>
          </w:tcPr>
          <w:p>
            <w:pPr>
              <w:pStyle w:val="TableText"/>
              <w:keepNext w:val="0"/>
              <w:jc w:val="center"/>
            </w:pPr>
            <w:r>
              <w:t>FR11.03</w:t>
            </w:r>
          </w:p>
        </w:tc>
        <w:tc>
          <w:tcPr>
            <w:tcW w:type="dxa" w:w="2923"/>
            <w:vAlign w:val="center"/>
          </w:tcPr>
          <w:p>
            <w:pPr>
              <w:pStyle w:val="TableText"/>
              <w:keepNext w:val="0"/>
            </w:pPr>
            <w:r>
              <w:t>The system shall bind commands and approvals to the latest authentic interviewer message.</w:t>
            </w:r>
          </w:p>
        </w:tc>
        <w:tc>
          <w:tcPr>
            <w:tcW w:type="dxa" w:w="2664"/>
            <w:vAlign w:val="center"/>
          </w:tcPr>
          <w:p>
            <w:pPr>
              <w:pStyle w:val="TableText"/>
              <w:keepNext w:val="0"/>
            </w:pPr>
            <w:r>
              <w:t>Retrieved content and fabricated tool arguments cannot supply approval.</w:t>
            </w:r>
          </w:p>
        </w:tc>
        <w:tc>
          <w:tcPr>
            <w:tcW w:type="dxa" w:w="1685"/>
            <w:vAlign w:val="center"/>
          </w:tcPr>
          <w:p>
            <w:pPr>
              <w:pStyle w:val="TableText"/>
              <w:keepNext w:val="0"/>
            </w:pPr>
            <w:r>
              <w:t>Job/candidate IDs resolve only against authorized resources.</w:t>
            </w:r>
          </w:p>
        </w:tc>
        <w:tc>
          <w:tcPr>
            <w:tcW w:type="dxa" w:w="1080"/>
            <w:vAlign w:val="center"/>
          </w:tcPr>
          <w:p>
            <w:pPr>
              <w:pStyle w:val="TableText"/>
              <w:keepNext w:val="0"/>
              <w:jc w:val="center"/>
            </w:pPr>
            <w:r>
              <w:t>TC11.03</w:t>
            </w:r>
          </w:p>
        </w:tc>
      </w:tr>
      <w:tr>
        <w:trPr>
          <w:cantSplit/>
        </w:trPr>
        <w:tc>
          <w:tcPr>
            <w:tcW w:type="dxa" w:w="1008"/>
            <w:vAlign w:val="center"/>
          </w:tcPr>
          <w:p>
            <w:pPr>
              <w:pStyle w:val="TableText"/>
              <w:keepNext w:val="0"/>
              <w:jc w:val="center"/>
            </w:pPr>
            <w:r>
              <w:t>FR11.04</w:t>
            </w:r>
          </w:p>
        </w:tc>
        <w:tc>
          <w:tcPr>
            <w:tcW w:type="dxa" w:w="2923"/>
            <w:vAlign w:val="center"/>
          </w:tcPr>
          <w:p>
            <w:pPr>
              <w:pStyle w:val="TableText"/>
              <w:keepNext w:val="0"/>
            </w:pPr>
            <w:r>
              <w:t>The system shall support context-aware follow-ups and named-candidate selection.</w:t>
            </w:r>
          </w:p>
        </w:tc>
        <w:tc>
          <w:tcPr>
            <w:tcW w:type="dxa" w:w="2664"/>
            <w:vAlign w:val="center"/>
          </w:tcPr>
          <w:p>
            <w:pPr>
              <w:pStyle w:val="TableText"/>
              <w:keepNext w:val="0"/>
            </w:pPr>
            <w:r>
              <w:t>Confirmed details persist across related messages; names do not require a top-N cutoff.</w:t>
            </w:r>
          </w:p>
        </w:tc>
        <w:tc>
          <w:tcPr>
            <w:tcW w:type="dxa" w:w="1685"/>
            <w:vAlign w:val="center"/>
          </w:tcPr>
          <w:p>
            <w:pPr>
              <w:pStyle w:val="TableText"/>
              <w:keepNext w:val="0"/>
            </w:pPr>
            <w:r>
              <w:t>Ambiguous resources require clarification.</w:t>
            </w:r>
          </w:p>
        </w:tc>
        <w:tc>
          <w:tcPr>
            <w:tcW w:type="dxa" w:w="1080"/>
            <w:vAlign w:val="center"/>
          </w:tcPr>
          <w:p>
            <w:pPr>
              <w:pStyle w:val="TableText"/>
              <w:keepNext w:val="0"/>
              <w:jc w:val="center"/>
            </w:pPr>
            <w:r>
              <w:t>TC11.04</w:t>
            </w:r>
          </w:p>
        </w:tc>
      </w:tr>
      <w:tr>
        <w:trPr>
          <w:cantSplit/>
        </w:trPr>
        <w:tc>
          <w:tcPr>
            <w:tcW w:type="dxa" w:w="1008"/>
            <w:vAlign w:val="center"/>
          </w:tcPr>
          <w:p>
            <w:pPr>
              <w:pStyle w:val="TableText"/>
              <w:keepNext w:val="0"/>
              <w:jc w:val="center"/>
            </w:pPr>
            <w:r>
              <w:t>FR11.05</w:t>
            </w:r>
          </w:p>
        </w:tc>
        <w:tc>
          <w:tcPr>
            <w:tcW w:type="dxa" w:w="2923"/>
            <w:vAlign w:val="center"/>
          </w:tcPr>
          <w:p>
            <w:pPr>
              <w:pStyle w:val="TableText"/>
              <w:keepNext w:val="0"/>
            </w:pPr>
            <w:r>
              <w:t>The system shall ground interview-question suggestions in the question bank and JD.</w:t>
            </w:r>
          </w:p>
        </w:tc>
        <w:tc>
          <w:tcPr>
            <w:tcW w:type="dxa" w:w="2664"/>
            <w:vAlign w:val="center"/>
          </w:tcPr>
          <w:p>
            <w:pPr>
              <w:pStyle w:val="TableText"/>
              <w:keepNext w:val="0"/>
            </w:pPr>
            <w:r>
              <w:t>Each suggested question names a relevant requirement and cites allowed source IDs.</w:t>
            </w:r>
          </w:p>
        </w:tc>
        <w:tc>
          <w:tcPr>
            <w:tcW w:type="dxa" w:w="1685"/>
            <w:vAlign w:val="center"/>
          </w:tcPr>
          <w:p>
            <w:pPr>
              <w:pStyle w:val="TableText"/>
              <w:keepNext w:val="0"/>
            </w:pPr>
            <w:r>
              <w:t>No invented sources, discriminatory questions or unsupported candidate claims.</w:t>
            </w:r>
          </w:p>
        </w:tc>
        <w:tc>
          <w:tcPr>
            <w:tcW w:type="dxa" w:w="1080"/>
            <w:vAlign w:val="center"/>
          </w:tcPr>
          <w:p>
            <w:pPr>
              <w:pStyle w:val="TableText"/>
              <w:keepNext w:val="0"/>
              <w:jc w:val="center"/>
            </w:pPr>
            <w:r>
              <w:t>TC11.05</w:t>
            </w:r>
          </w:p>
        </w:tc>
      </w:tr>
    </w:tbl>
    <w:p>
      <w:pPr>
        <w:pStyle w:val="TableGap"/>
        <w:keepNext w:val="0"/>
      </w:pPr>
    </w:p>
    <w:p>
      <w:bookmarkStart w:id="27" w:name="SRS_27"/>
      <w:pPr>
        <w:pStyle w:val="Heading3"/>
      </w:pPr>
      <w:r>
        <w:t>3.1.12 Transcript analysis and candidate performance</w:t>
      </w:r>
      <w:bookmarkEnd w:id="27"/>
    </w:p>
    <w:p>
      <w:pPr>
        <w:keepNext/>
      </w:pPr>
      <w:r>
        <w:t>Actors: Interviewer, analysis services. Saved final transcript evidence and approved reference guides support granular answer assessment.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FR12.01</w:t>
            </w:r>
          </w:p>
        </w:tc>
        <w:tc>
          <w:tcPr>
            <w:tcW w:type="dxa" w:w="2923"/>
            <w:vAlign w:val="center"/>
          </w:tcPr>
          <w:p>
            <w:pPr>
              <w:pStyle w:val="TableText"/>
              <w:keepNext w:val="0"/>
            </w:pPr>
            <w:r>
              <w:t>The system shall detect substantive questions and pair them with candidate answers.</w:t>
            </w:r>
          </w:p>
        </w:tc>
        <w:tc>
          <w:tcPr>
            <w:tcW w:type="dxa" w:w="2664"/>
            <w:vAlign w:val="center"/>
          </w:tcPr>
          <w:p>
            <w:pPr>
              <w:pStyle w:val="TableText"/>
              <w:keepNext w:val="0"/>
            </w:pPr>
            <w:r>
              <w:t>Questions, continuations, answers and clarifications remain distinguishable and reviewable.</w:t>
            </w:r>
          </w:p>
        </w:tc>
        <w:tc>
          <w:tcPr>
            <w:tcW w:type="dxa" w:w="1685"/>
            <w:vAlign w:val="center"/>
          </w:tcPr>
          <w:p>
            <w:pPr>
              <w:pStyle w:val="TableText"/>
              <w:keepNext w:val="0"/>
            </w:pPr>
            <w:r>
              <w:t>Transcription session gaps and ambiguous boundaries are visible.</w:t>
            </w:r>
          </w:p>
        </w:tc>
        <w:tc>
          <w:tcPr>
            <w:tcW w:type="dxa" w:w="1080"/>
            <w:vAlign w:val="center"/>
          </w:tcPr>
          <w:p>
            <w:pPr>
              <w:pStyle w:val="TableText"/>
              <w:keepNext w:val="0"/>
              <w:jc w:val="center"/>
            </w:pPr>
            <w:r>
              <w:t>TC12.01</w:t>
            </w:r>
          </w:p>
        </w:tc>
      </w:tr>
      <w:tr>
        <w:trPr>
          <w:cantSplit/>
        </w:trPr>
        <w:tc>
          <w:tcPr>
            <w:tcW w:type="dxa" w:w="1008"/>
            <w:vAlign w:val="center"/>
          </w:tcPr>
          <w:p>
            <w:pPr>
              <w:pStyle w:val="TableText"/>
              <w:keepNext w:val="0"/>
              <w:jc w:val="center"/>
            </w:pPr>
            <w:r>
              <w:t>FR12.02</w:t>
            </w:r>
          </w:p>
        </w:tc>
        <w:tc>
          <w:tcPr>
            <w:tcW w:type="dxa" w:w="2923"/>
            <w:vAlign w:val="center"/>
          </w:tcPr>
          <w:p>
            <w:pPr>
              <w:pStyle w:val="TableText"/>
              <w:keepNext w:val="0"/>
            </w:pPr>
            <w:r>
              <w:t>The system shall exclude housekeeping from scoring while retaining job-related nontechnical questions.</w:t>
            </w:r>
          </w:p>
        </w:tc>
        <w:tc>
          <w:tcPr>
            <w:tcW w:type="dxa" w:w="2664"/>
            <w:vAlign w:val="center"/>
          </w:tcPr>
          <w:p>
            <w:pPr>
              <w:pStyle w:val="TableText"/>
              <w:keepNext w:val="0"/>
            </w:pPr>
            <w:r>
              <w:t>Greetings/device checks do not enter the score denominator; HR/sales/behavioral competencies can.</w:t>
            </w:r>
          </w:p>
        </w:tc>
        <w:tc>
          <w:tcPr>
            <w:tcW w:type="dxa" w:w="1685"/>
            <w:vAlign w:val="center"/>
          </w:tcPr>
          <w:p>
            <w:pPr>
              <w:pStyle w:val="TableText"/>
              <w:keepNext w:val="0"/>
            </w:pPr>
            <w:r>
              <w:t>An off-topic answer to a valid job question is not excluded as small talk.</w:t>
            </w:r>
          </w:p>
        </w:tc>
        <w:tc>
          <w:tcPr>
            <w:tcW w:type="dxa" w:w="1080"/>
            <w:vAlign w:val="center"/>
          </w:tcPr>
          <w:p>
            <w:pPr>
              <w:pStyle w:val="TableText"/>
              <w:keepNext w:val="0"/>
              <w:jc w:val="center"/>
            </w:pPr>
            <w:r>
              <w:t>TC12.02</w:t>
            </w:r>
          </w:p>
        </w:tc>
      </w:tr>
      <w:tr>
        <w:trPr>
          <w:cantSplit/>
        </w:trPr>
        <w:tc>
          <w:tcPr>
            <w:tcW w:type="dxa" w:w="1008"/>
            <w:vAlign w:val="center"/>
          </w:tcPr>
          <w:p>
            <w:pPr>
              <w:pStyle w:val="TableText"/>
              <w:keepNext w:val="0"/>
              <w:jc w:val="center"/>
            </w:pPr>
            <w:r>
              <w:t>FR12.03</w:t>
            </w:r>
          </w:p>
        </w:tc>
        <w:tc>
          <w:tcPr>
            <w:tcW w:type="dxa" w:w="2923"/>
            <w:vAlign w:val="center"/>
          </w:tcPr>
          <w:p>
            <w:pPr>
              <w:pStyle w:val="TableText"/>
              <w:keepNext w:val="0"/>
            </w:pPr>
            <w:r>
              <w:t>The system shall interpret context-supported ASR errors without fabricating speech.</w:t>
            </w:r>
          </w:p>
        </w:tc>
        <w:tc>
          <w:tcPr>
            <w:tcW w:type="dxa" w:w="2664"/>
            <w:vAlign w:val="center"/>
          </w:tcPr>
          <w:p>
            <w:pPr>
              <w:pStyle w:val="TableText"/>
              <w:keepNext w:val="0"/>
            </w:pPr>
            <w:r>
              <w:t>Original quotations remain exact; meaningful interpretations have supporting context.</w:t>
            </w:r>
          </w:p>
        </w:tc>
        <w:tc>
          <w:tcPr>
            <w:tcW w:type="dxa" w:w="1685"/>
            <w:vAlign w:val="center"/>
          </w:tcPr>
          <w:p>
            <w:pPr>
              <w:pStyle w:val="TableText"/>
              <w:keepNext w:val="0"/>
            </w:pPr>
            <w:r>
              <w:t>Competing grade-changing readings remain uncertain.</w:t>
            </w:r>
          </w:p>
        </w:tc>
        <w:tc>
          <w:tcPr>
            <w:tcW w:type="dxa" w:w="1080"/>
            <w:vAlign w:val="center"/>
          </w:tcPr>
          <w:p>
            <w:pPr>
              <w:pStyle w:val="TableText"/>
              <w:keepNext w:val="0"/>
              <w:jc w:val="center"/>
            </w:pPr>
            <w:r>
              <w:t>TC12.03</w:t>
            </w:r>
          </w:p>
        </w:tc>
      </w:tr>
      <w:tr>
        <w:trPr>
          <w:cantSplit/>
        </w:trPr>
        <w:tc>
          <w:tcPr>
            <w:tcW w:type="dxa" w:w="1008"/>
            <w:vAlign w:val="center"/>
          </w:tcPr>
          <w:p>
            <w:pPr>
              <w:pStyle w:val="TableText"/>
              <w:keepNext w:val="0"/>
              <w:jc w:val="center"/>
            </w:pPr>
            <w:r>
              <w:t>FR12.04</w:t>
            </w:r>
          </w:p>
        </w:tc>
        <w:tc>
          <w:tcPr>
            <w:tcW w:type="dxa" w:w="2923"/>
            <w:vAlign w:val="center"/>
          </w:tcPr>
          <w:p>
            <w:pPr>
              <w:pStyle w:val="TableText"/>
              <w:keepNext w:val="0"/>
            </w:pPr>
            <w:r>
              <w:t>The system shall assign supported 0 to 100 marks for relevance, accuracy, completeness and quality.</w:t>
            </w:r>
          </w:p>
        </w:tc>
        <w:tc>
          <w:tcPr>
            <w:tcW w:type="dxa" w:w="2664"/>
            <w:vAlign w:val="center"/>
          </w:tcPr>
          <w:p>
            <w:pPr>
              <w:pStyle w:val="TableText"/>
              <w:keepNext w:val="0"/>
            </w:pPr>
            <w:r>
              <w:t>Each dimension contributes 25%; numeric marks are not fixed by met/partial/unmet labels.</w:t>
            </w:r>
          </w:p>
        </w:tc>
        <w:tc>
          <w:tcPr>
            <w:tcW w:type="dxa" w:w="1685"/>
            <w:vAlign w:val="center"/>
          </w:tcPr>
          <w:p>
            <w:pPr>
              <w:pStyle w:val="TableText"/>
              <w:keepNext w:val="0"/>
            </w:pPr>
            <w:r>
              <w:t>Correctness requires approved guides or technical references.</w:t>
            </w:r>
          </w:p>
        </w:tc>
        <w:tc>
          <w:tcPr>
            <w:tcW w:type="dxa" w:w="1080"/>
            <w:vAlign w:val="center"/>
          </w:tcPr>
          <w:p>
            <w:pPr>
              <w:pStyle w:val="TableText"/>
              <w:keepNext w:val="0"/>
              <w:jc w:val="center"/>
            </w:pPr>
            <w:r>
              <w:t>TC12.04</w:t>
            </w:r>
          </w:p>
        </w:tc>
      </w:tr>
      <w:tr>
        <w:trPr>
          <w:cantSplit/>
        </w:trPr>
        <w:tc>
          <w:tcPr>
            <w:tcW w:type="dxa" w:w="1008"/>
            <w:vAlign w:val="center"/>
          </w:tcPr>
          <w:p>
            <w:pPr>
              <w:pStyle w:val="TableText"/>
              <w:keepNext w:val="0"/>
              <w:jc w:val="center"/>
            </w:pPr>
            <w:r>
              <w:t>FR12.05</w:t>
            </w:r>
          </w:p>
        </w:tc>
        <w:tc>
          <w:tcPr>
            <w:tcW w:type="dxa" w:w="2923"/>
            <w:vAlign w:val="center"/>
          </w:tcPr>
          <w:p>
            <w:pPr>
              <w:pStyle w:val="TableText"/>
              <w:keepNext w:val="0"/>
            </w:pPr>
            <w:r>
              <w:t>The system shall award zero for verified off-topic and genuinely unanswered questions only.</w:t>
            </w:r>
          </w:p>
        </w:tc>
        <w:tc>
          <w:tcPr>
            <w:tcW w:type="dxa" w:w="2664"/>
            <w:vAlign w:val="center"/>
          </w:tcPr>
          <w:p>
            <w:pPr>
              <w:pStyle w:val="TableText"/>
              <w:keepNext w:val="0"/>
            </w:pPr>
            <w:r>
              <w:t>A verified mismatch yields zero; missing transcript, references or provider response does not.</w:t>
            </w:r>
          </w:p>
        </w:tc>
        <w:tc>
          <w:tcPr>
            <w:tcW w:type="dxa" w:w="1685"/>
            <w:vAlign w:val="center"/>
          </w:tcPr>
          <w:p>
            <w:pPr>
              <w:pStyle w:val="TableText"/>
              <w:keepNext w:val="0"/>
            </w:pPr>
            <w:r>
              <w:t>Uncertainty and failures remain incomplete.</w:t>
            </w:r>
          </w:p>
        </w:tc>
        <w:tc>
          <w:tcPr>
            <w:tcW w:type="dxa" w:w="1080"/>
            <w:vAlign w:val="center"/>
          </w:tcPr>
          <w:p>
            <w:pPr>
              <w:pStyle w:val="TableText"/>
              <w:keepNext w:val="0"/>
              <w:jc w:val="center"/>
            </w:pPr>
            <w:r>
              <w:t>TC12.05</w:t>
            </w:r>
          </w:p>
        </w:tc>
      </w:tr>
      <w:tr>
        <w:trPr>
          <w:cantSplit/>
        </w:trPr>
        <w:tc>
          <w:tcPr>
            <w:tcW w:type="dxa" w:w="1008"/>
            <w:vAlign w:val="center"/>
          </w:tcPr>
          <w:p>
            <w:pPr>
              <w:pStyle w:val="TableText"/>
              <w:keepNext w:val="0"/>
              <w:jc w:val="center"/>
            </w:pPr>
            <w:r>
              <w:t>FR12.06</w:t>
            </w:r>
          </w:p>
        </w:tc>
        <w:tc>
          <w:tcPr>
            <w:tcW w:type="dxa" w:w="2923"/>
            <w:vAlign w:val="center"/>
          </w:tcPr>
          <w:p>
            <w:pPr>
              <w:pStyle w:val="TableText"/>
              <w:keepNext w:val="0"/>
            </w:pPr>
            <w:r>
              <w:t>The system shall independently check quotations, interpretation, mappings and score support.</w:t>
            </w:r>
          </w:p>
        </w:tc>
        <w:tc>
          <w:tcPr>
            <w:tcW w:type="dxa" w:w="2664"/>
            <w:vAlign w:val="center"/>
          </w:tcPr>
          <w:p>
            <w:pPr>
              <w:pStyle w:val="TableText"/>
              <w:keepNext w:val="0"/>
            </w:pPr>
            <w:r>
              <w:t>Unsupported evidence is rejected; requirement coverage preserves unassessed states.</w:t>
            </w:r>
          </w:p>
        </w:tc>
        <w:tc>
          <w:tcPr>
            <w:tcW w:type="dxa" w:w="1685"/>
            <w:vAlign w:val="center"/>
          </w:tcPr>
          <w:p>
            <w:pPr>
              <w:pStyle w:val="TableText"/>
              <w:keepNext w:val="0"/>
            </w:pPr>
            <w:r>
              <w:t>No personality, accent, emotion or protected-trait inference.</w:t>
            </w:r>
          </w:p>
        </w:tc>
        <w:tc>
          <w:tcPr>
            <w:tcW w:type="dxa" w:w="1080"/>
            <w:vAlign w:val="center"/>
          </w:tcPr>
          <w:p>
            <w:pPr>
              <w:pStyle w:val="TableText"/>
              <w:keepNext w:val="0"/>
              <w:jc w:val="center"/>
            </w:pPr>
            <w:r>
              <w:t>TC12.06</w:t>
            </w:r>
          </w:p>
        </w:tc>
      </w:tr>
      <w:tr>
        <w:trPr>
          <w:cantSplit/>
        </w:trPr>
        <w:tc>
          <w:tcPr>
            <w:tcW w:type="dxa" w:w="1008"/>
            <w:vAlign w:val="center"/>
          </w:tcPr>
          <w:p>
            <w:pPr>
              <w:pStyle w:val="TableText"/>
              <w:keepNext w:val="0"/>
              <w:jc w:val="center"/>
            </w:pPr>
            <w:r>
              <w:t>FR12.07</w:t>
            </w:r>
          </w:p>
        </w:tc>
        <w:tc>
          <w:tcPr>
            <w:tcW w:type="dxa" w:w="2923"/>
            <w:vAlign w:val="center"/>
          </w:tcPr>
          <w:p>
            <w:pPr>
              <w:pStyle w:val="TableText"/>
              <w:keepNext w:val="0"/>
            </w:pPr>
            <w:r>
              <w:t>The system shall save scores during Analyze answers and show concise traceable summaries.</w:t>
            </w:r>
          </w:p>
        </w:tc>
        <w:tc>
          <w:tcPr>
            <w:tcW w:type="dxa" w:w="2664"/>
            <w:vAlign w:val="center"/>
          </w:tcPr>
          <w:p>
            <w:pPr>
              <w:pStyle w:val="TableText"/>
              <w:keepNext w:val="0"/>
            </w:pPr>
            <w:r>
              <w:t>Saved scores, strengths, areas to improve, gaps and verification needs are available without regrading.</w:t>
            </w:r>
          </w:p>
        </w:tc>
        <w:tc>
          <w:tcPr>
            <w:tcW w:type="dxa" w:w="1685"/>
            <w:vAlign w:val="center"/>
          </w:tcPr>
          <w:p>
            <w:pPr>
              <w:pStyle w:val="TableText"/>
              <w:keepNext w:val="0"/>
            </w:pPr>
            <w:r>
              <w:t>Compatible accepted answers are reused; changed inputs become stale.</w:t>
            </w:r>
          </w:p>
        </w:tc>
        <w:tc>
          <w:tcPr>
            <w:tcW w:type="dxa" w:w="1080"/>
            <w:vAlign w:val="center"/>
          </w:tcPr>
          <w:p>
            <w:pPr>
              <w:pStyle w:val="TableText"/>
              <w:keepNext w:val="0"/>
              <w:jc w:val="center"/>
            </w:pPr>
            <w:r>
              <w:t>TC12.07</w:t>
            </w:r>
          </w:p>
        </w:tc>
      </w:tr>
    </w:tbl>
    <w:p>
      <w:pPr>
        <w:pStyle w:val="TableGap"/>
        <w:keepNext w:val="0"/>
      </w:pPr>
    </w:p>
    <w:p>
      <w:bookmarkStart w:id="28" w:name="SRS_28"/>
      <w:pPr>
        <w:pStyle w:val="Heading3"/>
      </w:pPr>
      <w:r>
        <w:t>3.1.13 Live Work Sample Studio</w:t>
      </w:r>
      <w:bookmarkEnd w:id="28"/>
    </w:p>
    <w:p>
      <w:pPr>
        <w:keepNext/>
      </w:pPr>
      <w:r>
        <w:t>Actors: Interviewer, candidate, practical review services. A short observed work product supplements verbal and CV evidence for technical and nontechnical roles.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FR13.01</w:t>
            </w:r>
          </w:p>
        </w:tc>
        <w:tc>
          <w:tcPr>
            <w:tcW w:type="dxa" w:w="2923"/>
            <w:vAlign w:val="center"/>
          </w:tcPr>
          <w:p>
            <w:pPr>
              <w:pStyle w:val="TableText"/>
              <w:keepNext w:val="0"/>
            </w:pPr>
            <w:r>
              <w:t>The system shall suggest job-grounded task choices and create only the selected private draft.</w:t>
            </w:r>
          </w:p>
        </w:tc>
        <w:tc>
          <w:tcPr>
            <w:tcW w:type="dxa" w:w="2664"/>
            <w:vAlign w:val="center"/>
          </w:tcPr>
          <w:p>
            <w:pPr>
              <w:pStyle w:val="TableText"/>
              <w:keepNext w:val="0"/>
            </w:pPr>
            <w:r>
              <w:t>The interviewer selects a task and is directed to practical review before sharing.</w:t>
            </w:r>
          </w:p>
        </w:tc>
        <w:tc>
          <w:tcPr>
            <w:tcW w:type="dxa" w:w="1685"/>
            <w:vAlign w:val="center"/>
          </w:tcPr>
          <w:p>
            <w:pPr>
              <w:pStyle w:val="TableText"/>
              <w:keepNext w:val="0"/>
            </w:pPr>
            <w:r>
              <w:t>Every task must be feasible in 1 to 15 minutes.</w:t>
            </w:r>
          </w:p>
        </w:tc>
        <w:tc>
          <w:tcPr>
            <w:tcW w:type="dxa" w:w="1080"/>
            <w:vAlign w:val="center"/>
          </w:tcPr>
          <w:p>
            <w:pPr>
              <w:pStyle w:val="TableText"/>
              <w:keepNext w:val="0"/>
              <w:jc w:val="center"/>
            </w:pPr>
            <w:r>
              <w:t>TC13.01</w:t>
            </w:r>
          </w:p>
        </w:tc>
      </w:tr>
      <w:tr>
        <w:trPr>
          <w:cantSplit/>
        </w:trPr>
        <w:tc>
          <w:tcPr>
            <w:tcW w:type="dxa" w:w="1008"/>
            <w:vAlign w:val="center"/>
          </w:tcPr>
          <w:p>
            <w:pPr>
              <w:pStyle w:val="TableText"/>
              <w:keepNext w:val="0"/>
              <w:jc w:val="center"/>
            </w:pPr>
            <w:r>
              <w:t>FR13.02</w:t>
            </w:r>
          </w:p>
        </w:tc>
        <w:tc>
          <w:tcPr>
            <w:tcW w:type="dxa" w:w="2923"/>
            <w:vAlign w:val="center"/>
          </w:tcPr>
          <w:p>
            <w:pPr>
              <w:pStyle w:val="TableText"/>
              <w:keepNext w:val="0"/>
            </w:pPr>
            <w:r>
              <w:t>The system shall require task review, explicit sharing, candidate readiness and interviewer start.</w:t>
            </w:r>
          </w:p>
        </w:tc>
        <w:tc>
          <w:tcPr>
            <w:tcW w:type="dxa" w:w="2664"/>
            <w:vAlign w:val="center"/>
          </w:tcPr>
          <w:p>
            <w:pPr>
              <w:pStyle w:val="TableText"/>
              <w:keepNext w:val="0"/>
            </w:pPr>
            <w:r>
              <w:t>A draft is private; working time starts only through the authorized state transition.</w:t>
            </w:r>
          </w:p>
        </w:tc>
        <w:tc>
          <w:tcPr>
            <w:tcW w:type="dxa" w:w="1685"/>
            <w:vAlign w:val="center"/>
          </w:tcPr>
          <w:p>
            <w:pPr>
              <w:pStyle w:val="TableText"/>
              <w:keepNext w:val="0"/>
            </w:pPr>
            <w:r>
              <w:t>No generated criteria editor, model answers or required written explanation field.</w:t>
            </w:r>
          </w:p>
        </w:tc>
        <w:tc>
          <w:tcPr>
            <w:tcW w:type="dxa" w:w="1080"/>
            <w:vAlign w:val="center"/>
          </w:tcPr>
          <w:p>
            <w:pPr>
              <w:pStyle w:val="TableText"/>
              <w:keepNext w:val="0"/>
              <w:jc w:val="center"/>
            </w:pPr>
            <w:r>
              <w:t>TC13.02</w:t>
            </w:r>
          </w:p>
        </w:tc>
      </w:tr>
      <w:tr>
        <w:trPr>
          <w:cantSplit/>
        </w:trPr>
        <w:tc>
          <w:tcPr>
            <w:tcW w:type="dxa" w:w="1008"/>
            <w:vAlign w:val="center"/>
          </w:tcPr>
          <w:p>
            <w:pPr>
              <w:pStyle w:val="TableText"/>
              <w:keepNext w:val="0"/>
              <w:jc w:val="center"/>
            </w:pPr>
            <w:r>
              <w:t>FR13.03</w:t>
            </w:r>
          </w:p>
        </w:tc>
        <w:tc>
          <w:tcPr>
            <w:tcW w:type="dxa" w:w="2923"/>
            <w:vAlign w:val="center"/>
          </w:tcPr>
          <w:p>
            <w:pPr>
              <w:pStyle w:val="TableText"/>
              <w:keepNext w:val="0"/>
            </w:pPr>
            <w:r>
              <w:t>The system shall enforce server-side timing, autosave and one immutable submission.</w:t>
            </w:r>
          </w:p>
        </w:tc>
        <w:tc>
          <w:tcPr>
            <w:tcW w:type="dxa" w:w="2664"/>
            <w:vAlign w:val="center"/>
          </w:tcPr>
          <w:p>
            <w:pPr>
              <w:pStyle w:val="TableText"/>
              <w:keepNext w:val="0"/>
            </w:pPr>
            <w:r>
              <w:t>A second submission is rejected; expiry freezes the latest saved response with a clear status.</w:t>
            </w:r>
          </w:p>
        </w:tc>
        <w:tc>
          <w:tcPr>
            <w:tcW w:type="dxa" w:w="1685"/>
            <w:vAlign w:val="center"/>
          </w:tcPr>
          <w:p>
            <w:pPr>
              <w:pStyle w:val="TableText"/>
              <w:keepNext w:val="0"/>
            </w:pPr>
            <w:r>
              <w:t>Candidate clock changes cannot extend the deadline.</w:t>
            </w:r>
          </w:p>
        </w:tc>
        <w:tc>
          <w:tcPr>
            <w:tcW w:type="dxa" w:w="1080"/>
            <w:vAlign w:val="center"/>
          </w:tcPr>
          <w:p>
            <w:pPr>
              <w:pStyle w:val="TableText"/>
              <w:keepNext w:val="0"/>
              <w:jc w:val="center"/>
            </w:pPr>
            <w:r>
              <w:t>TC13.03</w:t>
            </w:r>
          </w:p>
        </w:tc>
      </w:tr>
      <w:tr>
        <w:trPr>
          <w:cantSplit/>
        </w:trPr>
        <w:tc>
          <w:tcPr>
            <w:tcW w:type="dxa" w:w="1008"/>
            <w:vAlign w:val="center"/>
          </w:tcPr>
          <w:p>
            <w:pPr>
              <w:pStyle w:val="TableText"/>
              <w:keepNext w:val="0"/>
              <w:jc w:val="center"/>
            </w:pPr>
            <w:r>
              <w:t>FR13.04</w:t>
            </w:r>
          </w:p>
        </w:tc>
        <w:tc>
          <w:tcPr>
            <w:tcW w:type="dxa" w:w="2923"/>
            <w:vAlign w:val="center"/>
          </w:tcPr>
          <w:p>
            <w:pPr>
              <w:pStyle w:val="TableText"/>
              <w:keepNext w:val="0"/>
            </w:pPr>
            <w:r>
              <w:t>The system shall show the interviewer the latest server-saved work.</w:t>
            </w:r>
          </w:p>
        </w:tc>
        <w:tc>
          <w:tcPr>
            <w:tcW w:type="dxa" w:w="2664"/>
            <w:vAlign w:val="center"/>
          </w:tcPr>
          <w:p>
            <w:pPr>
              <w:pStyle w:val="TableText"/>
              <w:keepNext w:val="0"/>
            </w:pPr>
            <w:r>
              <w:t>Saved progress and revision status are available during the task.</w:t>
            </w:r>
          </w:p>
        </w:tc>
        <w:tc>
          <w:tcPr>
            <w:tcW w:type="dxa" w:w="1685"/>
            <w:vAlign w:val="center"/>
          </w:tcPr>
          <w:p>
            <w:pPr>
              <w:pStyle w:val="TableText"/>
              <w:keepNext w:val="0"/>
            </w:pPr>
            <w:r>
              <w:t>Verbal explanation is requested by the interviewer, not a text field.</w:t>
            </w:r>
          </w:p>
        </w:tc>
        <w:tc>
          <w:tcPr>
            <w:tcW w:type="dxa" w:w="1080"/>
            <w:vAlign w:val="center"/>
          </w:tcPr>
          <w:p>
            <w:pPr>
              <w:pStyle w:val="TableText"/>
              <w:keepNext w:val="0"/>
              <w:jc w:val="center"/>
            </w:pPr>
            <w:r>
              <w:t>TC13.04</w:t>
            </w:r>
          </w:p>
        </w:tc>
      </w:tr>
      <w:tr>
        <w:trPr>
          <w:cantSplit/>
        </w:trPr>
        <w:tc>
          <w:tcPr>
            <w:tcW w:type="dxa" w:w="1008"/>
            <w:vAlign w:val="center"/>
          </w:tcPr>
          <w:p>
            <w:pPr>
              <w:pStyle w:val="TableText"/>
              <w:keepNext w:val="0"/>
              <w:jc w:val="center"/>
            </w:pPr>
            <w:r>
              <w:t>FR13.05</w:t>
            </w:r>
          </w:p>
        </w:tc>
        <w:tc>
          <w:tcPr>
            <w:tcW w:type="dxa" w:w="2923"/>
            <w:vAlign w:val="center"/>
          </w:tcPr>
          <w:p>
            <w:pPr>
              <w:pStyle w:val="TableText"/>
              <w:keepNext w:val="0"/>
            </w:pPr>
            <w:r>
              <w:t>The system shall obtain an LLM correctness score and independent evidence-support check.</w:t>
            </w:r>
          </w:p>
        </w:tc>
        <w:tc>
          <w:tcPr>
            <w:tcW w:type="dxa" w:w="2664"/>
            <w:vAlign w:val="center"/>
          </w:tcPr>
          <w:p>
            <w:pPr>
              <w:pStyle w:val="TableText"/>
              <w:keepNext w:val="0"/>
            </w:pPr>
            <w:r>
              <w:t>A defensible 0 to 100 result cites exact submitted text and line ranges.</w:t>
            </w:r>
          </w:p>
        </w:tc>
        <w:tc>
          <w:tcPr>
            <w:tcW w:type="dxa" w:w="1685"/>
            <w:vAlign w:val="center"/>
          </w:tcPr>
          <w:p>
            <w:pPr>
              <w:pStyle w:val="TableText"/>
              <w:keepNext w:val="0"/>
            </w:pPr>
            <w:r>
              <w:t>Code is not executed; no plagiarism or AI-use detection is claimed.</w:t>
            </w:r>
          </w:p>
        </w:tc>
        <w:tc>
          <w:tcPr>
            <w:tcW w:type="dxa" w:w="1080"/>
            <w:vAlign w:val="center"/>
          </w:tcPr>
          <w:p>
            <w:pPr>
              <w:pStyle w:val="TableText"/>
              <w:keepNext w:val="0"/>
              <w:jc w:val="center"/>
            </w:pPr>
            <w:r>
              <w:t>TC13.05</w:t>
            </w:r>
          </w:p>
        </w:tc>
      </w:tr>
      <w:tr>
        <w:trPr>
          <w:cantSplit/>
        </w:trPr>
        <w:tc>
          <w:tcPr>
            <w:tcW w:type="dxa" w:w="1008"/>
            <w:vAlign w:val="center"/>
          </w:tcPr>
          <w:p>
            <w:pPr>
              <w:pStyle w:val="TableText"/>
              <w:keepNext w:val="0"/>
              <w:jc w:val="center"/>
            </w:pPr>
            <w:r>
              <w:t>FR13.06</w:t>
            </w:r>
          </w:p>
        </w:tc>
        <w:tc>
          <w:tcPr>
            <w:tcW w:type="dxa" w:w="2923"/>
            <w:vAlign w:val="center"/>
          </w:tcPr>
          <w:p>
            <w:pPr>
              <w:pStyle w:val="TableText"/>
              <w:keepNext w:val="0"/>
            </w:pPr>
            <w:r>
              <w:t>The system shall count only the interviewer-approved verified AI score.</w:t>
            </w:r>
          </w:p>
        </w:tc>
        <w:tc>
          <w:tcPr>
            <w:tcW w:type="dxa" w:w="2664"/>
            <w:vAlign w:val="center"/>
          </w:tcPr>
          <w:p>
            <w:pPr>
              <w:pStyle w:val="TableText"/>
              <w:keepNext w:val="0"/>
            </w:pPr>
            <w:r>
              <w:t>Approval preserves the proposed numerical result; pending/failed review is not zero.</w:t>
            </w:r>
          </w:p>
        </w:tc>
        <w:tc>
          <w:tcPr>
            <w:tcW w:type="dxa" w:w="1685"/>
            <w:vAlign w:val="center"/>
          </w:tcPr>
          <w:p>
            <w:pPr>
              <w:pStyle w:val="TableText"/>
              <w:keepNext w:val="0"/>
            </w:pPr>
            <w:r>
              <w:t>The interviewer does not enter custom marks or automatically award 100.</w:t>
            </w:r>
          </w:p>
        </w:tc>
        <w:tc>
          <w:tcPr>
            <w:tcW w:type="dxa" w:w="1080"/>
            <w:vAlign w:val="center"/>
          </w:tcPr>
          <w:p>
            <w:pPr>
              <w:pStyle w:val="TableText"/>
              <w:keepNext w:val="0"/>
              <w:jc w:val="center"/>
            </w:pPr>
            <w:r>
              <w:t>TC13.06</w:t>
            </w:r>
          </w:p>
        </w:tc>
      </w:tr>
      <w:tr>
        <w:trPr>
          <w:cantSplit/>
        </w:trPr>
        <w:tc>
          <w:tcPr>
            <w:tcW w:type="dxa" w:w="1008"/>
            <w:vAlign w:val="center"/>
          </w:tcPr>
          <w:p>
            <w:pPr>
              <w:pStyle w:val="TableText"/>
              <w:keepNext w:val="0"/>
              <w:jc w:val="center"/>
            </w:pPr>
            <w:r>
              <w:t>FR13.07</w:t>
            </w:r>
          </w:p>
        </w:tc>
        <w:tc>
          <w:tcPr>
            <w:tcW w:type="dxa" w:w="2923"/>
            <w:vAlign w:val="center"/>
          </w:tcPr>
          <w:p>
            <w:pPr>
              <w:pStyle w:val="TableText"/>
              <w:keepNext w:val="0"/>
            </w:pPr>
            <w:r>
              <w:t>The system shall support focused engineering, HR, sales and other role tasks.</w:t>
            </w:r>
          </w:p>
        </w:tc>
        <w:tc>
          <w:tcPr>
            <w:tcW w:type="dxa" w:w="2664"/>
            <w:vAlign w:val="center"/>
          </w:tcPr>
          <w:p>
            <w:pPr>
              <w:pStyle w:val="TableText"/>
              <w:keepNext w:val="0"/>
            </w:pPr>
            <w:r>
              <w:t>A technical correction and a nontechnical scenario pass the same lifecycle checks.</w:t>
            </w:r>
          </w:p>
        </w:tc>
        <w:tc>
          <w:tcPr>
            <w:tcW w:type="dxa" w:w="1685"/>
            <w:vAlign w:val="center"/>
          </w:tcPr>
          <w:p>
            <w:pPr>
              <w:pStyle w:val="TableText"/>
              <w:keepNext w:val="0"/>
            </w:pPr>
            <w:r>
              <w:t>Missing materials or task ambiguity may prevent a defensible score.</w:t>
            </w:r>
          </w:p>
        </w:tc>
        <w:tc>
          <w:tcPr>
            <w:tcW w:type="dxa" w:w="1080"/>
            <w:vAlign w:val="center"/>
          </w:tcPr>
          <w:p>
            <w:pPr>
              <w:pStyle w:val="TableText"/>
              <w:keepNext w:val="0"/>
              <w:jc w:val="center"/>
            </w:pPr>
            <w:r>
              <w:t>TC13.07</w:t>
            </w:r>
          </w:p>
        </w:tc>
      </w:tr>
    </w:tbl>
    <w:p>
      <w:pPr>
        <w:pStyle w:val="TableGap"/>
        <w:keepNext w:val="0"/>
      </w:pPr>
    </w:p>
    <w:p>
      <w:bookmarkStart w:id="29" w:name="SRS_29"/>
      <w:pPr>
        <w:pStyle w:val="Heading3"/>
      </w:pPr>
      <w:r>
        <w:t>3.1.14 Optional photo verification and candidate profile</w:t>
      </w:r>
      <w:bookmarkEnd w:id="29"/>
    </w:p>
    <w:p>
      <w:pPr>
        <w:keepNext/>
      </w:pPr>
      <w:r>
        <w:t>Actors: Candidate, interviewer, local identity service. The expected application's uploaded photograph supports optional local one-to-one comparison.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FR14.01</w:t>
            </w:r>
          </w:p>
        </w:tc>
        <w:tc>
          <w:tcPr>
            <w:tcW w:type="dxa" w:w="2923"/>
            <w:vAlign w:val="center"/>
          </w:tcPr>
          <w:p>
            <w:pPr>
              <w:pStyle w:val="TableText"/>
              <w:keepNext w:val="0"/>
            </w:pPr>
            <w:r>
              <w:t>The system shall display the authorized application's uploaded photo in candidate information.</w:t>
            </w:r>
          </w:p>
        </w:tc>
        <w:tc>
          <w:tcPr>
            <w:tcW w:type="dxa" w:w="2664"/>
            <w:vAlign w:val="center"/>
          </w:tcPr>
          <w:p>
            <w:pPr>
              <w:pStyle w:val="TableText"/>
              <w:keepNext w:val="0"/>
            </w:pPr>
            <w:r>
              <w:t>A useful centered portrait loads privately or a fallback avatar appears.</w:t>
            </w:r>
          </w:p>
        </w:tc>
        <w:tc>
          <w:tcPr>
            <w:tcW w:type="dxa" w:w="1685"/>
            <w:vAlign w:val="center"/>
          </w:tcPr>
          <w:p>
            <w:pPr>
              <w:pStyle w:val="TableText"/>
              <w:keepNext w:val="0"/>
            </w:pPr>
            <w:r>
              <w:t>Missing photos must not block application intake or interviews.</w:t>
            </w:r>
          </w:p>
        </w:tc>
        <w:tc>
          <w:tcPr>
            <w:tcW w:type="dxa" w:w="1080"/>
            <w:vAlign w:val="center"/>
          </w:tcPr>
          <w:p>
            <w:pPr>
              <w:pStyle w:val="TableText"/>
              <w:keepNext w:val="0"/>
              <w:jc w:val="center"/>
            </w:pPr>
            <w:r>
              <w:t>TC14.01</w:t>
            </w:r>
          </w:p>
        </w:tc>
      </w:tr>
      <w:tr>
        <w:trPr>
          <w:cantSplit/>
        </w:trPr>
        <w:tc>
          <w:tcPr>
            <w:tcW w:type="dxa" w:w="1008"/>
            <w:vAlign w:val="center"/>
          </w:tcPr>
          <w:p>
            <w:pPr>
              <w:pStyle w:val="TableText"/>
              <w:keepNext w:val="0"/>
              <w:jc w:val="center"/>
            </w:pPr>
            <w:r>
              <w:t>FR14.02</w:t>
            </w:r>
          </w:p>
        </w:tc>
        <w:tc>
          <w:tcPr>
            <w:tcW w:type="dxa" w:w="2923"/>
            <w:vAlign w:val="center"/>
          </w:tcPr>
          <w:p>
            <w:pPr>
              <w:pStyle w:val="TableText"/>
              <w:keepNext w:val="0"/>
            </w:pPr>
            <w:r>
              <w:t>The system shall require in-app candidate consent before face-template processing and comparison.</w:t>
            </w:r>
          </w:p>
        </w:tc>
        <w:tc>
          <w:tcPr>
            <w:tcW w:type="dxa" w:w="2664"/>
            <w:vAlign w:val="center"/>
          </w:tcPr>
          <w:p>
            <w:pPr>
              <w:pStyle w:val="TableText"/>
              <w:keepNext w:val="0"/>
            </w:pPr>
            <w:r>
              <w:t>Unchecked consent does not block joining; withdrawal removes authorized derived face data.</w:t>
            </w:r>
          </w:p>
        </w:tc>
        <w:tc>
          <w:tcPr>
            <w:tcW w:type="dxa" w:w="1685"/>
            <w:vAlign w:val="center"/>
          </w:tcPr>
          <w:p>
            <w:pPr>
              <w:pStyle w:val="TableText"/>
              <w:keepNext w:val="0"/>
            </w:pPr>
            <w:r>
              <w:t>Google Form photo upload is not biometric consent.</w:t>
            </w:r>
          </w:p>
        </w:tc>
        <w:tc>
          <w:tcPr>
            <w:tcW w:type="dxa" w:w="1080"/>
            <w:vAlign w:val="center"/>
          </w:tcPr>
          <w:p>
            <w:pPr>
              <w:pStyle w:val="TableText"/>
              <w:keepNext w:val="0"/>
              <w:jc w:val="center"/>
            </w:pPr>
            <w:r>
              <w:t>TC14.02</w:t>
            </w:r>
          </w:p>
        </w:tc>
      </w:tr>
      <w:tr>
        <w:trPr>
          <w:cantSplit/>
        </w:trPr>
        <w:tc>
          <w:tcPr>
            <w:tcW w:type="dxa" w:w="1008"/>
            <w:vAlign w:val="center"/>
          </w:tcPr>
          <w:p>
            <w:pPr>
              <w:pStyle w:val="TableText"/>
              <w:keepNext w:val="0"/>
              <w:jc w:val="center"/>
            </w:pPr>
            <w:r>
              <w:t>FR14.03</w:t>
            </w:r>
          </w:p>
        </w:tc>
        <w:tc>
          <w:tcPr>
            <w:tcW w:type="dxa" w:w="2923"/>
            <w:vAlign w:val="center"/>
          </w:tcPr>
          <w:p>
            <w:pPr>
              <w:pStyle w:val="TableText"/>
              <w:keepNext w:val="0"/>
            </w:pPr>
            <w:r>
              <w:t>The system shall let only the interviewer request a short, versioned face capture.</w:t>
            </w:r>
          </w:p>
        </w:tc>
        <w:tc>
          <w:tcPr>
            <w:tcW w:type="dxa" w:w="2664"/>
            <w:vAlign w:val="center"/>
          </w:tcPr>
          <w:p>
            <w:pPr>
              <w:pStyle w:val="TableText"/>
              <w:keepNext w:val="0"/>
            </w:pPr>
            <w:r>
              <w:t>Capture uses three temporary samples from the existing camera and expires after 45 seconds.</w:t>
            </w:r>
          </w:p>
        </w:tc>
        <w:tc>
          <w:tcPr>
            <w:tcW w:type="dxa" w:w="1685"/>
            <w:vAlign w:val="center"/>
          </w:tcPr>
          <w:p>
            <w:pPr>
              <w:pStyle w:val="TableText"/>
              <w:keepNext w:val="0"/>
            </w:pPr>
            <w:r>
              <w:t>Consent, active session, camera availability and reference version are checked.</w:t>
            </w:r>
          </w:p>
        </w:tc>
        <w:tc>
          <w:tcPr>
            <w:tcW w:type="dxa" w:w="1080"/>
            <w:vAlign w:val="center"/>
          </w:tcPr>
          <w:p>
            <w:pPr>
              <w:pStyle w:val="TableText"/>
              <w:keepNext w:val="0"/>
              <w:jc w:val="center"/>
            </w:pPr>
            <w:r>
              <w:t>TC14.03</w:t>
            </w:r>
          </w:p>
        </w:tc>
      </w:tr>
      <w:tr>
        <w:trPr>
          <w:cantSplit/>
        </w:trPr>
        <w:tc>
          <w:tcPr>
            <w:tcW w:type="dxa" w:w="1008"/>
            <w:vAlign w:val="center"/>
          </w:tcPr>
          <w:p>
            <w:pPr>
              <w:pStyle w:val="TableText"/>
              <w:keepNext w:val="0"/>
              <w:jc w:val="center"/>
            </w:pPr>
            <w:r>
              <w:t>FR14.04</w:t>
            </w:r>
          </w:p>
        </w:tc>
        <w:tc>
          <w:tcPr>
            <w:tcW w:type="dxa" w:w="2923"/>
            <w:vAlign w:val="center"/>
          </w:tcPr>
          <w:p>
            <w:pPr>
              <w:pStyle w:val="TableText"/>
              <w:keepNext w:val="0"/>
            </w:pPr>
            <w:r>
              <w:t>The system shall compare locally and expose outcomes only to the interviewer.</w:t>
            </w:r>
          </w:p>
        </w:tc>
        <w:tc>
          <w:tcPr>
            <w:tcW w:type="dxa" w:w="2664"/>
            <w:vAlign w:val="center"/>
          </w:tcPr>
          <w:p>
            <w:pPr>
              <w:pStyle w:val="TableText"/>
              <w:keepNext w:val="0"/>
            </w:pPr>
            <w:r>
              <w:t>Matched, unverified, missing, declined and manual states are distinguishable.</w:t>
            </w:r>
          </w:p>
        </w:tc>
        <w:tc>
          <w:tcPr>
            <w:tcW w:type="dxa" w:w="1685"/>
            <w:vAlign w:val="center"/>
          </w:tcPr>
          <w:p>
            <w:pPr>
              <w:pStyle w:val="TableText"/>
              <w:keepNext w:val="0"/>
            </w:pPr>
            <w:r>
              <w:t>No legal-ID, liveness, cheating or continuous-monitoring claim.</w:t>
            </w:r>
          </w:p>
        </w:tc>
        <w:tc>
          <w:tcPr>
            <w:tcW w:type="dxa" w:w="1080"/>
            <w:vAlign w:val="center"/>
          </w:tcPr>
          <w:p>
            <w:pPr>
              <w:pStyle w:val="TableText"/>
              <w:keepNext w:val="0"/>
              <w:jc w:val="center"/>
            </w:pPr>
            <w:r>
              <w:t>TC14.04</w:t>
            </w:r>
          </w:p>
        </w:tc>
      </w:tr>
      <w:tr>
        <w:trPr>
          <w:cantSplit/>
        </w:trPr>
        <w:tc>
          <w:tcPr>
            <w:tcW w:type="dxa" w:w="1008"/>
            <w:vAlign w:val="center"/>
          </w:tcPr>
          <w:p>
            <w:pPr>
              <w:pStyle w:val="TableText"/>
              <w:keepNext w:val="0"/>
              <w:jc w:val="center"/>
            </w:pPr>
            <w:r>
              <w:t>FR14.05</w:t>
            </w:r>
          </w:p>
        </w:tc>
        <w:tc>
          <w:tcPr>
            <w:tcW w:type="dxa" w:w="2923"/>
            <w:vAlign w:val="center"/>
          </w:tcPr>
          <w:p>
            <w:pPr>
              <w:pStyle w:val="TableText"/>
              <w:keepNext w:val="0"/>
            </w:pPr>
            <w:r>
              <w:t>The system shall encrypt references/templates and expire them under the configured policy.</w:t>
            </w:r>
          </w:p>
        </w:tc>
        <w:tc>
          <w:tcPr>
            <w:tcW w:type="dxa" w:w="2664"/>
            <w:vAlign w:val="center"/>
          </w:tcPr>
          <w:p>
            <w:pPr>
              <w:pStyle w:val="TableText"/>
              <w:keepNext w:val="0"/>
            </w:pPr>
            <w:r>
              <w:t>Ciphertext is stored privately; the earlier of 30 days or 7 days after interview governs defaults.</w:t>
            </w:r>
          </w:p>
        </w:tc>
        <w:tc>
          <w:tcPr>
            <w:tcW w:type="dxa" w:w="1685"/>
            <w:vAlign w:val="center"/>
          </w:tcPr>
          <w:p>
            <w:pPr>
              <w:pStyle w:val="TableText"/>
              <w:keepNext w:val="0"/>
            </w:pPr>
            <w:r>
              <w:t>Matching never affects scores or admission; original Drive upload follows its owner's policy.</w:t>
            </w:r>
          </w:p>
        </w:tc>
        <w:tc>
          <w:tcPr>
            <w:tcW w:type="dxa" w:w="1080"/>
            <w:vAlign w:val="center"/>
          </w:tcPr>
          <w:p>
            <w:pPr>
              <w:pStyle w:val="TableText"/>
              <w:keepNext w:val="0"/>
              <w:jc w:val="center"/>
            </w:pPr>
            <w:r>
              <w:t>TC14.05</w:t>
            </w:r>
          </w:p>
        </w:tc>
      </w:tr>
    </w:tbl>
    <w:p>
      <w:pPr>
        <w:pStyle w:val="TableGap"/>
        <w:keepNext w:val="0"/>
      </w:pPr>
    </w:p>
    <w:p>
      <w:bookmarkStart w:id="30" w:name="SRS_30"/>
      <w:pPr>
        <w:pStyle w:val="Heading3"/>
      </w:pPr>
      <w:r>
        <w:t>3.1.15 Final score consolidation and ranking</w:t>
      </w:r>
      <w:bookmarkEnd w:id="30"/>
    </w:p>
    <w:p>
      <w:pPr>
        <w:keepNext/>
      </w:pPr>
      <w:r>
        <w:t>Actors: Interviewer, final ranking service. Final ranking combines compatible saved assessments without launching new grading.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FR15.01</w:t>
            </w:r>
          </w:p>
        </w:tc>
        <w:tc>
          <w:tcPr>
            <w:tcW w:type="dxa" w:w="2923"/>
            <w:vAlign w:val="center"/>
          </w:tcPr>
          <w:p>
            <w:pPr>
              <w:pStyle w:val="TableText"/>
              <w:keepNext w:val="0"/>
            </w:pPr>
            <w:r>
              <w:t>The system shall combine interview 60%, CV 30% and approved practical 10%.</w:t>
            </w:r>
          </w:p>
        </w:tc>
        <w:tc>
          <w:tcPr>
            <w:tcW w:type="dxa" w:w="2664"/>
            <w:vAlign w:val="center"/>
          </w:tcPr>
          <w:p>
            <w:pPr>
              <w:pStyle w:val="TableText"/>
              <w:keepNext w:val="0"/>
            </w:pPr>
            <w:r>
              <w:t>Interview 80, CV 70 and practical 90 produce 78.00%.</w:t>
            </w:r>
          </w:p>
        </w:tc>
        <w:tc>
          <w:tcPr>
            <w:tcW w:type="dxa" w:w="1685"/>
            <w:vAlign w:val="center"/>
          </w:tcPr>
          <w:p>
            <w:pPr>
              <w:pStyle w:val="TableText"/>
              <w:keepNext w:val="0"/>
            </w:pPr>
            <w:r>
              <w:t>All component values are percentages under compatible saved policies.</w:t>
            </w:r>
          </w:p>
        </w:tc>
        <w:tc>
          <w:tcPr>
            <w:tcW w:type="dxa" w:w="1080"/>
            <w:vAlign w:val="center"/>
          </w:tcPr>
          <w:p>
            <w:pPr>
              <w:pStyle w:val="TableText"/>
              <w:keepNext w:val="0"/>
              <w:jc w:val="center"/>
            </w:pPr>
            <w:r>
              <w:t>TC15.01</w:t>
            </w:r>
          </w:p>
        </w:tc>
      </w:tr>
      <w:tr>
        <w:trPr>
          <w:cantSplit/>
        </w:trPr>
        <w:tc>
          <w:tcPr>
            <w:tcW w:type="dxa" w:w="1008"/>
            <w:vAlign w:val="center"/>
          </w:tcPr>
          <w:p>
            <w:pPr>
              <w:pStyle w:val="TableText"/>
              <w:keepNext w:val="0"/>
              <w:jc w:val="center"/>
            </w:pPr>
            <w:r>
              <w:t>FR15.02</w:t>
            </w:r>
          </w:p>
        </w:tc>
        <w:tc>
          <w:tcPr>
            <w:tcW w:type="dxa" w:w="2923"/>
            <w:vAlign w:val="center"/>
          </w:tcPr>
          <w:p>
            <w:pPr>
              <w:pStyle w:val="TableText"/>
              <w:keepNext w:val="0"/>
            </w:pPr>
            <w:r>
              <w:t>The system shall read current saved component scores when Calculate final ranking is selected.</w:t>
            </w:r>
          </w:p>
        </w:tc>
        <w:tc>
          <w:tcPr>
            <w:tcW w:type="dxa" w:w="2664"/>
            <w:vAlign w:val="center"/>
          </w:tcPr>
          <w:p>
            <w:pPr>
              <w:pStyle w:val="TableText"/>
              <w:keepNext w:val="0"/>
            </w:pPr>
            <w:r>
              <w:t>The calculation makes no fresh interview/practical grading request.</w:t>
            </w:r>
          </w:p>
        </w:tc>
        <w:tc>
          <w:tcPr>
            <w:tcW w:type="dxa" w:w="1685"/>
            <w:vAlign w:val="center"/>
          </w:tcPr>
          <w:p>
            <w:pPr>
              <w:pStyle w:val="TableText"/>
              <w:keepNext w:val="0"/>
            </w:pPr>
            <w:r>
              <w:t>Missing or stale components direct the interviewer to the required action.</w:t>
            </w:r>
          </w:p>
        </w:tc>
        <w:tc>
          <w:tcPr>
            <w:tcW w:type="dxa" w:w="1080"/>
            <w:vAlign w:val="center"/>
          </w:tcPr>
          <w:p>
            <w:pPr>
              <w:pStyle w:val="TableText"/>
              <w:keepNext w:val="0"/>
              <w:jc w:val="center"/>
            </w:pPr>
            <w:r>
              <w:t>TC15.02</w:t>
            </w:r>
          </w:p>
        </w:tc>
      </w:tr>
      <w:tr>
        <w:trPr>
          <w:cantSplit/>
        </w:trPr>
        <w:tc>
          <w:tcPr>
            <w:tcW w:type="dxa" w:w="1008"/>
            <w:vAlign w:val="center"/>
          </w:tcPr>
          <w:p>
            <w:pPr>
              <w:pStyle w:val="TableText"/>
              <w:keepNext w:val="0"/>
              <w:jc w:val="center"/>
            </w:pPr>
            <w:r>
              <w:t>FR15.03</w:t>
            </w:r>
          </w:p>
        </w:tc>
        <w:tc>
          <w:tcPr>
            <w:tcW w:type="dxa" w:w="2923"/>
            <w:vAlign w:val="center"/>
          </w:tcPr>
          <w:p>
            <w:pPr>
              <w:pStyle w:val="TableText"/>
              <w:keepNext w:val="0"/>
            </w:pPr>
            <w:r>
              <w:t>The system shall withhold a final rank when required components are incomplete.</w:t>
            </w:r>
          </w:p>
        </w:tc>
        <w:tc>
          <w:tcPr>
            <w:tcW w:type="dxa" w:w="2664"/>
            <w:vAlign w:val="center"/>
          </w:tcPr>
          <w:p>
            <w:pPr>
              <w:pStyle w:val="TableText"/>
              <w:keepNext w:val="0"/>
            </w:pPr>
            <w:r>
              <w:t>Pending/unverified practical review, failed analysis and stale evidence do not become zeros.</w:t>
            </w:r>
          </w:p>
        </w:tc>
        <w:tc>
          <w:tcPr>
            <w:tcW w:type="dxa" w:w="1685"/>
            <w:vAlign w:val="center"/>
          </w:tcPr>
          <w:p>
            <w:pPr>
              <w:pStyle w:val="TableText"/>
              <w:keepNext w:val="0"/>
            </w:pPr>
            <w:r>
              <w:t>Final weights are not silently redistributed.</w:t>
            </w:r>
          </w:p>
        </w:tc>
        <w:tc>
          <w:tcPr>
            <w:tcW w:type="dxa" w:w="1080"/>
            <w:vAlign w:val="center"/>
          </w:tcPr>
          <w:p>
            <w:pPr>
              <w:pStyle w:val="TableText"/>
              <w:keepNext w:val="0"/>
              <w:jc w:val="center"/>
            </w:pPr>
            <w:r>
              <w:t>TC15.03</w:t>
            </w:r>
          </w:p>
        </w:tc>
      </w:tr>
      <w:tr>
        <w:trPr>
          <w:cantSplit/>
        </w:trPr>
        <w:tc>
          <w:tcPr>
            <w:tcW w:type="dxa" w:w="1008"/>
            <w:vAlign w:val="center"/>
          </w:tcPr>
          <w:p>
            <w:pPr>
              <w:pStyle w:val="TableText"/>
              <w:keepNext w:val="0"/>
              <w:jc w:val="center"/>
            </w:pPr>
            <w:r>
              <w:t>FR15.04</w:t>
            </w:r>
          </w:p>
        </w:tc>
        <w:tc>
          <w:tcPr>
            <w:tcW w:type="dxa" w:w="2923"/>
            <w:vAlign w:val="center"/>
          </w:tcPr>
          <w:p>
            <w:pPr>
              <w:pStyle w:val="TableText"/>
              <w:keepNext w:val="0"/>
            </w:pPr>
            <w:r>
              <w:t>The system shall preserve exact totals, ties and saved ranking identity.</w:t>
            </w:r>
          </w:p>
        </w:tc>
        <w:tc>
          <w:tcPr>
            <w:tcW w:type="dxa" w:w="2664"/>
            <w:vAlign w:val="center"/>
          </w:tcPr>
          <w:p>
            <w:pPr>
              <w:pStyle w:val="TableText"/>
              <w:keepNext w:val="0"/>
            </w:pPr>
            <w:r>
              <w:t>Equal totals share ranks; search and paging retain authoritative ordering.</w:t>
            </w:r>
          </w:p>
        </w:tc>
        <w:tc>
          <w:tcPr>
            <w:tcW w:type="dxa" w:w="1685"/>
            <w:vAlign w:val="center"/>
          </w:tcPr>
          <w:p>
            <w:pPr>
              <w:pStyle w:val="TableText"/>
              <w:keepNext w:val="0"/>
            </w:pPr>
            <w:r>
              <w:t>Displayed two-decimal percentages do not decide ties.</w:t>
            </w:r>
          </w:p>
        </w:tc>
        <w:tc>
          <w:tcPr>
            <w:tcW w:type="dxa" w:w="1080"/>
            <w:vAlign w:val="center"/>
          </w:tcPr>
          <w:p>
            <w:pPr>
              <w:pStyle w:val="TableText"/>
              <w:keepNext w:val="0"/>
              <w:jc w:val="center"/>
            </w:pPr>
            <w:r>
              <w:t>TC15.04</w:t>
            </w:r>
          </w:p>
        </w:tc>
      </w:tr>
      <w:tr>
        <w:trPr>
          <w:cantSplit/>
        </w:trPr>
        <w:tc>
          <w:tcPr>
            <w:tcW w:type="dxa" w:w="1008"/>
            <w:vAlign w:val="center"/>
          </w:tcPr>
          <w:p>
            <w:pPr>
              <w:pStyle w:val="TableText"/>
              <w:keepNext w:val="0"/>
              <w:jc w:val="center"/>
            </w:pPr>
            <w:r>
              <w:t>FR15.05</w:t>
            </w:r>
          </w:p>
        </w:tc>
        <w:tc>
          <w:tcPr>
            <w:tcW w:type="dxa" w:w="2923"/>
            <w:vAlign w:val="center"/>
          </w:tcPr>
          <w:p>
            <w:pPr>
              <w:pStyle w:val="TableText"/>
              <w:keepNext w:val="0"/>
            </w:pPr>
            <w:r>
              <w:t>The system shall preserve historical policies and identify outdated reports.</w:t>
            </w:r>
          </w:p>
        </w:tc>
        <w:tc>
          <w:tcPr>
            <w:tcW w:type="dxa" w:w="2664"/>
            <w:vAlign w:val="center"/>
          </w:tcPr>
          <w:p>
            <w:pPr>
              <w:pStyle w:val="TableText"/>
              <w:keepNext w:val="0"/>
            </w:pPr>
            <w:r>
              <w:t>Old totals remain traceable and incompatible policy versions are not combined silently.</w:t>
            </w:r>
          </w:p>
        </w:tc>
        <w:tc>
          <w:tcPr>
            <w:tcW w:type="dxa" w:w="1685"/>
            <w:vAlign w:val="center"/>
          </w:tcPr>
          <w:p>
            <w:pPr>
              <w:pStyle w:val="TableText"/>
              <w:keepNext w:val="0"/>
            </w:pPr>
            <w:r>
              <w:t>No autonomous hiring or rejection decision.</w:t>
            </w:r>
          </w:p>
        </w:tc>
        <w:tc>
          <w:tcPr>
            <w:tcW w:type="dxa" w:w="1080"/>
            <w:vAlign w:val="center"/>
          </w:tcPr>
          <w:p>
            <w:pPr>
              <w:pStyle w:val="TableText"/>
              <w:keepNext w:val="0"/>
              <w:jc w:val="center"/>
            </w:pPr>
            <w:r>
              <w:t>TC15.05</w:t>
            </w:r>
          </w:p>
        </w:tc>
      </w:tr>
    </w:tbl>
    <w:p>
      <w:pPr>
        <w:pStyle w:val="TableGap"/>
        <w:keepNext w:val="0"/>
      </w:pPr>
    </w:p>
    <w:p>
      <w:bookmarkStart w:id="31" w:name="SRS_31"/>
      <w:pPr>
        <w:pStyle w:val="Heading3"/>
      </w:pPr>
      <w:r>
        <w:t>3.1.16 Candidate reports evidence and exports</w:t>
      </w:r>
      <w:bookmarkEnd w:id="31"/>
    </w:p>
    <w:p>
      <w:pPr>
        <w:keepNext/>
      </w:pPr>
      <w:r>
        <w:t>Actors: Interviewer, report services. Private reports summarize saved evidence and assessment components for review.</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FR16.01</w:t>
            </w:r>
          </w:p>
        </w:tc>
        <w:tc>
          <w:tcPr>
            <w:tcW w:type="dxa" w:w="2923"/>
            <w:vAlign w:val="center"/>
          </w:tcPr>
          <w:p>
            <w:pPr>
              <w:pStyle w:val="TableText"/>
              <w:keepNext w:val="0"/>
            </w:pPr>
            <w:r>
              <w:t>The system shall provide concise performance details with optional traceable source inspection.</w:t>
            </w:r>
          </w:p>
        </w:tc>
        <w:tc>
          <w:tcPr>
            <w:tcW w:type="dxa" w:w="2664"/>
            <w:vAlign w:val="center"/>
          </w:tcPr>
          <w:p>
            <w:pPr>
              <w:pStyle w:val="TableText"/>
              <w:keepNext w:val="0"/>
            </w:pPr>
            <w:r>
              <w:t>Strengths, weaknesses, evidence gaps and verification needs link to supporting saved evidence.</w:t>
            </w:r>
          </w:p>
        </w:tc>
        <w:tc>
          <w:tcPr>
            <w:tcW w:type="dxa" w:w="1685"/>
            <w:vAlign w:val="center"/>
          </w:tcPr>
          <w:p>
            <w:pPr>
              <w:pStyle w:val="TableText"/>
              <w:keepNext w:val="0"/>
            </w:pPr>
            <w:r>
              <w:t>Summary presentation must not create a new score or unsupported claim.</w:t>
            </w:r>
          </w:p>
        </w:tc>
        <w:tc>
          <w:tcPr>
            <w:tcW w:type="dxa" w:w="1080"/>
            <w:vAlign w:val="center"/>
          </w:tcPr>
          <w:p>
            <w:pPr>
              <w:pStyle w:val="TableText"/>
              <w:keepNext w:val="0"/>
              <w:jc w:val="center"/>
            </w:pPr>
            <w:r>
              <w:t>TC16.01</w:t>
            </w:r>
          </w:p>
        </w:tc>
      </w:tr>
      <w:tr>
        <w:trPr>
          <w:cantSplit/>
        </w:trPr>
        <w:tc>
          <w:tcPr>
            <w:tcW w:type="dxa" w:w="1008"/>
            <w:vAlign w:val="center"/>
          </w:tcPr>
          <w:p>
            <w:pPr>
              <w:pStyle w:val="TableText"/>
              <w:keepNext w:val="0"/>
              <w:jc w:val="center"/>
            </w:pPr>
            <w:r>
              <w:t>FR16.02</w:t>
            </w:r>
          </w:p>
        </w:tc>
        <w:tc>
          <w:tcPr>
            <w:tcW w:type="dxa" w:w="2923"/>
            <w:vAlign w:val="center"/>
          </w:tcPr>
          <w:p>
            <w:pPr>
              <w:pStyle w:val="TableText"/>
              <w:keepNext w:val="0"/>
            </w:pPr>
            <w:r>
              <w:t>The system shall generate private HTML/PDF candidate reports and ranking exports.</w:t>
            </w:r>
          </w:p>
        </w:tc>
        <w:tc>
          <w:tcPr>
            <w:tcW w:type="dxa" w:w="2664"/>
            <w:vAlign w:val="center"/>
          </w:tcPr>
          <w:p>
            <w:pPr>
              <w:pStyle w:val="TableText"/>
              <w:keepNext w:val="0"/>
            </w:pPr>
            <w:r>
              <w:t>Authorized downloads preserve component scores, policy versions and evidence references.</w:t>
            </w:r>
          </w:p>
        </w:tc>
        <w:tc>
          <w:tcPr>
            <w:tcW w:type="dxa" w:w="1685"/>
            <w:vAlign w:val="center"/>
          </w:tcPr>
          <w:p>
            <w:pPr>
              <w:pStyle w:val="TableText"/>
              <w:keepNext w:val="0"/>
            </w:pPr>
            <w:r>
              <w:t>Candidates and other owners cannot download the artifact.</w:t>
            </w:r>
          </w:p>
        </w:tc>
        <w:tc>
          <w:tcPr>
            <w:tcW w:type="dxa" w:w="1080"/>
            <w:vAlign w:val="center"/>
          </w:tcPr>
          <w:p>
            <w:pPr>
              <w:pStyle w:val="TableText"/>
              <w:keepNext w:val="0"/>
              <w:jc w:val="center"/>
            </w:pPr>
            <w:r>
              <w:t>TC16.02</w:t>
            </w:r>
          </w:p>
        </w:tc>
      </w:tr>
      <w:tr>
        <w:trPr>
          <w:cantSplit/>
        </w:trPr>
        <w:tc>
          <w:tcPr>
            <w:tcW w:type="dxa" w:w="1008"/>
            <w:vAlign w:val="center"/>
          </w:tcPr>
          <w:p>
            <w:pPr>
              <w:pStyle w:val="TableText"/>
              <w:keepNext w:val="0"/>
              <w:jc w:val="center"/>
            </w:pPr>
            <w:r>
              <w:t>FR16.03</w:t>
            </w:r>
          </w:p>
        </w:tc>
        <w:tc>
          <w:tcPr>
            <w:tcW w:type="dxa" w:w="2923"/>
            <w:vAlign w:val="center"/>
          </w:tcPr>
          <w:p>
            <w:pPr>
              <w:pStyle w:val="TableText"/>
              <w:keepNext w:val="0"/>
            </w:pPr>
            <w:r>
              <w:t>The system shall render reports with scripts and external resource fetching disabled.</w:t>
            </w:r>
          </w:p>
        </w:tc>
        <w:tc>
          <w:tcPr>
            <w:tcW w:type="dxa" w:w="2664"/>
            <w:vAlign w:val="center"/>
          </w:tcPr>
          <w:p>
            <w:pPr>
              <w:pStyle w:val="TableText"/>
              <w:keepNext w:val="0"/>
            </w:pPr>
            <w:r>
              <w:t>A malicious stored passage cannot execute scripts or fetch arbitrary network resources.</w:t>
            </w:r>
          </w:p>
        </w:tc>
        <w:tc>
          <w:tcPr>
            <w:tcW w:type="dxa" w:w="1685"/>
            <w:vAlign w:val="center"/>
          </w:tcPr>
          <w:p>
            <w:pPr>
              <w:pStyle w:val="TableText"/>
              <w:keepNext w:val="0"/>
            </w:pPr>
            <w:r>
              <w:t>Export processing is isolated from normal request handling.</w:t>
            </w:r>
          </w:p>
        </w:tc>
        <w:tc>
          <w:tcPr>
            <w:tcW w:type="dxa" w:w="1080"/>
            <w:vAlign w:val="center"/>
          </w:tcPr>
          <w:p>
            <w:pPr>
              <w:pStyle w:val="TableText"/>
              <w:keepNext w:val="0"/>
              <w:jc w:val="center"/>
            </w:pPr>
            <w:r>
              <w:t>TC16.03</w:t>
            </w:r>
          </w:p>
        </w:tc>
      </w:tr>
      <w:tr>
        <w:trPr>
          <w:cantSplit/>
        </w:trPr>
        <w:tc>
          <w:tcPr>
            <w:tcW w:type="dxa" w:w="1008"/>
            <w:vAlign w:val="center"/>
          </w:tcPr>
          <w:p>
            <w:pPr>
              <w:pStyle w:val="TableText"/>
              <w:keepNext w:val="0"/>
              <w:jc w:val="center"/>
            </w:pPr>
            <w:r>
              <w:t>FR16.04</w:t>
            </w:r>
          </w:p>
        </w:tc>
        <w:tc>
          <w:tcPr>
            <w:tcW w:type="dxa" w:w="2923"/>
            <w:vAlign w:val="center"/>
          </w:tcPr>
          <w:p>
            <w:pPr>
              <w:pStyle w:val="TableText"/>
              <w:keepNext w:val="0"/>
            </w:pPr>
            <w:r>
              <w:t>The system shall invalidate or mark reports stale when underlying evidence changes or expires.</w:t>
            </w:r>
          </w:p>
        </w:tc>
        <w:tc>
          <w:tcPr>
            <w:tcW w:type="dxa" w:w="2664"/>
            <w:vAlign w:val="center"/>
          </w:tcPr>
          <w:p>
            <w:pPr>
              <w:pStyle w:val="TableText"/>
              <w:keepNext w:val="0"/>
            </w:pPr>
            <w:r>
              <w:t>Source versions, expiry and export status are visible and regeneration is explicit.</w:t>
            </w:r>
          </w:p>
        </w:tc>
        <w:tc>
          <w:tcPr>
            <w:tcW w:type="dxa" w:w="1685"/>
            <w:vAlign w:val="center"/>
          </w:tcPr>
          <w:p>
            <w:pPr>
              <w:pStyle w:val="TableText"/>
              <w:keepNext w:val="0"/>
            </w:pPr>
            <w:r>
              <w:t>Opening, filtering and downloading do not trigger answer regrading.</w:t>
            </w:r>
          </w:p>
        </w:tc>
        <w:tc>
          <w:tcPr>
            <w:tcW w:type="dxa" w:w="1080"/>
            <w:vAlign w:val="center"/>
          </w:tcPr>
          <w:p>
            <w:pPr>
              <w:pStyle w:val="TableText"/>
              <w:keepNext w:val="0"/>
              <w:jc w:val="center"/>
            </w:pPr>
            <w:r>
              <w:t>TC16.04</w:t>
            </w:r>
          </w:p>
        </w:tc>
      </w:tr>
    </w:tbl>
    <w:p>
      <w:pPr>
        <w:pStyle w:val="TableGap"/>
        <w:keepNext w:val="0"/>
      </w:pPr>
    </w:p>
    <w:p>
      <w:bookmarkStart w:id="32" w:name="SRS_32"/>
      <w:pPr>
        <w:pStyle w:val="Heading3"/>
      </w:pPr>
      <w:r>
        <w:t>3.1.17 Dashboard notifications and workflow navigation</w:t>
      </w:r>
      <w:bookmarkEnd w:id="32"/>
    </w:p>
    <w:p>
      <w:pPr>
        <w:keepNext/>
      </w:pPr>
      <w:r>
        <w:t>Actors: Interviewer. The workspace exposes actionable recruitment progress without making consequential decisions automatically.</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FR17.01</w:t>
            </w:r>
          </w:p>
        </w:tc>
        <w:tc>
          <w:tcPr>
            <w:tcW w:type="dxa" w:w="2923"/>
            <w:vAlign w:val="center"/>
          </w:tcPr>
          <w:p>
            <w:pPr>
              <w:pStyle w:val="TableText"/>
              <w:keepNext w:val="0"/>
            </w:pPr>
            <w:r>
              <w:t>The system shall summarize authorized jobs, application activity and upcoming interviews.</w:t>
            </w:r>
          </w:p>
        </w:tc>
        <w:tc>
          <w:tcPr>
            <w:tcW w:type="dxa" w:w="2664"/>
            <w:vAlign w:val="center"/>
          </w:tcPr>
          <w:p>
            <w:pPr>
              <w:pStyle w:val="TableText"/>
              <w:keepNext w:val="0"/>
            </w:pPr>
            <w:r>
              <w:t>Dashboard cards and counts agree with saved resources and active filters.</w:t>
            </w:r>
          </w:p>
        </w:tc>
        <w:tc>
          <w:tcPr>
            <w:tcW w:type="dxa" w:w="1685"/>
            <w:vAlign w:val="center"/>
          </w:tcPr>
          <w:p>
            <w:pPr>
              <w:pStyle w:val="TableText"/>
              <w:keepNext w:val="0"/>
            </w:pPr>
            <w:r>
              <w:t>Partial provider unavailability has an explicit state.</w:t>
            </w:r>
          </w:p>
        </w:tc>
        <w:tc>
          <w:tcPr>
            <w:tcW w:type="dxa" w:w="1080"/>
            <w:vAlign w:val="center"/>
          </w:tcPr>
          <w:p>
            <w:pPr>
              <w:pStyle w:val="TableText"/>
              <w:keepNext w:val="0"/>
              <w:jc w:val="center"/>
            </w:pPr>
            <w:r>
              <w:t>TC17.01</w:t>
            </w:r>
          </w:p>
        </w:tc>
      </w:tr>
      <w:tr>
        <w:trPr>
          <w:cantSplit/>
        </w:trPr>
        <w:tc>
          <w:tcPr>
            <w:tcW w:type="dxa" w:w="1008"/>
            <w:vAlign w:val="center"/>
          </w:tcPr>
          <w:p>
            <w:pPr>
              <w:pStyle w:val="TableText"/>
              <w:keepNext w:val="0"/>
              <w:jc w:val="center"/>
            </w:pPr>
            <w:r>
              <w:t>FR17.02</w:t>
            </w:r>
          </w:p>
        </w:tc>
        <w:tc>
          <w:tcPr>
            <w:tcW w:type="dxa" w:w="2923"/>
            <w:vAlign w:val="center"/>
          </w:tcPr>
          <w:p>
            <w:pPr>
              <w:pStyle w:val="TableText"/>
              <w:keepNext w:val="0"/>
            </w:pPr>
            <w:r>
              <w:t>The system shall reveal the section produced by an explicit user action.</w:t>
            </w:r>
          </w:p>
        </w:tc>
        <w:tc>
          <w:tcPr>
            <w:tcW w:type="dxa" w:w="2664"/>
            <w:vAlign w:val="center"/>
          </w:tcPr>
          <w:p>
            <w:pPr>
              <w:pStyle w:val="TableText"/>
              <w:keepNext w:val="0"/>
            </w:pPr>
            <w:r>
              <w:t>Drafting, scheduling previews, selected practical tasks and requested results become visible.</w:t>
            </w:r>
          </w:p>
        </w:tc>
        <w:tc>
          <w:tcPr>
            <w:tcW w:type="dxa" w:w="1685"/>
            <w:vAlign w:val="center"/>
          </w:tcPr>
          <w:p>
            <w:pPr>
              <w:pStyle w:val="TableText"/>
              <w:keepNext w:val="0"/>
            </w:pPr>
            <w:r>
              <w:t>Background polling must not repeatedly steal focus.</w:t>
            </w:r>
          </w:p>
        </w:tc>
        <w:tc>
          <w:tcPr>
            <w:tcW w:type="dxa" w:w="1080"/>
            <w:vAlign w:val="center"/>
          </w:tcPr>
          <w:p>
            <w:pPr>
              <w:pStyle w:val="TableText"/>
              <w:keepNext w:val="0"/>
              <w:jc w:val="center"/>
            </w:pPr>
            <w:r>
              <w:t>TC17.02</w:t>
            </w:r>
          </w:p>
        </w:tc>
      </w:tr>
      <w:tr>
        <w:trPr>
          <w:cantSplit/>
        </w:trPr>
        <w:tc>
          <w:tcPr>
            <w:tcW w:type="dxa" w:w="1008"/>
            <w:vAlign w:val="center"/>
          </w:tcPr>
          <w:p>
            <w:pPr>
              <w:pStyle w:val="TableText"/>
              <w:keepNext w:val="0"/>
              <w:jc w:val="center"/>
            </w:pPr>
            <w:r>
              <w:t>FR17.03</w:t>
            </w:r>
          </w:p>
        </w:tc>
        <w:tc>
          <w:tcPr>
            <w:tcW w:type="dxa" w:w="2923"/>
            <w:vAlign w:val="center"/>
          </w:tcPr>
          <w:p>
            <w:pPr>
              <w:pStyle w:val="TableText"/>
              <w:keepNext w:val="0"/>
            </w:pPr>
            <w:r>
              <w:t>The system shall preserve context across navigation and private assistant panels.</w:t>
            </w:r>
          </w:p>
        </w:tc>
        <w:tc>
          <w:tcPr>
            <w:tcW w:type="dxa" w:w="2664"/>
            <w:vAlign w:val="center"/>
          </w:tcPr>
          <w:p>
            <w:pPr>
              <w:pStyle w:val="TableText"/>
              <w:keepNext w:val="0"/>
            </w:pPr>
            <w:r>
              <w:t>Selected job/candidate state and intended deep links remain consistent.</w:t>
            </w:r>
          </w:p>
        </w:tc>
        <w:tc>
          <w:tcPr>
            <w:tcW w:type="dxa" w:w="1685"/>
            <w:vAlign w:val="center"/>
          </w:tcPr>
          <w:p>
            <w:pPr>
              <w:pStyle w:val="TableText"/>
              <w:keepNext w:val="0"/>
            </w:pPr>
            <w:r>
              <w:t>Do not replace authorized resource selection with guessed IDs.</w:t>
            </w:r>
          </w:p>
        </w:tc>
        <w:tc>
          <w:tcPr>
            <w:tcW w:type="dxa" w:w="1080"/>
            <w:vAlign w:val="center"/>
          </w:tcPr>
          <w:p>
            <w:pPr>
              <w:pStyle w:val="TableText"/>
              <w:keepNext w:val="0"/>
              <w:jc w:val="center"/>
            </w:pPr>
            <w:r>
              <w:t>TC17.03</w:t>
            </w:r>
          </w:p>
        </w:tc>
      </w:tr>
      <w:tr>
        <w:trPr>
          <w:cantSplit/>
        </w:trPr>
        <w:tc>
          <w:tcPr>
            <w:tcW w:type="dxa" w:w="1008"/>
            <w:vAlign w:val="center"/>
          </w:tcPr>
          <w:p>
            <w:pPr>
              <w:pStyle w:val="TableText"/>
              <w:keepNext w:val="0"/>
              <w:jc w:val="center"/>
            </w:pPr>
            <w:r>
              <w:t>FR17.04</w:t>
            </w:r>
          </w:p>
        </w:tc>
        <w:tc>
          <w:tcPr>
            <w:tcW w:type="dxa" w:w="2923"/>
            <w:vAlign w:val="center"/>
          </w:tcPr>
          <w:p>
            <w:pPr>
              <w:pStyle w:val="TableText"/>
              <w:keepNext w:val="0"/>
            </w:pPr>
            <w:r>
              <w:t>The system shall show actionable loading, empty, error and retry states.</w:t>
            </w:r>
          </w:p>
        </w:tc>
        <w:tc>
          <w:tcPr>
            <w:tcW w:type="dxa" w:w="2664"/>
            <w:vAlign w:val="center"/>
          </w:tcPr>
          <w:p>
            <w:pPr>
              <w:pStyle w:val="TableText"/>
              <w:keepNext w:val="0"/>
            </w:pPr>
            <w:r>
              <w:t>Failed requests identify the affected workflow and preserve saved work.</w:t>
            </w:r>
          </w:p>
        </w:tc>
        <w:tc>
          <w:tcPr>
            <w:tcW w:type="dxa" w:w="1685"/>
            <w:vAlign w:val="center"/>
          </w:tcPr>
          <w:p>
            <w:pPr>
              <w:pStyle w:val="TableText"/>
              <w:keepNext w:val="0"/>
            </w:pPr>
            <w:r>
              <w:t>External side effects require confirmation despite UI retries.</w:t>
            </w:r>
          </w:p>
        </w:tc>
        <w:tc>
          <w:tcPr>
            <w:tcW w:type="dxa" w:w="1080"/>
            <w:vAlign w:val="center"/>
          </w:tcPr>
          <w:p>
            <w:pPr>
              <w:pStyle w:val="TableText"/>
              <w:keepNext w:val="0"/>
              <w:jc w:val="center"/>
            </w:pPr>
            <w:r>
              <w:t>TC17.04</w:t>
            </w:r>
          </w:p>
        </w:tc>
      </w:tr>
    </w:tbl>
    <w:p>
      <w:pPr>
        <w:pStyle w:val="TableGap"/>
        <w:keepNext w:val="0"/>
      </w:pPr>
    </w:p>
    <w:p>
      <w:bookmarkStart w:id="33" w:name="SRS_33"/>
      <w:pPr>
        <w:pStyle w:val="Heading1"/>
      </w:pPr>
      <w:r>
        <w:t>4 User Interface</w:t>
      </w:r>
      <w:bookmarkEnd w:id="33"/>
    </w:p>
    <w:p>
      <w:r>
        <w:t>This section inventories the principal screens and their functional relationships. Section 8 retains the template's second User Interface section and defines cross-screen interaction and navigation behavior.</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792"/>
        <w:gridCol w:w="1613"/>
        <w:gridCol w:w="1771"/>
        <w:gridCol w:w="4104"/>
        <w:gridCol w:w="1080"/>
      </w:tblGrid>
      <w:tr>
        <w:trPr>
          <w:tblHeader/>
          <w:cantSplit/>
        </w:trPr>
        <w:tc>
          <w:tcPr>
            <w:tcW w:type="dxa" w:w="792"/>
            <w:vAlign w:val="center"/>
            <w:shd w:fill="EEEEEE" w:val="clear"/>
          </w:tcPr>
          <w:p>
            <w:pPr>
              <w:pStyle w:val="TableText"/>
              <w:keepNext w:val="0"/>
              <w:jc w:val="center"/>
            </w:pPr>
            <w:r>
              <w:rPr>
                <w:b/>
              </w:rPr>
              <w:t>UI No</w:t>
            </w:r>
          </w:p>
        </w:tc>
        <w:tc>
          <w:tcPr>
            <w:tcW w:type="dxa" w:w="1613"/>
            <w:vAlign w:val="center"/>
            <w:shd w:fill="EEEEEE" w:val="clear"/>
          </w:tcPr>
          <w:p>
            <w:pPr>
              <w:pStyle w:val="TableText"/>
              <w:keepNext w:val="0"/>
            </w:pPr>
            <w:r>
              <w:rPr>
                <w:b/>
              </w:rPr>
              <w:t>UI name</w:t>
            </w:r>
          </w:p>
        </w:tc>
        <w:tc>
          <w:tcPr>
            <w:tcW w:type="dxa" w:w="1771"/>
            <w:vAlign w:val="center"/>
            <w:shd w:fill="EEEEEE" w:val="clear"/>
          </w:tcPr>
          <w:p>
            <w:pPr>
              <w:pStyle w:val="TableText"/>
              <w:keepNext w:val="0"/>
            </w:pPr>
            <w:r>
              <w:rPr>
                <w:b/>
              </w:rPr>
              <w:t>Related FR</w:t>
            </w:r>
          </w:p>
        </w:tc>
        <w:tc>
          <w:tcPr>
            <w:tcW w:type="dxa" w:w="4104"/>
            <w:vAlign w:val="center"/>
            <w:shd w:fill="EEEEEE" w:val="clear"/>
          </w:tcPr>
          <w:p>
            <w:pPr>
              <w:pStyle w:val="TableText"/>
              <w:keepNext w:val="0"/>
            </w:pPr>
            <w:r>
              <w:rPr>
                <w:b/>
              </w:rPr>
              <w:t>Description</w:t>
            </w:r>
          </w:p>
        </w:tc>
        <w:tc>
          <w:tcPr>
            <w:tcW w:type="dxa" w:w="1080"/>
            <w:vAlign w:val="center"/>
            <w:shd w:fill="EEEEEE" w:val="clear"/>
          </w:tcPr>
          <w:p>
            <w:pPr>
              <w:pStyle w:val="TableText"/>
              <w:keepNext w:val="0"/>
              <w:jc w:val="center"/>
            </w:pPr>
            <w:r>
              <w:rPr>
                <w:b/>
              </w:rPr>
              <w:t>Test case ID</w:t>
            </w:r>
          </w:p>
        </w:tc>
      </w:tr>
      <w:tr>
        <w:trPr>
          <w:cantSplit/>
        </w:trPr>
        <w:tc>
          <w:tcPr>
            <w:tcW w:type="dxa" w:w="792"/>
            <w:vAlign w:val="center"/>
          </w:tcPr>
          <w:p>
            <w:pPr>
              <w:pStyle w:val="TableText"/>
              <w:keepNext w:val="0"/>
              <w:jc w:val="center"/>
            </w:pPr>
            <w:r>
              <w:t>UI01</w:t>
            </w:r>
          </w:p>
        </w:tc>
        <w:tc>
          <w:tcPr>
            <w:tcW w:type="dxa" w:w="1613"/>
            <w:vAlign w:val="center"/>
          </w:tcPr>
          <w:p>
            <w:pPr>
              <w:pStyle w:val="TableText"/>
              <w:keepNext w:val="0"/>
            </w:pPr>
            <w:r>
              <w:t>Sign in</w:t>
            </w:r>
          </w:p>
        </w:tc>
        <w:tc>
          <w:tcPr>
            <w:tcW w:type="dxa" w:w="1771"/>
            <w:vAlign w:val="center"/>
          </w:tcPr>
          <w:p>
            <w:pPr>
              <w:pStyle w:val="TableText"/>
              <w:keepNext w:val="0"/>
            </w:pPr>
            <w:r>
              <w:t>FR01.01 to FR01.02</w:t>
            </w:r>
          </w:p>
        </w:tc>
        <w:tc>
          <w:tcPr>
            <w:tcW w:type="dxa" w:w="4104"/>
            <w:vAlign w:val="center"/>
          </w:tcPr>
          <w:p>
            <w:pPr>
              <w:pStyle w:val="TableText"/>
              <w:keepNext w:val="0"/>
            </w:pPr>
            <w:r>
              <w:t>Interviewer credentials, validation and safe access errors.</w:t>
            </w:r>
          </w:p>
        </w:tc>
        <w:tc>
          <w:tcPr>
            <w:tcW w:type="dxa" w:w="1080"/>
            <w:vAlign w:val="center"/>
          </w:tcPr>
          <w:p>
            <w:pPr>
              <w:pStyle w:val="TableText"/>
              <w:keepNext w:val="0"/>
              <w:jc w:val="center"/>
            </w:pPr>
            <w:r>
              <w:t>TCUI01</w:t>
            </w:r>
          </w:p>
        </w:tc>
      </w:tr>
      <w:tr>
        <w:trPr>
          <w:cantSplit/>
        </w:trPr>
        <w:tc>
          <w:tcPr>
            <w:tcW w:type="dxa" w:w="792"/>
            <w:vAlign w:val="center"/>
          </w:tcPr>
          <w:p>
            <w:pPr>
              <w:pStyle w:val="TableText"/>
              <w:keepNext w:val="0"/>
              <w:jc w:val="center"/>
            </w:pPr>
            <w:r>
              <w:t>UI02</w:t>
            </w:r>
          </w:p>
        </w:tc>
        <w:tc>
          <w:tcPr>
            <w:tcW w:type="dxa" w:w="1613"/>
            <w:vAlign w:val="center"/>
          </w:tcPr>
          <w:p>
            <w:pPr>
              <w:pStyle w:val="TableText"/>
              <w:keepNext w:val="0"/>
            </w:pPr>
            <w:r>
              <w:t>Dashboard and notifications</w:t>
            </w:r>
          </w:p>
        </w:tc>
        <w:tc>
          <w:tcPr>
            <w:tcW w:type="dxa" w:w="1771"/>
            <w:vAlign w:val="center"/>
          </w:tcPr>
          <w:p>
            <w:pPr>
              <w:pStyle w:val="TableText"/>
              <w:keepNext w:val="0"/>
            </w:pPr>
            <w:r>
              <w:t>FR05.06; FR17.01</w:t>
            </w:r>
          </w:p>
        </w:tc>
        <w:tc>
          <w:tcPr>
            <w:tcW w:type="dxa" w:w="4104"/>
            <w:vAlign w:val="center"/>
          </w:tcPr>
          <w:p>
            <w:pPr>
              <w:pStyle w:val="TableText"/>
              <w:keepNext w:val="0"/>
            </w:pPr>
            <w:r>
              <w:t>Recruitment totals, pending form responses and upcoming interviews.</w:t>
            </w:r>
          </w:p>
        </w:tc>
        <w:tc>
          <w:tcPr>
            <w:tcW w:type="dxa" w:w="1080"/>
            <w:vAlign w:val="center"/>
          </w:tcPr>
          <w:p>
            <w:pPr>
              <w:pStyle w:val="TableText"/>
              <w:keepNext w:val="0"/>
              <w:jc w:val="center"/>
            </w:pPr>
            <w:r>
              <w:t>TCUI02</w:t>
            </w:r>
          </w:p>
        </w:tc>
      </w:tr>
      <w:tr>
        <w:trPr>
          <w:cantSplit/>
        </w:trPr>
        <w:tc>
          <w:tcPr>
            <w:tcW w:type="dxa" w:w="792"/>
            <w:vAlign w:val="center"/>
          </w:tcPr>
          <w:p>
            <w:pPr>
              <w:pStyle w:val="TableText"/>
              <w:keepNext w:val="0"/>
              <w:jc w:val="center"/>
            </w:pPr>
            <w:r>
              <w:t>UI03</w:t>
            </w:r>
          </w:p>
        </w:tc>
        <w:tc>
          <w:tcPr>
            <w:tcW w:type="dxa" w:w="1613"/>
            <w:vAlign w:val="center"/>
          </w:tcPr>
          <w:p>
            <w:pPr>
              <w:pStyle w:val="TableText"/>
              <w:keepNext w:val="0"/>
            </w:pPr>
            <w:r>
              <w:t>Jobs and JD review</w:t>
            </w:r>
          </w:p>
        </w:tc>
        <w:tc>
          <w:tcPr>
            <w:tcW w:type="dxa" w:w="1771"/>
            <w:vAlign w:val="center"/>
          </w:tcPr>
          <w:p>
            <w:pPr>
              <w:pStyle w:val="TableText"/>
              <w:keepNext w:val="0"/>
            </w:pPr>
            <w:r>
              <w:t>FR03.01 to FR04.04</w:t>
            </w:r>
          </w:p>
        </w:tc>
        <w:tc>
          <w:tcPr>
            <w:tcW w:type="dxa" w:w="4104"/>
            <w:vAlign w:val="center"/>
          </w:tcPr>
          <w:p>
            <w:pPr>
              <w:pStyle w:val="TableText"/>
              <w:keepNext w:val="0"/>
            </w:pPr>
            <w:r>
              <w:t>Job cards, draft/review, approved versions and Discord preview.</w:t>
            </w:r>
          </w:p>
        </w:tc>
        <w:tc>
          <w:tcPr>
            <w:tcW w:type="dxa" w:w="1080"/>
            <w:vAlign w:val="center"/>
          </w:tcPr>
          <w:p>
            <w:pPr>
              <w:pStyle w:val="TableText"/>
              <w:keepNext w:val="0"/>
              <w:jc w:val="center"/>
            </w:pPr>
            <w:r>
              <w:t>TCUI03</w:t>
            </w:r>
          </w:p>
        </w:tc>
      </w:tr>
      <w:tr>
        <w:trPr>
          <w:cantSplit/>
        </w:trPr>
        <w:tc>
          <w:tcPr>
            <w:tcW w:type="dxa" w:w="792"/>
            <w:vAlign w:val="center"/>
          </w:tcPr>
          <w:p>
            <w:pPr>
              <w:pStyle w:val="TableText"/>
              <w:keepNext w:val="0"/>
              <w:jc w:val="center"/>
            </w:pPr>
            <w:r>
              <w:t>UI04</w:t>
            </w:r>
          </w:p>
        </w:tc>
        <w:tc>
          <w:tcPr>
            <w:tcW w:type="dxa" w:w="1613"/>
            <w:vAlign w:val="center"/>
          </w:tcPr>
          <w:p>
            <w:pPr>
              <w:pStyle w:val="TableText"/>
              <w:keepNext w:val="0"/>
            </w:pPr>
            <w:r>
              <w:t>Candidates</w:t>
            </w:r>
          </w:p>
        </w:tc>
        <w:tc>
          <w:tcPr>
            <w:tcW w:type="dxa" w:w="1771"/>
            <w:vAlign w:val="center"/>
          </w:tcPr>
          <w:p>
            <w:pPr>
              <w:pStyle w:val="TableText"/>
              <w:keepNext w:val="0"/>
            </w:pPr>
            <w:r>
              <w:t>FR05.01 to FR05.06</w:t>
            </w:r>
          </w:p>
        </w:tc>
        <w:tc>
          <w:tcPr>
            <w:tcW w:type="dxa" w:w="4104"/>
            <w:vAlign w:val="center"/>
          </w:tcPr>
          <w:p>
            <w:pPr>
              <w:pStyle w:val="TableText"/>
              <w:keepNext w:val="0"/>
            </w:pPr>
            <w:r>
              <w:t>Search, job filtering, application selection, CV access and deletion.</w:t>
            </w:r>
          </w:p>
        </w:tc>
        <w:tc>
          <w:tcPr>
            <w:tcW w:type="dxa" w:w="1080"/>
            <w:vAlign w:val="center"/>
          </w:tcPr>
          <w:p>
            <w:pPr>
              <w:pStyle w:val="TableText"/>
              <w:keepNext w:val="0"/>
              <w:jc w:val="center"/>
            </w:pPr>
            <w:r>
              <w:t>TCUI04</w:t>
            </w:r>
          </w:p>
        </w:tc>
      </w:tr>
      <w:tr>
        <w:trPr>
          <w:cantSplit/>
        </w:trPr>
        <w:tc>
          <w:tcPr>
            <w:tcW w:type="dxa" w:w="792"/>
            <w:vAlign w:val="center"/>
          </w:tcPr>
          <w:p>
            <w:pPr>
              <w:pStyle w:val="TableText"/>
              <w:keepNext w:val="0"/>
              <w:jc w:val="center"/>
            </w:pPr>
            <w:r>
              <w:t>UI05</w:t>
            </w:r>
          </w:p>
        </w:tc>
        <w:tc>
          <w:tcPr>
            <w:tcW w:type="dxa" w:w="1613"/>
            <w:vAlign w:val="center"/>
          </w:tcPr>
          <w:p>
            <w:pPr>
              <w:pStyle w:val="TableText"/>
              <w:keepNext w:val="0"/>
            </w:pPr>
            <w:r>
              <w:t>CV Screening</w:t>
            </w:r>
          </w:p>
        </w:tc>
        <w:tc>
          <w:tcPr>
            <w:tcW w:type="dxa" w:w="1771"/>
            <w:vAlign w:val="center"/>
          </w:tcPr>
          <w:p>
            <w:pPr>
              <w:pStyle w:val="TableText"/>
              <w:keepNext w:val="0"/>
            </w:pPr>
            <w:r>
              <w:t>FR06.01 to FR07.05</w:t>
            </w:r>
          </w:p>
        </w:tc>
        <w:tc>
          <w:tcPr>
            <w:tcW w:type="dxa" w:w="4104"/>
            <w:vAlign w:val="center"/>
          </w:tcPr>
          <w:p>
            <w:pPr>
              <w:pStyle w:val="TableText"/>
              <w:keepNext w:val="0"/>
            </w:pPr>
            <w:r>
              <w:t>Weights, processing progress, CV ranking and requirement evidence.</w:t>
            </w:r>
          </w:p>
        </w:tc>
        <w:tc>
          <w:tcPr>
            <w:tcW w:type="dxa" w:w="1080"/>
            <w:vAlign w:val="center"/>
          </w:tcPr>
          <w:p>
            <w:pPr>
              <w:pStyle w:val="TableText"/>
              <w:keepNext w:val="0"/>
              <w:jc w:val="center"/>
            </w:pPr>
            <w:r>
              <w:t>TCUI05</w:t>
            </w:r>
          </w:p>
        </w:tc>
      </w:tr>
      <w:tr>
        <w:trPr>
          <w:cantSplit/>
        </w:trPr>
        <w:tc>
          <w:tcPr>
            <w:tcW w:type="dxa" w:w="792"/>
            <w:vAlign w:val="center"/>
          </w:tcPr>
          <w:p>
            <w:pPr>
              <w:pStyle w:val="TableText"/>
              <w:keepNext w:val="0"/>
              <w:jc w:val="center"/>
            </w:pPr>
            <w:r>
              <w:t>UI06</w:t>
            </w:r>
          </w:p>
        </w:tc>
        <w:tc>
          <w:tcPr>
            <w:tcW w:type="dxa" w:w="1613"/>
            <w:vAlign w:val="center"/>
          </w:tcPr>
          <w:p>
            <w:pPr>
              <w:pStyle w:val="TableText"/>
              <w:keepNext w:val="0"/>
            </w:pPr>
            <w:r>
              <w:t>Schedule interviews</w:t>
            </w:r>
          </w:p>
        </w:tc>
        <w:tc>
          <w:tcPr>
            <w:tcW w:type="dxa" w:w="1771"/>
            <w:vAlign w:val="center"/>
          </w:tcPr>
          <w:p>
            <w:pPr>
              <w:pStyle w:val="TableText"/>
              <w:keepNext w:val="0"/>
            </w:pPr>
            <w:r>
              <w:t>FR08.01 to FR08.05</w:t>
            </w:r>
          </w:p>
        </w:tc>
        <w:tc>
          <w:tcPr>
            <w:tcW w:type="dxa" w:w="4104"/>
            <w:vAlign w:val="center"/>
          </w:tcPr>
          <w:p>
            <w:pPr>
              <w:pStyle w:val="TableText"/>
              <w:keepNext w:val="0"/>
            </w:pPr>
            <w:r>
              <w:t>Eligibility/status, selection, slot preview and invitation delivery.</w:t>
            </w:r>
          </w:p>
        </w:tc>
        <w:tc>
          <w:tcPr>
            <w:tcW w:type="dxa" w:w="1080"/>
            <w:vAlign w:val="center"/>
          </w:tcPr>
          <w:p>
            <w:pPr>
              <w:pStyle w:val="TableText"/>
              <w:keepNext w:val="0"/>
              <w:jc w:val="center"/>
            </w:pPr>
            <w:r>
              <w:t>TCUI06</w:t>
            </w:r>
          </w:p>
        </w:tc>
      </w:tr>
      <w:tr>
        <w:trPr>
          <w:cantSplit/>
        </w:trPr>
        <w:tc>
          <w:tcPr>
            <w:tcW w:type="dxa" w:w="792"/>
            <w:vAlign w:val="center"/>
          </w:tcPr>
          <w:p>
            <w:pPr>
              <w:pStyle w:val="TableText"/>
              <w:keepNext w:val="0"/>
              <w:jc w:val="center"/>
            </w:pPr>
            <w:r>
              <w:t>UI07</w:t>
            </w:r>
          </w:p>
        </w:tc>
        <w:tc>
          <w:tcPr>
            <w:tcW w:type="dxa" w:w="1613"/>
            <w:vAlign w:val="center"/>
          </w:tcPr>
          <w:p>
            <w:pPr>
              <w:pStyle w:val="TableText"/>
              <w:keepNext w:val="0"/>
            </w:pPr>
            <w:r>
              <w:t>Scheduled interviews</w:t>
            </w:r>
          </w:p>
        </w:tc>
        <w:tc>
          <w:tcPr>
            <w:tcW w:type="dxa" w:w="1771"/>
            <w:vAlign w:val="center"/>
          </w:tcPr>
          <w:p>
            <w:pPr>
              <w:pStyle w:val="TableText"/>
              <w:keepNext w:val="0"/>
            </w:pPr>
            <w:r>
              <w:t>FR08.06; FR09.01</w:t>
            </w:r>
          </w:p>
        </w:tc>
        <w:tc>
          <w:tcPr>
            <w:tcW w:type="dxa" w:w="4104"/>
            <w:vAlign w:val="center"/>
          </w:tcPr>
          <w:p>
            <w:pPr>
              <w:pStyle w:val="TableText"/>
              <w:keepNext w:val="0"/>
            </w:pPr>
            <w:r>
              <w:t>Upcoming/completed sessions, rescheduling and console access.</w:t>
            </w:r>
          </w:p>
        </w:tc>
        <w:tc>
          <w:tcPr>
            <w:tcW w:type="dxa" w:w="1080"/>
            <w:vAlign w:val="center"/>
          </w:tcPr>
          <w:p>
            <w:pPr>
              <w:pStyle w:val="TableText"/>
              <w:keepNext w:val="0"/>
              <w:jc w:val="center"/>
            </w:pPr>
            <w:r>
              <w:t>TCUI07</w:t>
            </w:r>
          </w:p>
        </w:tc>
      </w:tr>
      <w:tr>
        <w:trPr>
          <w:cantSplit/>
        </w:trPr>
        <w:tc>
          <w:tcPr>
            <w:tcW w:type="dxa" w:w="792"/>
            <w:vAlign w:val="center"/>
          </w:tcPr>
          <w:p>
            <w:pPr>
              <w:pStyle w:val="TableText"/>
              <w:keepNext w:val="0"/>
              <w:jc w:val="center"/>
            </w:pPr>
            <w:r>
              <w:t>UI08</w:t>
            </w:r>
          </w:p>
        </w:tc>
        <w:tc>
          <w:tcPr>
            <w:tcW w:type="dxa" w:w="1613"/>
            <w:vAlign w:val="center"/>
          </w:tcPr>
          <w:p>
            <w:pPr>
              <w:pStyle w:val="TableText"/>
              <w:keepNext w:val="0"/>
            </w:pPr>
            <w:r>
              <w:t>Interviewer console</w:t>
            </w:r>
          </w:p>
        </w:tc>
        <w:tc>
          <w:tcPr>
            <w:tcW w:type="dxa" w:w="1771"/>
            <w:vAlign w:val="center"/>
          </w:tcPr>
          <w:p>
            <w:pPr>
              <w:pStyle w:val="TableText"/>
              <w:keepNext w:val="0"/>
            </w:pPr>
            <w:r>
              <w:t>FR09.03 to FR14.05</w:t>
            </w:r>
          </w:p>
        </w:tc>
        <w:tc>
          <w:tcPr>
            <w:tcW w:type="dxa" w:w="4104"/>
            <w:vAlign w:val="center"/>
          </w:tcPr>
          <w:p>
            <w:pPr>
              <w:pStyle w:val="TableText"/>
              <w:keepNext w:val="0"/>
            </w:pPr>
            <w:r>
              <w:t>Video; candidate info first; private assistant, transcript, analysis and practical tabs.</w:t>
            </w:r>
          </w:p>
        </w:tc>
        <w:tc>
          <w:tcPr>
            <w:tcW w:type="dxa" w:w="1080"/>
            <w:vAlign w:val="center"/>
          </w:tcPr>
          <w:p>
            <w:pPr>
              <w:pStyle w:val="TableText"/>
              <w:keepNext w:val="0"/>
              <w:jc w:val="center"/>
            </w:pPr>
            <w:r>
              <w:t>TCUI08</w:t>
            </w:r>
          </w:p>
        </w:tc>
      </w:tr>
      <w:tr>
        <w:trPr>
          <w:cantSplit/>
        </w:trPr>
        <w:tc>
          <w:tcPr>
            <w:tcW w:type="dxa" w:w="792"/>
            <w:vAlign w:val="center"/>
          </w:tcPr>
          <w:p>
            <w:pPr>
              <w:pStyle w:val="TableText"/>
              <w:keepNext w:val="0"/>
              <w:jc w:val="center"/>
            </w:pPr>
            <w:r>
              <w:t>UI09</w:t>
            </w:r>
          </w:p>
        </w:tc>
        <w:tc>
          <w:tcPr>
            <w:tcW w:type="dxa" w:w="1613"/>
            <w:vAlign w:val="center"/>
          </w:tcPr>
          <w:p>
            <w:pPr>
              <w:pStyle w:val="TableText"/>
              <w:keepNext w:val="0"/>
            </w:pPr>
            <w:r>
              <w:t>Candidate interview console</w:t>
            </w:r>
          </w:p>
        </w:tc>
        <w:tc>
          <w:tcPr>
            <w:tcW w:type="dxa" w:w="1771"/>
            <w:vAlign w:val="center"/>
          </w:tcPr>
          <w:p>
            <w:pPr>
              <w:pStyle w:val="TableText"/>
              <w:keepNext w:val="0"/>
            </w:pPr>
            <w:r>
              <w:t>FR01.03 to FR01.05; FR09.01 to FR10.01</w:t>
            </w:r>
          </w:p>
        </w:tc>
        <w:tc>
          <w:tcPr>
            <w:tcW w:type="dxa" w:w="4104"/>
            <w:vAlign w:val="center"/>
          </w:tcPr>
          <w:p>
            <w:pPr>
              <w:pStyle w:val="TableText"/>
              <w:keepNext w:val="0"/>
            </w:pPr>
            <w:r>
              <w:t>Private-link entry, device checks, compact consent, waiting, call and task.</w:t>
            </w:r>
          </w:p>
        </w:tc>
        <w:tc>
          <w:tcPr>
            <w:tcW w:type="dxa" w:w="1080"/>
            <w:vAlign w:val="center"/>
          </w:tcPr>
          <w:p>
            <w:pPr>
              <w:pStyle w:val="TableText"/>
              <w:keepNext w:val="0"/>
              <w:jc w:val="center"/>
            </w:pPr>
            <w:r>
              <w:t>TCUI09</w:t>
            </w:r>
          </w:p>
        </w:tc>
      </w:tr>
      <w:tr>
        <w:trPr>
          <w:cantSplit/>
        </w:trPr>
        <w:tc>
          <w:tcPr>
            <w:tcW w:type="dxa" w:w="792"/>
            <w:vAlign w:val="center"/>
          </w:tcPr>
          <w:p>
            <w:pPr>
              <w:pStyle w:val="TableText"/>
              <w:keepNext w:val="0"/>
              <w:jc w:val="center"/>
            </w:pPr>
            <w:r>
              <w:t>UI10</w:t>
            </w:r>
          </w:p>
        </w:tc>
        <w:tc>
          <w:tcPr>
            <w:tcW w:type="dxa" w:w="1613"/>
            <w:vAlign w:val="center"/>
          </w:tcPr>
          <w:p>
            <w:pPr>
              <w:pStyle w:val="TableText"/>
              <w:keepNext w:val="0"/>
            </w:pPr>
            <w:r>
              <w:t>Practical exercise</w:t>
            </w:r>
          </w:p>
        </w:tc>
        <w:tc>
          <w:tcPr>
            <w:tcW w:type="dxa" w:w="1771"/>
            <w:vAlign w:val="center"/>
          </w:tcPr>
          <w:p>
            <w:pPr>
              <w:pStyle w:val="TableText"/>
              <w:keepNext w:val="0"/>
            </w:pPr>
            <w:r>
              <w:t>FR13.01 to FR13.07</w:t>
            </w:r>
          </w:p>
        </w:tc>
        <w:tc>
          <w:tcPr>
            <w:tcW w:type="dxa" w:w="4104"/>
            <w:vAlign w:val="center"/>
          </w:tcPr>
          <w:p>
            <w:pPr>
              <w:pStyle w:val="TableText"/>
              <w:keepNext w:val="0"/>
            </w:pPr>
            <w:r>
              <w:t>Private draft, sharing, countdown, saved response, AI review and approval.</w:t>
            </w:r>
          </w:p>
        </w:tc>
        <w:tc>
          <w:tcPr>
            <w:tcW w:type="dxa" w:w="1080"/>
            <w:vAlign w:val="center"/>
          </w:tcPr>
          <w:p>
            <w:pPr>
              <w:pStyle w:val="TableText"/>
              <w:keepNext w:val="0"/>
              <w:jc w:val="center"/>
            </w:pPr>
            <w:r>
              <w:t>TCUI10</w:t>
            </w:r>
          </w:p>
        </w:tc>
      </w:tr>
      <w:tr>
        <w:trPr>
          <w:cantSplit/>
        </w:trPr>
        <w:tc>
          <w:tcPr>
            <w:tcW w:type="dxa" w:w="792"/>
            <w:vAlign w:val="center"/>
          </w:tcPr>
          <w:p>
            <w:pPr>
              <w:pStyle w:val="TableText"/>
              <w:keepNext w:val="0"/>
              <w:jc w:val="center"/>
            </w:pPr>
            <w:r>
              <w:t>UI11</w:t>
            </w:r>
          </w:p>
        </w:tc>
        <w:tc>
          <w:tcPr>
            <w:tcW w:type="dxa" w:w="1613"/>
            <w:vAlign w:val="center"/>
          </w:tcPr>
          <w:p>
            <w:pPr>
              <w:pStyle w:val="TableText"/>
              <w:keepNext w:val="0"/>
            </w:pPr>
            <w:r>
              <w:t>Assessment and reports</w:t>
            </w:r>
          </w:p>
        </w:tc>
        <w:tc>
          <w:tcPr>
            <w:tcW w:type="dxa" w:w="1771"/>
            <w:vAlign w:val="center"/>
          </w:tcPr>
          <w:p>
            <w:pPr>
              <w:pStyle w:val="TableText"/>
              <w:keepNext w:val="0"/>
            </w:pPr>
            <w:r>
              <w:t>FR15.01 to FR16.04</w:t>
            </w:r>
          </w:p>
        </w:tc>
        <w:tc>
          <w:tcPr>
            <w:tcW w:type="dxa" w:w="4104"/>
            <w:vAlign w:val="center"/>
          </w:tcPr>
          <w:p>
            <w:pPr>
              <w:pStyle w:val="TableText"/>
              <w:keepNext w:val="0"/>
            </w:pPr>
            <w:r>
              <w:t>Saved components, missing-score actions, final ranking and private exports.</w:t>
            </w:r>
          </w:p>
        </w:tc>
        <w:tc>
          <w:tcPr>
            <w:tcW w:type="dxa" w:w="1080"/>
            <w:vAlign w:val="center"/>
          </w:tcPr>
          <w:p>
            <w:pPr>
              <w:pStyle w:val="TableText"/>
              <w:keepNext w:val="0"/>
              <w:jc w:val="center"/>
            </w:pPr>
            <w:r>
              <w:t>TCUI11</w:t>
            </w:r>
          </w:p>
        </w:tc>
      </w:tr>
      <w:tr>
        <w:trPr>
          <w:cantSplit/>
        </w:trPr>
        <w:tc>
          <w:tcPr>
            <w:tcW w:type="dxa" w:w="792"/>
            <w:vAlign w:val="center"/>
          </w:tcPr>
          <w:p>
            <w:pPr>
              <w:pStyle w:val="TableText"/>
              <w:keepNext w:val="0"/>
              <w:jc w:val="center"/>
            </w:pPr>
            <w:r>
              <w:t>UI12</w:t>
            </w:r>
          </w:p>
        </w:tc>
        <w:tc>
          <w:tcPr>
            <w:tcW w:type="dxa" w:w="1613"/>
            <w:vAlign w:val="center"/>
          </w:tcPr>
          <w:p>
            <w:pPr>
              <w:pStyle w:val="TableText"/>
              <w:keepNext w:val="0"/>
            </w:pPr>
            <w:r>
              <w:t>Central assistant panel</w:t>
            </w:r>
          </w:p>
        </w:tc>
        <w:tc>
          <w:tcPr>
            <w:tcW w:type="dxa" w:w="1771"/>
            <w:vAlign w:val="center"/>
          </w:tcPr>
          <w:p>
            <w:pPr>
              <w:pStyle w:val="TableText"/>
              <w:keepNext w:val="0"/>
            </w:pPr>
            <w:r>
              <w:t>FR11.01 to FR11.04; FR17.02</w:t>
            </w:r>
          </w:p>
        </w:tc>
        <w:tc>
          <w:tcPr>
            <w:tcW w:type="dxa" w:w="4104"/>
            <w:vAlign w:val="center"/>
          </w:tcPr>
          <w:p>
            <w:pPr>
              <w:pStyle w:val="TableText"/>
              <w:keepNext w:val="0"/>
            </w:pPr>
            <w:r>
              <w:t>Contextual workflow chat, authentic confirmations and action-result navigation.</w:t>
            </w:r>
          </w:p>
        </w:tc>
        <w:tc>
          <w:tcPr>
            <w:tcW w:type="dxa" w:w="1080"/>
            <w:vAlign w:val="center"/>
          </w:tcPr>
          <w:p>
            <w:pPr>
              <w:pStyle w:val="TableText"/>
              <w:keepNext w:val="0"/>
              <w:jc w:val="center"/>
            </w:pPr>
            <w:r>
              <w:t>TCUI12</w:t>
            </w:r>
          </w:p>
        </w:tc>
      </w:tr>
    </w:tbl>
    <w:p>
      <w:pPr>
        <w:pStyle w:val="TableGap"/>
        <w:keepNext w:val="0"/>
      </w:pPr>
    </w:p>
    <w:p>
      <w:r>
        <w:t>Screen names describe user-facing workspaces; nested tabs and panels need not be separate routes. Candidate-only controls must remain distinct from interviewer controls even when they share media components.</w:t>
      </w:r>
    </w:p>
    <w:p>
      <w:bookmarkStart w:id="34" w:name="SRS_34"/>
      <w:pPr>
        <w:pStyle w:val="Heading1"/>
      </w:pPr>
      <w:r>
        <w:t>5 Non Functional Requirements</w:t>
      </w:r>
      <w:bookmarkEnd w:id="34"/>
    </w:p>
    <w:p>
      <w:r>
        <w:t>The following requirements govern cross-cutting behavior. Numerical performance values are acceptance objectives for a controlled test, not measurements already achieved or external-provider guarantees.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NFR01</w:t>
            </w:r>
          </w:p>
        </w:tc>
        <w:tc>
          <w:tcPr>
            <w:tcW w:type="dxa" w:w="2923"/>
            <w:vAlign w:val="center"/>
          </w:tcPr>
          <w:p>
            <w:pPr>
              <w:pStyle w:val="TableText"/>
              <w:keepNext w:val="0"/>
            </w:pPr>
            <w:r>
              <w:t>The system shall keep lengthy AI, import, export and screening work out of synchronous page rendering.</w:t>
            </w:r>
          </w:p>
        </w:tc>
        <w:tc>
          <w:tcPr>
            <w:tcW w:type="dxa" w:w="2664"/>
            <w:vAlign w:val="center"/>
          </w:tcPr>
          <w:p>
            <w:pPr>
              <w:pStyle w:val="TableText"/>
              <w:keepNext w:val="0"/>
            </w:pPr>
            <w:r>
              <w:t>A request obtains a durable workflow ID/status and the page can show later progress.</w:t>
            </w:r>
          </w:p>
        </w:tc>
        <w:tc>
          <w:tcPr>
            <w:tcW w:type="dxa" w:w="1685"/>
            <w:vAlign w:val="center"/>
          </w:tcPr>
          <w:p>
            <w:pPr>
              <w:pStyle w:val="TableText"/>
              <w:keepNext w:val="0"/>
            </w:pPr>
            <w:r>
              <w:t>Provider latency is external; background work still consumes host resources.</w:t>
            </w:r>
          </w:p>
        </w:tc>
        <w:tc>
          <w:tcPr>
            <w:tcW w:type="dxa" w:w="1080"/>
            <w:vAlign w:val="center"/>
          </w:tcPr>
          <w:p>
            <w:pPr>
              <w:pStyle w:val="TableText"/>
              <w:keepNext w:val="0"/>
              <w:jc w:val="center"/>
            </w:pPr>
            <w:r>
              <w:t>TCN01</w:t>
            </w:r>
          </w:p>
        </w:tc>
      </w:tr>
      <w:tr>
        <w:trPr>
          <w:cantSplit/>
        </w:trPr>
        <w:tc>
          <w:tcPr>
            <w:tcW w:type="dxa" w:w="1008"/>
            <w:vAlign w:val="center"/>
          </w:tcPr>
          <w:p>
            <w:pPr>
              <w:pStyle w:val="TableText"/>
              <w:keepNext w:val="0"/>
              <w:jc w:val="center"/>
            </w:pPr>
            <w:r>
              <w:t>NFR02</w:t>
            </w:r>
          </w:p>
        </w:tc>
        <w:tc>
          <w:tcPr>
            <w:tcW w:type="dxa" w:w="2923"/>
            <w:vAlign w:val="center"/>
          </w:tcPr>
          <w:p>
            <w:pPr>
              <w:pStyle w:val="TableText"/>
              <w:keepNext w:val="0"/>
            </w:pPr>
            <w:r>
              <w:t>The system shall preserve accepted work across transient failures and page refreshes.</w:t>
            </w:r>
          </w:p>
        </w:tc>
        <w:tc>
          <w:tcPr>
            <w:tcW w:type="dxa" w:w="2664"/>
            <w:vAlign w:val="center"/>
          </w:tcPr>
          <w:p>
            <w:pPr>
              <w:pStyle w:val="TableText"/>
              <w:keepNext w:val="0"/>
            </w:pPr>
            <w:r>
              <w:t>Saved drafts, final transcript segments, submissions and results can be retrieved after reconnect.</w:t>
            </w:r>
          </w:p>
        </w:tc>
        <w:tc>
          <w:tcPr>
            <w:tcW w:type="dxa" w:w="1685"/>
            <w:vAlign w:val="center"/>
          </w:tcPr>
          <w:p>
            <w:pPr>
              <w:pStyle w:val="TableText"/>
              <w:keepNext w:val="0"/>
            </w:pPr>
            <w:r>
              <w:t>In-memory jobs need defined recovery after process restart.</w:t>
            </w:r>
          </w:p>
        </w:tc>
        <w:tc>
          <w:tcPr>
            <w:tcW w:type="dxa" w:w="1080"/>
            <w:vAlign w:val="center"/>
          </w:tcPr>
          <w:p>
            <w:pPr>
              <w:pStyle w:val="TableText"/>
              <w:keepNext w:val="0"/>
              <w:jc w:val="center"/>
            </w:pPr>
            <w:r>
              <w:t>TCN02</w:t>
            </w:r>
          </w:p>
        </w:tc>
      </w:tr>
      <w:tr>
        <w:trPr>
          <w:cantSplit/>
        </w:trPr>
        <w:tc>
          <w:tcPr>
            <w:tcW w:type="dxa" w:w="1008"/>
            <w:vAlign w:val="center"/>
          </w:tcPr>
          <w:p>
            <w:pPr>
              <w:pStyle w:val="TableText"/>
              <w:keepNext w:val="0"/>
              <w:jc w:val="center"/>
            </w:pPr>
            <w:r>
              <w:t>NFR03</w:t>
            </w:r>
          </w:p>
        </w:tc>
        <w:tc>
          <w:tcPr>
            <w:tcW w:type="dxa" w:w="2923"/>
            <w:vAlign w:val="center"/>
          </w:tcPr>
          <w:p>
            <w:pPr>
              <w:pStyle w:val="TableText"/>
              <w:keepNext w:val="0"/>
            </w:pPr>
            <w:r>
              <w:t>The system shall report unavailable, partial, stale and failed states accurately.</w:t>
            </w:r>
          </w:p>
        </w:tc>
        <w:tc>
          <w:tcPr>
            <w:tcW w:type="dxa" w:w="2664"/>
            <w:vAlign w:val="center"/>
          </w:tcPr>
          <w:p>
            <w:pPr>
              <w:pStyle w:val="TableText"/>
              <w:keepNext w:val="0"/>
            </w:pPr>
            <w:r>
              <w:t>A failed integration does not appear as zero candidates, a successful score or delivered mail.</w:t>
            </w:r>
          </w:p>
        </w:tc>
        <w:tc>
          <w:tcPr>
            <w:tcW w:type="dxa" w:w="1685"/>
            <w:vAlign w:val="center"/>
          </w:tcPr>
          <w:p>
            <w:pPr>
              <w:pStyle w:val="TableText"/>
              <w:keepNext w:val="0"/>
            </w:pPr>
            <w:r>
              <w:t>Do not expose raw provider responses or secrets.</w:t>
            </w:r>
          </w:p>
        </w:tc>
        <w:tc>
          <w:tcPr>
            <w:tcW w:type="dxa" w:w="1080"/>
            <w:vAlign w:val="center"/>
          </w:tcPr>
          <w:p>
            <w:pPr>
              <w:pStyle w:val="TableText"/>
              <w:keepNext w:val="0"/>
              <w:jc w:val="center"/>
            </w:pPr>
            <w:r>
              <w:t>TCN03</w:t>
            </w:r>
          </w:p>
        </w:tc>
      </w:tr>
      <w:tr>
        <w:trPr>
          <w:cantSplit/>
        </w:trPr>
        <w:tc>
          <w:tcPr>
            <w:tcW w:type="dxa" w:w="1008"/>
            <w:vAlign w:val="center"/>
          </w:tcPr>
          <w:p>
            <w:pPr>
              <w:pStyle w:val="TableText"/>
              <w:keepNext w:val="0"/>
              <w:jc w:val="center"/>
            </w:pPr>
            <w:r>
              <w:t>NFR04</w:t>
            </w:r>
          </w:p>
        </w:tc>
        <w:tc>
          <w:tcPr>
            <w:tcW w:type="dxa" w:w="2923"/>
            <w:vAlign w:val="center"/>
          </w:tcPr>
          <w:p>
            <w:pPr>
              <w:pStyle w:val="TableText"/>
              <w:keepNext w:val="0"/>
            </w:pPr>
            <w:r>
              <w:t>The system shall make read-only views free of hidden paid grading or external writes.</w:t>
            </w:r>
          </w:p>
        </w:tc>
        <w:tc>
          <w:tcPr>
            <w:tcW w:type="dxa" w:w="2664"/>
            <w:vAlign w:val="center"/>
          </w:tcPr>
          <w:p>
            <w:pPr>
              <w:pStyle w:val="TableText"/>
              <w:keepNext w:val="0"/>
            </w:pPr>
            <w:r>
              <w:t>Opening, filtering and refreshing existing results produce no new assessment or publication.</w:t>
            </w:r>
          </w:p>
        </w:tc>
        <w:tc>
          <w:tcPr>
            <w:tcW w:type="dxa" w:w="1685"/>
            <w:vAlign w:val="center"/>
          </w:tcPr>
          <w:p>
            <w:pPr>
              <w:pStyle w:val="TableText"/>
              <w:keepNext w:val="0"/>
            </w:pPr>
            <w:r>
              <w:t>Explicit live-update mode may analyze changed inputs under its bounded policy.</w:t>
            </w:r>
          </w:p>
        </w:tc>
        <w:tc>
          <w:tcPr>
            <w:tcW w:type="dxa" w:w="1080"/>
            <w:vAlign w:val="center"/>
          </w:tcPr>
          <w:p>
            <w:pPr>
              <w:pStyle w:val="TableText"/>
              <w:keepNext w:val="0"/>
              <w:jc w:val="center"/>
            </w:pPr>
            <w:r>
              <w:t>TCN04</w:t>
            </w:r>
          </w:p>
        </w:tc>
      </w:tr>
    </w:tbl>
    <w:p>
      <w:pPr>
        <w:pStyle w:val="TableGap"/>
        <w:keepNext w:val="0"/>
      </w:pPr>
    </w:p>
    <w:p>
      <w:bookmarkStart w:id="35" w:name="SRS_35"/>
      <w:pPr>
        <w:pStyle w:val="Heading2"/>
      </w:pPr>
      <w:r>
        <w:t>5.1 Performance Requirements</w:t>
      </w:r>
      <w:bookmarkEnd w:id="35"/>
    </w:p>
    <w:p>
      <w:r>
        <w:t>Reference measurement profile: a warmed deployment with 4 vCPU and 8 GB RAM, 10 UI clients, 100 saved applications for one posting, and one active one-to-one interview. Record host, database, browser, network and provider conditions. These targets must be validated before claiming production capacity; initial model download and cold-start work are excluded.</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PER01</w:t>
            </w:r>
          </w:p>
        </w:tc>
        <w:tc>
          <w:tcPr>
            <w:tcW w:type="dxa" w:w="2923"/>
            <w:vAlign w:val="center"/>
          </w:tcPr>
          <w:p>
            <w:pPr>
              <w:pStyle w:val="TableText"/>
              <w:keepNext w:val="0"/>
            </w:pPr>
            <w:r>
              <w:t>Authorized paginated reads shall target p95 response time of at most 2 seconds.</w:t>
            </w:r>
          </w:p>
        </w:tc>
        <w:tc>
          <w:tcPr>
            <w:tcW w:type="dxa" w:w="2664"/>
            <w:vAlign w:val="center"/>
          </w:tcPr>
          <w:p>
            <w:pPr>
              <w:pStyle w:val="TableText"/>
              <w:keepNext w:val="0"/>
            </w:pPr>
            <w:r>
              <w:t>Measure 100 reads with 10 UI clients and 100 applications on the reference host.</w:t>
            </w:r>
          </w:p>
        </w:tc>
        <w:tc>
          <w:tcPr>
            <w:tcW w:type="dxa" w:w="1685"/>
            <w:vAlign w:val="center"/>
          </w:tcPr>
          <w:p>
            <w:pPr>
              <w:pStyle w:val="TableText"/>
              <w:keepNext w:val="0"/>
            </w:pPr>
            <w:r>
              <w:t>Excludes cold start, external AI/media and large downloads.</w:t>
            </w:r>
          </w:p>
        </w:tc>
        <w:tc>
          <w:tcPr>
            <w:tcW w:type="dxa" w:w="1080"/>
            <w:vAlign w:val="center"/>
          </w:tcPr>
          <w:p>
            <w:pPr>
              <w:pStyle w:val="TableText"/>
              <w:keepNext w:val="0"/>
              <w:jc w:val="center"/>
            </w:pPr>
            <w:r>
              <w:t>TCP01</w:t>
            </w:r>
          </w:p>
        </w:tc>
      </w:tr>
      <w:tr>
        <w:trPr>
          <w:cantSplit/>
        </w:trPr>
        <w:tc>
          <w:tcPr>
            <w:tcW w:type="dxa" w:w="1008"/>
            <w:vAlign w:val="center"/>
          </w:tcPr>
          <w:p>
            <w:pPr>
              <w:pStyle w:val="TableText"/>
              <w:keepNext w:val="0"/>
              <w:jc w:val="center"/>
            </w:pPr>
            <w:r>
              <w:t>PER02</w:t>
            </w:r>
          </w:p>
        </w:tc>
        <w:tc>
          <w:tcPr>
            <w:tcW w:type="dxa" w:w="2923"/>
            <w:vAlign w:val="center"/>
          </w:tcPr>
          <w:p>
            <w:pPr>
              <w:pStyle w:val="TableText"/>
              <w:keepNext w:val="0"/>
            </w:pPr>
            <w:r>
              <w:t>Background-work submission shall target acknowledgement within 2 seconds.</w:t>
            </w:r>
          </w:p>
        </w:tc>
        <w:tc>
          <w:tcPr>
            <w:tcW w:type="dxa" w:w="2664"/>
            <w:vAlign w:val="center"/>
          </w:tcPr>
          <w:p>
            <w:pPr>
              <w:pStyle w:val="TableText"/>
              <w:keepNext w:val="0"/>
            </w:pPr>
            <w:r>
              <w:t>Measure 20 valid submissions; each returns a run ID or an actionable refusal.</w:t>
            </w:r>
          </w:p>
        </w:tc>
        <w:tc>
          <w:tcPr>
            <w:tcW w:type="dxa" w:w="1685"/>
            <w:vAlign w:val="center"/>
          </w:tcPr>
          <w:p>
            <w:pPr>
              <w:pStyle w:val="TableText"/>
              <w:keepNext w:val="0"/>
            </w:pPr>
            <w:r>
              <w:t>Queue acknowledgement is not completion.</w:t>
            </w:r>
          </w:p>
        </w:tc>
        <w:tc>
          <w:tcPr>
            <w:tcW w:type="dxa" w:w="1080"/>
            <w:vAlign w:val="center"/>
          </w:tcPr>
          <w:p>
            <w:pPr>
              <w:pStyle w:val="TableText"/>
              <w:keepNext w:val="0"/>
              <w:jc w:val="center"/>
            </w:pPr>
            <w:r>
              <w:t>TCP02</w:t>
            </w:r>
          </w:p>
        </w:tc>
      </w:tr>
      <w:tr>
        <w:trPr>
          <w:cantSplit/>
        </w:trPr>
        <w:tc>
          <w:tcPr>
            <w:tcW w:type="dxa" w:w="1008"/>
            <w:vAlign w:val="center"/>
          </w:tcPr>
          <w:p>
            <w:pPr>
              <w:pStyle w:val="TableText"/>
              <w:keepNext w:val="0"/>
              <w:jc w:val="center"/>
            </w:pPr>
            <w:r>
              <w:t>PER03</w:t>
            </w:r>
          </w:p>
        </w:tc>
        <w:tc>
          <w:tcPr>
            <w:tcW w:type="dxa" w:w="2923"/>
            <w:vAlign w:val="center"/>
          </w:tcPr>
          <w:p>
            <w:pPr>
              <w:pStyle w:val="TableText"/>
              <w:keepNext w:val="0"/>
            </w:pPr>
            <w:r>
              <w:t>Final ranking of 100 compatible saved applications shall target completion within 5 seconds.</w:t>
            </w:r>
          </w:p>
        </w:tc>
        <w:tc>
          <w:tcPr>
            <w:tcW w:type="dxa" w:w="2664"/>
            <w:vAlign w:val="center"/>
          </w:tcPr>
          <w:p>
            <w:pPr>
              <w:pStyle w:val="TableText"/>
              <w:keepNext w:val="0"/>
            </w:pPr>
            <w:r>
              <w:t>Time request to available result and verify that no grading provider is called.</w:t>
            </w:r>
          </w:p>
        </w:tc>
        <w:tc>
          <w:tcPr>
            <w:tcW w:type="dxa" w:w="1685"/>
            <w:vAlign w:val="center"/>
          </w:tcPr>
          <w:p>
            <w:pPr>
              <w:pStyle w:val="TableText"/>
              <w:keepNext w:val="0"/>
            </w:pPr>
            <w:r>
              <w:t>Database/network latency must be recorded.</w:t>
            </w:r>
          </w:p>
        </w:tc>
        <w:tc>
          <w:tcPr>
            <w:tcW w:type="dxa" w:w="1080"/>
            <w:vAlign w:val="center"/>
          </w:tcPr>
          <w:p>
            <w:pPr>
              <w:pStyle w:val="TableText"/>
              <w:keepNext w:val="0"/>
              <w:jc w:val="center"/>
            </w:pPr>
            <w:r>
              <w:t>TCP03</w:t>
            </w:r>
          </w:p>
        </w:tc>
      </w:tr>
      <w:tr>
        <w:trPr>
          <w:cantSplit/>
        </w:trPr>
        <w:tc>
          <w:tcPr>
            <w:tcW w:type="dxa" w:w="1008"/>
            <w:vAlign w:val="center"/>
          </w:tcPr>
          <w:p>
            <w:pPr>
              <w:pStyle w:val="TableText"/>
              <w:keepNext w:val="0"/>
              <w:jc w:val="center"/>
            </w:pPr>
            <w:r>
              <w:t>PER04</w:t>
            </w:r>
          </w:p>
        </w:tc>
        <w:tc>
          <w:tcPr>
            <w:tcW w:type="dxa" w:w="2923"/>
            <w:vAlign w:val="center"/>
          </w:tcPr>
          <w:p>
            <w:pPr>
              <w:pStyle w:val="TableText"/>
              <w:keepNext w:val="0"/>
            </w:pPr>
            <w:r>
              <w:t>Explicit UI actions shall provide visible feedback within 300 milliseconds.</w:t>
            </w:r>
          </w:p>
        </w:tc>
        <w:tc>
          <w:tcPr>
            <w:tcW w:type="dxa" w:w="2664"/>
            <w:vAlign w:val="center"/>
          </w:tcPr>
          <w:p>
            <w:pPr>
              <w:pStyle w:val="TableText"/>
              <w:keepNext w:val="0"/>
            </w:pPr>
            <w:r>
              <w:t>Interaction tests show loading, disabled action or an immediate result before completion.</w:t>
            </w:r>
          </w:p>
        </w:tc>
        <w:tc>
          <w:tcPr>
            <w:tcW w:type="dxa" w:w="1685"/>
            <w:vAlign w:val="center"/>
          </w:tcPr>
          <w:p>
            <w:pPr>
              <w:pStyle w:val="TableText"/>
              <w:keepNext w:val="0"/>
            </w:pPr>
            <w:r>
              <w:t>Excludes browser/OS permission dialogs.</w:t>
            </w:r>
          </w:p>
        </w:tc>
        <w:tc>
          <w:tcPr>
            <w:tcW w:type="dxa" w:w="1080"/>
            <w:vAlign w:val="center"/>
          </w:tcPr>
          <w:p>
            <w:pPr>
              <w:pStyle w:val="TableText"/>
              <w:keepNext w:val="0"/>
              <w:jc w:val="center"/>
            </w:pPr>
            <w:r>
              <w:t>TCP04</w:t>
            </w:r>
          </w:p>
        </w:tc>
      </w:tr>
      <w:tr>
        <w:trPr>
          <w:cantSplit/>
        </w:trPr>
        <w:tc>
          <w:tcPr>
            <w:tcW w:type="dxa" w:w="1008"/>
            <w:vAlign w:val="center"/>
          </w:tcPr>
          <w:p>
            <w:pPr>
              <w:pStyle w:val="TableText"/>
              <w:keepNext w:val="0"/>
              <w:jc w:val="center"/>
            </w:pPr>
            <w:r>
              <w:t>PER05</w:t>
            </w:r>
          </w:p>
        </w:tc>
        <w:tc>
          <w:tcPr>
            <w:tcW w:type="dxa" w:w="2923"/>
            <w:vAlign w:val="center"/>
          </w:tcPr>
          <w:p>
            <w:pPr>
              <w:pStyle w:val="TableText"/>
              <w:keepNext w:val="0"/>
            </w:pPr>
            <w:r>
              <w:t>External work shall have bounded timeouts and visible progress or failure.</w:t>
            </w:r>
          </w:p>
        </w:tc>
        <w:tc>
          <w:tcPr>
            <w:tcW w:type="dxa" w:w="2664"/>
            <w:vAlign w:val="center"/>
          </w:tcPr>
          <w:p>
            <w:pPr>
              <w:pStyle w:val="TableText"/>
              <w:keepNext w:val="0"/>
            </w:pPr>
            <w:r>
              <w:t>Inject stalled OCR, model and transcription calls; no workflow stays falsely ready.</w:t>
            </w:r>
          </w:p>
        </w:tc>
        <w:tc>
          <w:tcPr>
            <w:tcW w:type="dxa" w:w="1685"/>
            <w:vAlign w:val="center"/>
          </w:tcPr>
          <w:p>
            <w:pPr>
              <w:pStyle w:val="TableText"/>
              <w:keepNext w:val="0"/>
            </w:pPr>
            <w:r>
              <w:t>OCR default timeout is 120 seconds; provider limits are configurable.</w:t>
            </w:r>
          </w:p>
        </w:tc>
        <w:tc>
          <w:tcPr>
            <w:tcW w:type="dxa" w:w="1080"/>
            <w:vAlign w:val="center"/>
          </w:tcPr>
          <w:p>
            <w:pPr>
              <w:pStyle w:val="TableText"/>
              <w:keepNext w:val="0"/>
              <w:jc w:val="center"/>
            </w:pPr>
            <w:r>
              <w:t>TCP05</w:t>
            </w:r>
          </w:p>
        </w:tc>
      </w:tr>
    </w:tbl>
    <w:p>
      <w:pPr>
        <w:pStyle w:val="TableGap"/>
        <w:keepNext w:val="0"/>
      </w:pPr>
    </w:p>
    <w:p>
      <w:bookmarkStart w:id="36" w:name="SRS_36"/>
      <w:pPr>
        <w:pStyle w:val="Heading2"/>
      </w:pPr>
      <w:r>
        <w:t>5.2 Safety Requirements</w:t>
      </w:r>
      <w:bookmarkEnd w:id="36"/>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SAF01</w:t>
            </w:r>
          </w:p>
        </w:tc>
        <w:tc>
          <w:tcPr>
            <w:tcW w:type="dxa" w:w="2923"/>
            <w:vAlign w:val="center"/>
          </w:tcPr>
          <w:p>
            <w:pPr>
              <w:pStyle w:val="TableText"/>
              <w:keepNext w:val="0"/>
            </w:pPr>
            <w:r>
              <w:t>The system shall keep hiring and rejection decisions with the interviewer.</w:t>
            </w:r>
          </w:p>
        </w:tc>
        <w:tc>
          <w:tcPr>
            <w:tcW w:type="dxa" w:w="2664"/>
            <w:vAlign w:val="center"/>
          </w:tcPr>
          <w:p>
            <w:pPr>
              <w:pStyle w:val="TableText"/>
              <w:keepNext w:val="0"/>
            </w:pPr>
            <w:r>
              <w:t>No score, photo outcome or assistant action autonomously hires or rejects a candidate.</w:t>
            </w:r>
          </w:p>
        </w:tc>
        <w:tc>
          <w:tcPr>
            <w:tcW w:type="dxa" w:w="1685"/>
            <w:vAlign w:val="center"/>
          </w:tcPr>
          <w:p>
            <w:pPr>
              <w:pStyle w:val="TableText"/>
              <w:keepNext w:val="0"/>
            </w:pPr>
            <w:r>
              <w:t>Scores are decision support, not a guarantee of competence.</w:t>
            </w:r>
          </w:p>
        </w:tc>
        <w:tc>
          <w:tcPr>
            <w:tcW w:type="dxa" w:w="1080"/>
            <w:vAlign w:val="center"/>
          </w:tcPr>
          <w:p>
            <w:pPr>
              <w:pStyle w:val="TableText"/>
              <w:keepNext w:val="0"/>
              <w:jc w:val="center"/>
            </w:pPr>
            <w:r>
              <w:t>TCS01</w:t>
            </w:r>
          </w:p>
        </w:tc>
      </w:tr>
      <w:tr>
        <w:trPr>
          <w:cantSplit/>
        </w:trPr>
        <w:tc>
          <w:tcPr>
            <w:tcW w:type="dxa" w:w="1008"/>
            <w:vAlign w:val="center"/>
          </w:tcPr>
          <w:p>
            <w:pPr>
              <w:pStyle w:val="TableText"/>
              <w:keepNext w:val="0"/>
              <w:jc w:val="center"/>
            </w:pPr>
            <w:r>
              <w:t>SAF02</w:t>
            </w:r>
          </w:p>
        </w:tc>
        <w:tc>
          <w:tcPr>
            <w:tcW w:type="dxa" w:w="2923"/>
            <w:vAlign w:val="center"/>
          </w:tcPr>
          <w:p>
            <w:pPr>
              <w:pStyle w:val="TableText"/>
              <w:keepNext w:val="0"/>
            </w:pPr>
            <w:r>
              <w:t>The system shall distinguish missing evidence from demonstrated poor performance.</w:t>
            </w:r>
          </w:p>
        </w:tc>
        <w:tc>
          <w:tcPr>
            <w:tcW w:type="dxa" w:w="2664"/>
            <w:vAlign w:val="center"/>
          </w:tcPr>
          <w:p>
            <w:pPr>
              <w:pStyle w:val="TableText"/>
              <w:keepNext w:val="0"/>
            </w:pPr>
            <w:r>
              <w:t>Provider failure and uncertain speech remain incomplete; verified off-topic/unanswered answers can score zero.</w:t>
            </w:r>
          </w:p>
        </w:tc>
        <w:tc>
          <w:tcPr>
            <w:tcW w:type="dxa" w:w="1685"/>
            <w:vAlign w:val="center"/>
          </w:tcPr>
          <w:p>
            <w:pPr>
              <w:pStyle w:val="TableText"/>
              <w:keepNext w:val="0"/>
            </w:pPr>
            <w:r>
              <w:t>Applies to all displayed and exported results.</w:t>
            </w:r>
          </w:p>
        </w:tc>
        <w:tc>
          <w:tcPr>
            <w:tcW w:type="dxa" w:w="1080"/>
            <w:vAlign w:val="center"/>
          </w:tcPr>
          <w:p>
            <w:pPr>
              <w:pStyle w:val="TableText"/>
              <w:keepNext w:val="0"/>
              <w:jc w:val="center"/>
            </w:pPr>
            <w:r>
              <w:t>TCS02</w:t>
            </w:r>
          </w:p>
        </w:tc>
      </w:tr>
      <w:tr>
        <w:trPr>
          <w:cantSplit/>
        </w:trPr>
        <w:tc>
          <w:tcPr>
            <w:tcW w:type="dxa" w:w="1008"/>
            <w:vAlign w:val="center"/>
          </w:tcPr>
          <w:p>
            <w:pPr>
              <w:pStyle w:val="TableText"/>
              <w:keepNext w:val="0"/>
              <w:jc w:val="center"/>
            </w:pPr>
            <w:r>
              <w:t>SAF03</w:t>
            </w:r>
          </w:p>
        </w:tc>
        <w:tc>
          <w:tcPr>
            <w:tcW w:type="dxa" w:w="2923"/>
            <w:vAlign w:val="center"/>
          </w:tcPr>
          <w:p>
            <w:pPr>
              <w:pStyle w:val="TableText"/>
              <w:keepNext w:val="0"/>
            </w:pPr>
            <w:r>
              <w:t>The system shall preserve evidence and communicate uncertainty in AI output.</w:t>
            </w:r>
          </w:p>
        </w:tc>
        <w:tc>
          <w:tcPr>
            <w:tcW w:type="dxa" w:w="2664"/>
            <w:vAlign w:val="center"/>
          </w:tcPr>
          <w:p>
            <w:pPr>
              <w:pStyle w:val="TableText"/>
              <w:keepNext w:val="0"/>
            </w:pPr>
            <w:r>
              <w:t>A questionable claim or ASR repair cannot become a definitive fact without cited support.</w:t>
            </w:r>
          </w:p>
        </w:tc>
        <w:tc>
          <w:tcPr>
            <w:tcW w:type="dxa" w:w="1685"/>
            <w:vAlign w:val="center"/>
          </w:tcPr>
          <w:p>
            <w:pPr>
              <w:pStyle w:val="TableText"/>
              <w:keepNext w:val="0"/>
            </w:pPr>
            <w:r>
              <w:t>Perfect transcription and perfect model accuracy are not promised.</w:t>
            </w:r>
          </w:p>
        </w:tc>
        <w:tc>
          <w:tcPr>
            <w:tcW w:type="dxa" w:w="1080"/>
            <w:vAlign w:val="center"/>
          </w:tcPr>
          <w:p>
            <w:pPr>
              <w:pStyle w:val="TableText"/>
              <w:keepNext w:val="0"/>
              <w:jc w:val="center"/>
            </w:pPr>
            <w:r>
              <w:t>TCS03</w:t>
            </w:r>
          </w:p>
        </w:tc>
      </w:tr>
      <w:tr>
        <w:trPr>
          <w:cantSplit/>
        </w:trPr>
        <w:tc>
          <w:tcPr>
            <w:tcW w:type="dxa" w:w="1008"/>
            <w:vAlign w:val="center"/>
          </w:tcPr>
          <w:p>
            <w:pPr>
              <w:pStyle w:val="TableText"/>
              <w:keepNext w:val="0"/>
              <w:jc w:val="center"/>
            </w:pPr>
            <w:r>
              <w:t>SAF04</w:t>
            </w:r>
          </w:p>
        </w:tc>
        <w:tc>
          <w:tcPr>
            <w:tcW w:type="dxa" w:w="2923"/>
            <w:vAlign w:val="center"/>
          </w:tcPr>
          <w:p>
            <w:pPr>
              <w:pStyle w:val="TableText"/>
              <w:keepNext w:val="0"/>
            </w:pPr>
            <w:r>
              <w:t>The system shall avoid protected-trait, emotion, accent and personality inferences.</w:t>
            </w:r>
          </w:p>
        </w:tc>
        <w:tc>
          <w:tcPr>
            <w:tcW w:type="dxa" w:w="2664"/>
            <w:vAlign w:val="center"/>
          </w:tcPr>
          <w:p>
            <w:pPr>
              <w:pStyle w:val="TableText"/>
              <w:keepNext w:val="0"/>
            </w:pPr>
            <w:r>
              <w:t>Review prompts and fixtures; such attributes do not enter recruitment scoring.</w:t>
            </w:r>
          </w:p>
        </w:tc>
        <w:tc>
          <w:tcPr>
            <w:tcW w:type="dxa" w:w="1685"/>
            <w:vAlign w:val="center"/>
          </w:tcPr>
          <w:p>
            <w:pPr>
              <w:pStyle w:val="TableText"/>
              <w:keepNext w:val="0"/>
            </w:pPr>
            <w:r>
              <w:t>Only job-related supplied evidence is assessed.</w:t>
            </w:r>
          </w:p>
        </w:tc>
        <w:tc>
          <w:tcPr>
            <w:tcW w:type="dxa" w:w="1080"/>
            <w:vAlign w:val="center"/>
          </w:tcPr>
          <w:p>
            <w:pPr>
              <w:pStyle w:val="TableText"/>
              <w:keepNext w:val="0"/>
              <w:jc w:val="center"/>
            </w:pPr>
            <w:r>
              <w:t>TCS04</w:t>
            </w:r>
          </w:p>
        </w:tc>
      </w:tr>
      <w:tr>
        <w:trPr>
          <w:cantSplit/>
        </w:trPr>
        <w:tc>
          <w:tcPr>
            <w:tcW w:type="dxa" w:w="1008"/>
            <w:vAlign w:val="center"/>
          </w:tcPr>
          <w:p>
            <w:pPr>
              <w:pStyle w:val="TableText"/>
              <w:keepNext w:val="0"/>
              <w:jc w:val="center"/>
            </w:pPr>
            <w:r>
              <w:t>SAF05</w:t>
            </w:r>
          </w:p>
        </w:tc>
        <w:tc>
          <w:tcPr>
            <w:tcW w:type="dxa" w:w="2923"/>
            <w:vAlign w:val="center"/>
          </w:tcPr>
          <w:p>
            <w:pPr>
              <w:pStyle w:val="TableText"/>
              <w:keepNext w:val="0"/>
            </w:pPr>
            <w:r>
              <w:t>The system shall make face verification optional and non-consequential.</w:t>
            </w:r>
          </w:p>
        </w:tc>
        <w:tc>
          <w:tcPr>
            <w:tcW w:type="dxa" w:w="2664"/>
            <w:vAlign w:val="center"/>
          </w:tcPr>
          <w:p>
            <w:pPr>
              <w:pStyle w:val="TableText"/>
              <w:keepNext w:val="0"/>
            </w:pPr>
            <w:r>
              <w:t>Declined, failed or inconclusive matching does not block admission or change a score.</w:t>
            </w:r>
          </w:p>
        </w:tc>
        <w:tc>
          <w:tcPr>
            <w:tcW w:type="dxa" w:w="1685"/>
            <w:vAlign w:val="center"/>
          </w:tcPr>
          <w:p>
            <w:pPr>
              <w:pStyle w:val="TableText"/>
              <w:keepNext w:val="0"/>
            </w:pPr>
            <w:r>
              <w:t>Not legal identity, liveness, cheating or continuous-monitoring verification.</w:t>
            </w:r>
          </w:p>
        </w:tc>
        <w:tc>
          <w:tcPr>
            <w:tcW w:type="dxa" w:w="1080"/>
            <w:vAlign w:val="center"/>
          </w:tcPr>
          <w:p>
            <w:pPr>
              <w:pStyle w:val="TableText"/>
              <w:keepNext w:val="0"/>
              <w:jc w:val="center"/>
            </w:pPr>
            <w:r>
              <w:t>TCS05</w:t>
            </w:r>
          </w:p>
        </w:tc>
      </w:tr>
    </w:tbl>
    <w:p>
      <w:pPr>
        <w:pStyle w:val="TableGap"/>
        <w:keepNext w:val="0"/>
      </w:pPr>
    </w:p>
    <w:p>
      <w:bookmarkStart w:id="37" w:name="SRS_37"/>
      <w:pPr>
        <w:pStyle w:val="Heading2"/>
      </w:pPr>
      <w:r>
        <w:t>5.3 Security Requirements</w:t>
      </w:r>
      <w:bookmarkEnd w:id="37"/>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851"/>
        <w:gridCol w:w="2592"/>
        <w:gridCol w:w="1685"/>
        <w:gridCol w:w="1224"/>
      </w:tblGrid>
      <w:tr>
        <w:trPr>
          <w:tblHeader/>
          <w:cantSplit/>
        </w:trPr>
        <w:tc>
          <w:tcPr>
            <w:tcW w:type="dxa" w:w="1008"/>
            <w:vAlign w:val="center"/>
            <w:shd w:fill="EEEEEE" w:val="clear"/>
          </w:tcPr>
          <w:p>
            <w:pPr>
              <w:pStyle w:val="TableText"/>
              <w:keepNext w:val="0"/>
              <w:jc w:val="center"/>
            </w:pPr>
            <w:r>
              <w:rPr>
                <w:b/>
              </w:rPr>
              <w:t>Req. ID</w:t>
            </w:r>
          </w:p>
        </w:tc>
        <w:tc>
          <w:tcPr>
            <w:tcW w:type="dxa" w:w="2851"/>
            <w:vAlign w:val="center"/>
            <w:shd w:fill="EEEEEE" w:val="clear"/>
          </w:tcPr>
          <w:p>
            <w:pPr>
              <w:pStyle w:val="TableText"/>
              <w:keepNext w:val="0"/>
            </w:pPr>
            <w:r>
              <w:rPr>
                <w:b/>
              </w:rPr>
              <w:t>Description</w:t>
            </w:r>
          </w:p>
        </w:tc>
        <w:tc>
          <w:tcPr>
            <w:tcW w:type="dxa" w:w="2592"/>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224"/>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SEC01</w:t>
            </w:r>
          </w:p>
        </w:tc>
        <w:tc>
          <w:tcPr>
            <w:tcW w:type="dxa" w:w="2851"/>
            <w:vAlign w:val="center"/>
          </w:tcPr>
          <w:p>
            <w:pPr>
              <w:pStyle w:val="TableText"/>
              <w:keepNext w:val="0"/>
            </w:pPr>
            <w:r>
              <w:t>The system shall enforce authenticated ownership on private business records and files.</w:t>
            </w:r>
          </w:p>
        </w:tc>
        <w:tc>
          <w:tcPr>
            <w:tcW w:type="dxa" w:w="2592"/>
            <w:vAlign w:val="center"/>
          </w:tcPr>
          <w:p>
            <w:pPr>
              <w:pStyle w:val="TableText"/>
              <w:keepNext w:val="0"/>
            </w:pPr>
            <w:r>
              <w:t>Cross-owner and candidate access tests fail closed for records, transcripts and exports.</w:t>
            </w:r>
          </w:p>
        </w:tc>
        <w:tc>
          <w:tcPr>
            <w:tcW w:type="dxa" w:w="1685"/>
            <w:vAlign w:val="center"/>
          </w:tcPr>
          <w:p>
            <w:pPr>
              <w:pStyle w:val="TableText"/>
              <w:keepNext w:val="0"/>
            </w:pPr>
            <w:r>
              <w:t>Every endpoint and tool must enforce scope.</w:t>
            </w:r>
          </w:p>
        </w:tc>
        <w:tc>
          <w:tcPr>
            <w:tcW w:type="dxa" w:w="1224"/>
            <w:vAlign w:val="center"/>
          </w:tcPr>
          <w:p>
            <w:pPr>
              <w:pStyle w:val="TableText"/>
              <w:keepNext w:val="0"/>
              <w:jc w:val="center"/>
            </w:pPr>
            <w:r>
              <w:t>TCSEC01</w:t>
            </w:r>
          </w:p>
        </w:tc>
      </w:tr>
      <w:tr>
        <w:trPr>
          <w:cantSplit/>
        </w:trPr>
        <w:tc>
          <w:tcPr>
            <w:tcW w:type="dxa" w:w="1008"/>
            <w:vAlign w:val="center"/>
          </w:tcPr>
          <w:p>
            <w:pPr>
              <w:pStyle w:val="TableText"/>
              <w:keepNext w:val="0"/>
              <w:jc w:val="center"/>
            </w:pPr>
            <w:r>
              <w:t>SEC02</w:t>
            </w:r>
          </w:p>
        </w:tc>
        <w:tc>
          <w:tcPr>
            <w:tcW w:type="dxa" w:w="2851"/>
            <w:vAlign w:val="center"/>
          </w:tcPr>
          <w:p>
            <w:pPr>
              <w:pStyle w:val="TableText"/>
              <w:keepNext w:val="0"/>
            </w:pPr>
            <w:r>
              <w:t>The system shall protect credentials, signing secrets and provider keys server-side.</w:t>
            </w:r>
          </w:p>
        </w:tc>
        <w:tc>
          <w:tcPr>
            <w:tcW w:type="dxa" w:w="2592"/>
            <w:vAlign w:val="center"/>
          </w:tcPr>
          <w:p>
            <w:pPr>
              <w:pStyle w:val="TableText"/>
              <w:keepNext w:val="0"/>
            </w:pPr>
            <w:r>
              <w:t>No secret appears in browser bundles, exported reports, repository fixtures or safe error messages.</w:t>
            </w:r>
          </w:p>
        </w:tc>
        <w:tc>
          <w:tcPr>
            <w:tcW w:type="dxa" w:w="1685"/>
            <w:vAlign w:val="center"/>
          </w:tcPr>
          <w:p>
            <w:pPr>
              <w:pStyle w:val="TableText"/>
              <w:keepNext w:val="0"/>
            </w:pPr>
            <w:r>
              <w:t>Operators provision and rotate credentials separately.</w:t>
            </w:r>
          </w:p>
        </w:tc>
        <w:tc>
          <w:tcPr>
            <w:tcW w:type="dxa" w:w="1224"/>
            <w:vAlign w:val="center"/>
          </w:tcPr>
          <w:p>
            <w:pPr>
              <w:pStyle w:val="TableText"/>
              <w:keepNext w:val="0"/>
              <w:jc w:val="center"/>
            </w:pPr>
            <w:r>
              <w:t>TCSEC02</w:t>
            </w:r>
          </w:p>
        </w:tc>
      </w:tr>
      <w:tr>
        <w:trPr>
          <w:cantSplit/>
        </w:trPr>
        <w:tc>
          <w:tcPr>
            <w:tcW w:type="dxa" w:w="1008"/>
            <w:vAlign w:val="center"/>
          </w:tcPr>
          <w:p>
            <w:pPr>
              <w:pStyle w:val="TableText"/>
              <w:keepNext w:val="0"/>
              <w:jc w:val="center"/>
            </w:pPr>
            <w:r>
              <w:t>SEC03</w:t>
            </w:r>
          </w:p>
        </w:tc>
        <w:tc>
          <w:tcPr>
            <w:tcW w:type="dxa" w:w="2851"/>
            <w:vAlign w:val="center"/>
          </w:tcPr>
          <w:p>
            <w:pPr>
              <w:pStyle w:val="TableText"/>
              <w:keepNext w:val="0"/>
            </w:pPr>
            <w:r>
              <w:t>The deployed service shall use HTTPS, restricted origins and appropriately secure session cookies.</w:t>
            </w:r>
          </w:p>
        </w:tc>
        <w:tc>
          <w:tcPr>
            <w:tcW w:type="dxa" w:w="2592"/>
            <w:vAlign w:val="center"/>
          </w:tcPr>
          <w:p>
            <w:pPr>
              <w:pStyle w:val="TableText"/>
              <w:keepNext w:val="0"/>
            </w:pPr>
            <w:r>
              <w:t>Inspect deployed headers/cookies; altered, expired and revoked sessions fail.</w:t>
            </w:r>
          </w:p>
        </w:tc>
        <w:tc>
          <w:tcPr>
            <w:tcW w:type="dxa" w:w="1685"/>
            <w:vAlign w:val="center"/>
          </w:tcPr>
          <w:p>
            <w:pPr>
              <w:pStyle w:val="TableText"/>
              <w:keepNext w:val="0"/>
            </w:pPr>
            <w:r>
              <w:t>Local development HTTP is not a production security profile.</w:t>
            </w:r>
          </w:p>
        </w:tc>
        <w:tc>
          <w:tcPr>
            <w:tcW w:type="dxa" w:w="1224"/>
            <w:vAlign w:val="center"/>
          </w:tcPr>
          <w:p>
            <w:pPr>
              <w:pStyle w:val="TableText"/>
              <w:keepNext w:val="0"/>
              <w:jc w:val="center"/>
            </w:pPr>
            <w:r>
              <w:t>TCSEC03</w:t>
            </w:r>
          </w:p>
        </w:tc>
      </w:tr>
      <w:tr>
        <w:trPr>
          <w:cantSplit/>
        </w:trPr>
        <w:tc>
          <w:tcPr>
            <w:tcW w:type="dxa" w:w="1008"/>
            <w:vAlign w:val="center"/>
          </w:tcPr>
          <w:p>
            <w:pPr>
              <w:pStyle w:val="TableText"/>
              <w:keepNext w:val="0"/>
              <w:jc w:val="center"/>
            </w:pPr>
            <w:r>
              <w:t>SEC04</w:t>
            </w:r>
          </w:p>
        </w:tc>
        <w:tc>
          <w:tcPr>
            <w:tcW w:type="dxa" w:w="2851"/>
            <w:vAlign w:val="center"/>
          </w:tcPr>
          <w:p>
            <w:pPr>
              <w:pStyle w:val="TableText"/>
              <w:keepNext w:val="0"/>
            </w:pPr>
            <w:r>
              <w:t>The system shall treat uploaded documents, transcripts and retrieved passages as untrusted data.</w:t>
            </w:r>
          </w:p>
        </w:tc>
        <w:tc>
          <w:tcPr>
            <w:tcW w:type="dxa" w:w="2592"/>
            <w:vAlign w:val="center"/>
          </w:tcPr>
          <w:p>
            <w:pPr>
              <w:pStyle w:val="TableText"/>
              <w:keepNext w:val="0"/>
            </w:pPr>
            <w:r>
              <w:t>Embedded instructions cannot authorize posting, invitations or privileged tool calls.</w:t>
            </w:r>
          </w:p>
        </w:tc>
        <w:tc>
          <w:tcPr>
            <w:tcW w:type="dxa" w:w="1685"/>
            <w:vAlign w:val="center"/>
          </w:tcPr>
          <w:p>
            <w:pPr>
              <w:pStyle w:val="TableText"/>
              <w:keepNext w:val="0"/>
            </w:pPr>
            <w:r>
              <w:t>Consequential operations require authentic human confirmation.</w:t>
            </w:r>
          </w:p>
        </w:tc>
        <w:tc>
          <w:tcPr>
            <w:tcW w:type="dxa" w:w="1224"/>
            <w:vAlign w:val="center"/>
          </w:tcPr>
          <w:p>
            <w:pPr>
              <w:pStyle w:val="TableText"/>
              <w:keepNext w:val="0"/>
              <w:jc w:val="center"/>
            </w:pPr>
            <w:r>
              <w:t>TCSEC04</w:t>
            </w:r>
          </w:p>
        </w:tc>
      </w:tr>
      <w:tr>
        <w:trPr>
          <w:cantSplit/>
        </w:trPr>
        <w:tc>
          <w:tcPr>
            <w:tcW w:type="dxa" w:w="1008"/>
            <w:vAlign w:val="center"/>
          </w:tcPr>
          <w:p>
            <w:pPr>
              <w:pStyle w:val="TableText"/>
              <w:keepNext w:val="0"/>
              <w:jc w:val="center"/>
            </w:pPr>
            <w:r>
              <w:t>SEC05</w:t>
            </w:r>
          </w:p>
        </w:tc>
        <w:tc>
          <w:tcPr>
            <w:tcW w:type="dxa" w:w="2851"/>
            <w:vAlign w:val="center"/>
          </w:tcPr>
          <w:p>
            <w:pPr>
              <w:pStyle w:val="TableText"/>
              <w:keepNext w:val="0"/>
            </w:pPr>
            <w:r>
              <w:t>The system shall bound file types, size, pages, images and generated output.</w:t>
            </w:r>
          </w:p>
        </w:tc>
        <w:tc>
          <w:tcPr>
            <w:tcW w:type="dxa" w:w="2592"/>
            <w:vAlign w:val="center"/>
          </w:tcPr>
          <w:p>
            <w:pPr>
              <w:pStyle w:val="TableText"/>
              <w:keepNext w:val="0"/>
            </w:pPr>
            <w:r>
              <w:t>Oversized or malformed inputs produce safe errors before expensive processing.</w:t>
            </w:r>
          </w:p>
        </w:tc>
        <w:tc>
          <w:tcPr>
            <w:tcW w:type="dxa" w:w="1685"/>
            <w:vAlign w:val="center"/>
          </w:tcPr>
          <w:p>
            <w:pPr>
              <w:pStyle w:val="TableText"/>
              <w:keepNext w:val="0"/>
            </w:pPr>
            <w:r>
              <w:t>Configured limits and supported MIME types apply.</w:t>
            </w:r>
          </w:p>
        </w:tc>
        <w:tc>
          <w:tcPr>
            <w:tcW w:type="dxa" w:w="1224"/>
            <w:vAlign w:val="center"/>
          </w:tcPr>
          <w:p>
            <w:pPr>
              <w:pStyle w:val="TableText"/>
              <w:keepNext w:val="0"/>
              <w:jc w:val="center"/>
            </w:pPr>
            <w:r>
              <w:t>TCSEC05</w:t>
            </w:r>
          </w:p>
        </w:tc>
      </w:tr>
      <w:tr>
        <w:trPr>
          <w:cantSplit/>
        </w:trPr>
        <w:tc>
          <w:tcPr>
            <w:tcW w:type="dxa" w:w="1008"/>
            <w:vAlign w:val="center"/>
          </w:tcPr>
          <w:p>
            <w:pPr>
              <w:pStyle w:val="TableText"/>
              <w:keepNext w:val="0"/>
              <w:jc w:val="center"/>
            </w:pPr>
            <w:r>
              <w:t>SEC06</w:t>
            </w:r>
          </w:p>
        </w:tc>
        <w:tc>
          <w:tcPr>
            <w:tcW w:type="dxa" w:w="2851"/>
            <w:vAlign w:val="center"/>
          </w:tcPr>
          <w:p>
            <w:pPr>
              <w:pStyle w:val="TableText"/>
              <w:keepNext w:val="0"/>
            </w:pPr>
            <w:r>
              <w:t>The system shall isolate internal callbacks, worker secrets and MCP services from public routes.</w:t>
            </w:r>
          </w:p>
        </w:tc>
        <w:tc>
          <w:tcPr>
            <w:tcW w:type="dxa" w:w="2592"/>
            <w:vAlign w:val="center"/>
          </w:tcPr>
          <w:p>
            <w:pPr>
              <w:pStyle w:val="TableText"/>
              <w:keepNext w:val="0"/>
            </w:pPr>
            <w:r>
              <w:t>Public proxy requests to internal callback paths fail; invalid worker secrets are rejected.</w:t>
            </w:r>
          </w:p>
        </w:tc>
        <w:tc>
          <w:tcPr>
            <w:tcW w:type="dxa" w:w="1685"/>
            <w:vAlign w:val="center"/>
          </w:tcPr>
          <w:p>
            <w:pPr>
              <w:pStyle w:val="TableText"/>
              <w:keepNext w:val="0"/>
            </w:pPr>
            <w:r>
              <w:t>Private service networking does not replace application authorization.</w:t>
            </w:r>
          </w:p>
        </w:tc>
        <w:tc>
          <w:tcPr>
            <w:tcW w:type="dxa" w:w="1224"/>
            <w:vAlign w:val="center"/>
          </w:tcPr>
          <w:p>
            <w:pPr>
              <w:pStyle w:val="TableText"/>
              <w:keepNext w:val="0"/>
              <w:jc w:val="center"/>
            </w:pPr>
            <w:r>
              <w:t>TCSEC06</w:t>
            </w:r>
          </w:p>
        </w:tc>
      </w:tr>
      <w:tr>
        <w:trPr>
          <w:cantSplit/>
        </w:trPr>
        <w:tc>
          <w:tcPr>
            <w:tcW w:type="dxa" w:w="1008"/>
            <w:vAlign w:val="center"/>
          </w:tcPr>
          <w:p>
            <w:pPr>
              <w:pStyle w:val="TableText"/>
              <w:keepNext w:val="0"/>
              <w:jc w:val="center"/>
            </w:pPr>
            <w:r>
              <w:t>SEC07</w:t>
            </w:r>
          </w:p>
        </w:tc>
        <w:tc>
          <w:tcPr>
            <w:tcW w:type="dxa" w:w="2851"/>
            <w:vAlign w:val="center"/>
          </w:tcPr>
          <w:p>
            <w:pPr>
              <w:pStyle w:val="TableText"/>
              <w:keepNext w:val="0"/>
            </w:pPr>
            <w:r>
              <w:t>The system shall encrypt biometric processing material and avoid retaining capture frames.</w:t>
            </w:r>
          </w:p>
        </w:tc>
        <w:tc>
          <w:tcPr>
            <w:tcW w:type="dxa" w:w="2592"/>
            <w:vAlign w:val="center"/>
          </w:tcPr>
          <w:p>
            <w:pPr>
              <w:pStyle w:val="TableText"/>
              <w:keepNext w:val="0"/>
            </w:pPr>
            <w:r>
              <w:t>Database inspection shows encrypted reference/template fields; temporary samples are discarded.</w:t>
            </w:r>
          </w:p>
        </w:tc>
        <w:tc>
          <w:tcPr>
            <w:tcW w:type="dxa" w:w="1685"/>
            <w:vAlign w:val="center"/>
          </w:tcPr>
          <w:p>
            <w:pPr>
              <w:pStyle w:val="TableText"/>
              <w:keepNext w:val="0"/>
            </w:pPr>
            <w:r>
              <w:t>Encryption-key loss requires controlled re-enrollment; backups remain sensitive.</w:t>
            </w:r>
          </w:p>
        </w:tc>
        <w:tc>
          <w:tcPr>
            <w:tcW w:type="dxa" w:w="1224"/>
            <w:vAlign w:val="center"/>
          </w:tcPr>
          <w:p>
            <w:pPr>
              <w:pStyle w:val="TableText"/>
              <w:keepNext w:val="0"/>
              <w:jc w:val="center"/>
            </w:pPr>
            <w:r>
              <w:t>TCSEC07</w:t>
            </w:r>
          </w:p>
        </w:tc>
      </w:tr>
      <w:tr>
        <w:trPr>
          <w:cantSplit/>
        </w:trPr>
        <w:tc>
          <w:tcPr>
            <w:tcW w:type="dxa" w:w="1008"/>
            <w:vAlign w:val="center"/>
          </w:tcPr>
          <w:p>
            <w:pPr>
              <w:pStyle w:val="TableText"/>
              <w:keepNext w:val="0"/>
              <w:jc w:val="center"/>
            </w:pPr>
            <w:r>
              <w:t>SEC08</w:t>
            </w:r>
          </w:p>
        </w:tc>
        <w:tc>
          <w:tcPr>
            <w:tcW w:type="dxa" w:w="2851"/>
            <w:vAlign w:val="center"/>
          </w:tcPr>
          <w:p>
            <w:pPr>
              <w:pStyle w:val="TableText"/>
              <w:keepNext w:val="0"/>
            </w:pPr>
            <w:r>
              <w:t>The system shall sanitize report content and minimize sensitive logging.</w:t>
            </w:r>
          </w:p>
        </w:tc>
        <w:tc>
          <w:tcPr>
            <w:tcW w:type="dxa" w:w="2592"/>
            <w:vAlign w:val="center"/>
          </w:tcPr>
          <w:p>
            <w:pPr>
              <w:pStyle w:val="TableText"/>
              <w:keepNext w:val="0"/>
            </w:pPr>
            <w:r>
              <w:t>Malicious report HTML cannot run script or fetch external URLs; logs omit candidate text and tokens.</w:t>
            </w:r>
          </w:p>
        </w:tc>
        <w:tc>
          <w:tcPr>
            <w:tcW w:type="dxa" w:w="1685"/>
            <w:vAlign w:val="center"/>
          </w:tcPr>
          <w:p>
            <w:pPr>
              <w:pStyle w:val="TableText"/>
              <w:keepNext w:val="0"/>
            </w:pPr>
            <w:r>
              <w:t>Diagnostic access is restricted to operators.</w:t>
            </w:r>
          </w:p>
        </w:tc>
        <w:tc>
          <w:tcPr>
            <w:tcW w:type="dxa" w:w="1224"/>
            <w:vAlign w:val="center"/>
          </w:tcPr>
          <w:p>
            <w:pPr>
              <w:pStyle w:val="TableText"/>
              <w:keepNext w:val="0"/>
              <w:jc w:val="center"/>
            </w:pPr>
            <w:r>
              <w:t>TCSEC08</w:t>
            </w:r>
          </w:p>
        </w:tc>
      </w:tr>
    </w:tbl>
    <w:p>
      <w:pPr>
        <w:pStyle w:val="TableGap"/>
        <w:keepNext w:val="0"/>
      </w:pPr>
    </w:p>
    <w:p>
      <w:bookmarkStart w:id="38" w:name="SRS_38"/>
      <w:pPr>
        <w:pStyle w:val="Heading1"/>
      </w:pPr>
      <w:r>
        <w:t>6 Design Constraints</w:t>
      </w:r>
      <w:bookmarkEnd w:id="38"/>
    </w:p>
    <w:p>
      <w:r>
        <w:t>These constraints preserve the current architecture and trusted boundaries. They do not require a rewrite into independent autonomous agents or replacement of existing integrations.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5112"/>
        <w:gridCol w:w="3240"/>
      </w:tblGrid>
      <w:tr>
        <w:trPr>
          <w:tblHeader/>
          <w:cantSplit/>
        </w:trPr>
        <w:tc>
          <w:tcPr>
            <w:tcW w:type="dxa" w:w="1008"/>
            <w:vAlign w:val="center"/>
            <w:shd w:fill="EEEEEE" w:val="clear"/>
          </w:tcPr>
          <w:p>
            <w:pPr>
              <w:pStyle w:val="TableText"/>
              <w:keepNext w:val="0"/>
              <w:jc w:val="center"/>
            </w:pPr>
            <w:r>
              <w:rPr>
                <w:b/>
              </w:rPr>
              <w:t>DC ID</w:t>
            </w:r>
          </w:p>
        </w:tc>
        <w:tc>
          <w:tcPr>
            <w:tcW w:type="dxa" w:w="5112"/>
            <w:vAlign w:val="center"/>
            <w:shd w:fill="EEEEEE" w:val="clear"/>
          </w:tcPr>
          <w:p>
            <w:pPr>
              <w:pStyle w:val="TableText"/>
              <w:keepNext w:val="0"/>
            </w:pPr>
            <w:r>
              <w:rPr>
                <w:b/>
              </w:rPr>
              <w:t>Design constraint</w:t>
            </w:r>
          </w:p>
        </w:tc>
        <w:tc>
          <w:tcPr>
            <w:tcW w:type="dxa" w:w="3240"/>
            <w:vAlign w:val="center"/>
            <w:shd w:fill="EEEEEE" w:val="clear"/>
          </w:tcPr>
          <w:p>
            <w:pPr>
              <w:pStyle w:val="TableText"/>
              <w:keepNext w:val="0"/>
            </w:pPr>
            <w:r>
              <w:rPr>
                <w:b/>
              </w:rPr>
              <w:t>Rationale / verification</w:t>
            </w:r>
          </w:p>
        </w:tc>
      </w:tr>
      <w:tr>
        <w:trPr>
          <w:cantSplit/>
        </w:trPr>
        <w:tc>
          <w:tcPr>
            <w:tcW w:type="dxa" w:w="1008"/>
            <w:vAlign w:val="center"/>
          </w:tcPr>
          <w:p>
            <w:pPr>
              <w:pStyle w:val="TableText"/>
              <w:keepNext w:val="0"/>
              <w:jc w:val="center"/>
            </w:pPr>
            <w:r>
              <w:t>DC01</w:t>
            </w:r>
          </w:p>
        </w:tc>
        <w:tc>
          <w:tcPr>
            <w:tcW w:type="dxa" w:w="5112"/>
            <w:vAlign w:val="center"/>
          </w:tcPr>
          <w:p>
            <w:pPr>
              <w:pStyle w:val="TableText"/>
              <w:keepNext w:val="0"/>
            </w:pPr>
            <w:r>
              <w:t>Keep a modular FastAPI backend with shared domain services; frontend actions, MCP delegates and assistant tools use the same authorization and state rules.</w:t>
            </w:r>
          </w:p>
        </w:tc>
        <w:tc>
          <w:tcPr>
            <w:tcW w:type="dxa" w:w="3240"/>
            <w:vAlign w:val="center"/>
          </w:tcPr>
          <w:p>
            <w:pPr>
              <w:pStyle w:val="TableText"/>
              <w:keepNext w:val="0"/>
            </w:pPr>
            <w:r>
              <w:t>Inspect routes, service boundaries and equivalent-flow tests.</w:t>
            </w:r>
          </w:p>
        </w:tc>
      </w:tr>
      <w:tr>
        <w:trPr>
          <w:cantSplit/>
        </w:trPr>
        <w:tc>
          <w:tcPr>
            <w:tcW w:type="dxa" w:w="1008"/>
            <w:vAlign w:val="center"/>
          </w:tcPr>
          <w:p>
            <w:pPr>
              <w:pStyle w:val="TableText"/>
              <w:keepNext w:val="0"/>
              <w:jc w:val="center"/>
            </w:pPr>
            <w:r>
              <w:t>DC02</w:t>
            </w:r>
          </w:p>
        </w:tc>
        <w:tc>
          <w:tcPr>
            <w:tcW w:type="dxa" w:w="5112"/>
            <w:vAlign w:val="center"/>
          </w:tcPr>
          <w:p>
            <w:pPr>
              <w:pStyle w:val="TableText"/>
              <w:keepNext w:val="0"/>
            </w:pPr>
            <w:r>
              <w:t>Use PostgreSQL/pgvector for supported deployment persistence, with Alembic migrations and private persistent storage.</w:t>
            </w:r>
          </w:p>
        </w:tc>
        <w:tc>
          <w:tcPr>
            <w:tcW w:type="dxa" w:w="3240"/>
            <w:vAlign w:val="center"/>
          </w:tcPr>
          <w:p>
            <w:pPr>
              <w:pStyle w:val="TableText"/>
              <w:keepNext w:val="0"/>
            </w:pPr>
            <w:r>
              <w:t>Preserve source relationships, 768-dimension vector compatibility and upgrades.</w:t>
            </w:r>
          </w:p>
        </w:tc>
      </w:tr>
      <w:tr>
        <w:trPr>
          <w:cantSplit/>
        </w:trPr>
        <w:tc>
          <w:tcPr>
            <w:tcW w:type="dxa" w:w="1008"/>
            <w:vAlign w:val="center"/>
          </w:tcPr>
          <w:p>
            <w:pPr>
              <w:pStyle w:val="TableText"/>
              <w:keepNext w:val="0"/>
              <w:jc w:val="center"/>
            </w:pPr>
            <w:r>
              <w:t>DC03</w:t>
            </w:r>
          </w:p>
        </w:tc>
        <w:tc>
          <w:tcPr>
            <w:tcW w:type="dxa" w:w="5112"/>
            <w:vAlign w:val="center"/>
          </w:tcPr>
          <w:p>
            <w:pPr>
              <w:pStyle w:val="TableText"/>
              <w:keepNext w:val="0"/>
            </w:pPr>
            <w:r>
              <w:t>Use containerized Ollama with nomic-embed-text, a one-shot initializer, pinned identity/dimension checks and persistent cache.</w:t>
            </w:r>
          </w:p>
        </w:tc>
        <w:tc>
          <w:tcPr>
            <w:tcW w:type="dxa" w:w="3240"/>
            <w:vAlign w:val="center"/>
          </w:tcPr>
          <w:p>
            <w:pPr>
              <w:pStyle w:val="TableText"/>
              <w:keepNext w:val="0"/>
            </w:pPr>
            <w:r>
              <w:t>Do not mix embeddings from incompatible models or require host Ollama in Docker mode.</w:t>
            </w:r>
          </w:p>
        </w:tc>
      </w:tr>
      <w:tr>
        <w:trPr>
          <w:cantSplit/>
        </w:trPr>
        <w:tc>
          <w:tcPr>
            <w:tcW w:type="dxa" w:w="1008"/>
            <w:vAlign w:val="center"/>
          </w:tcPr>
          <w:p>
            <w:pPr>
              <w:pStyle w:val="TableText"/>
              <w:keepNext w:val="0"/>
              <w:jc w:val="center"/>
            </w:pPr>
            <w:r>
              <w:t>DC04</w:t>
            </w:r>
          </w:p>
        </w:tc>
        <w:tc>
          <w:tcPr>
            <w:tcW w:type="dxa" w:w="5112"/>
            <w:vAlign w:val="center"/>
          </w:tcPr>
          <w:p>
            <w:pPr>
              <w:pStyle w:val="TableText"/>
              <w:keepNext w:val="0"/>
            </w:pPr>
            <w:r>
              <w:t>Use the seven graph definitions listed below; direct JD RAG remains a service.</w:t>
            </w:r>
          </w:p>
        </w:tc>
        <w:tc>
          <w:tcPr>
            <w:tcW w:type="dxa" w:w="3240"/>
            <w:vAlign w:val="center"/>
          </w:tcPr>
          <w:p>
            <w:pPr>
              <w:pStyle w:val="TableText"/>
              <w:keepNext w:val="0"/>
            </w:pPr>
            <w:r>
              <w:t>Retired requirement-discovery code is not a separate active workflow.</w:t>
            </w:r>
          </w:p>
        </w:tc>
      </w:tr>
      <w:tr>
        <w:trPr>
          <w:cantSplit/>
        </w:trPr>
        <w:tc>
          <w:tcPr>
            <w:tcW w:type="dxa" w:w="1008"/>
            <w:vAlign w:val="center"/>
          </w:tcPr>
          <w:p>
            <w:pPr>
              <w:pStyle w:val="TableText"/>
              <w:keepNext w:val="0"/>
              <w:jc w:val="center"/>
            </w:pPr>
            <w:r>
              <w:t>DC05</w:t>
            </w:r>
          </w:p>
        </w:tc>
        <w:tc>
          <w:tcPr>
            <w:tcW w:type="dxa" w:w="5112"/>
            <w:vAlign w:val="center"/>
          </w:tcPr>
          <w:p>
            <w:pPr>
              <w:pStyle w:val="TableText"/>
              <w:keepNext w:val="0"/>
            </w:pPr>
            <w:r>
              <w:t>Route confirmed publication through job-posting MCP and confirmed scheduling through interview MCP/backend services.</w:t>
            </w:r>
          </w:p>
        </w:tc>
        <w:tc>
          <w:tcPr>
            <w:tcW w:type="dxa" w:w="3240"/>
            <w:vAlign w:val="center"/>
          </w:tcPr>
          <w:p>
            <w:pPr>
              <w:pStyle w:val="TableText"/>
              <w:keepNext w:val="0"/>
            </w:pPr>
            <w:r>
              <w:t>MCP services do not own independent business databases.</w:t>
            </w:r>
          </w:p>
        </w:tc>
      </w:tr>
      <w:tr>
        <w:trPr>
          <w:cantSplit/>
        </w:trPr>
        <w:tc>
          <w:tcPr>
            <w:tcW w:type="dxa" w:w="1008"/>
            <w:vAlign w:val="center"/>
          </w:tcPr>
          <w:p>
            <w:pPr>
              <w:pStyle w:val="TableText"/>
              <w:keepNext w:val="0"/>
              <w:jc w:val="center"/>
            </w:pPr>
            <w:r>
              <w:t>DC06</w:t>
            </w:r>
          </w:p>
        </w:tc>
        <w:tc>
          <w:tcPr>
            <w:tcW w:type="dxa" w:w="5112"/>
            <w:vAlign w:val="center"/>
          </w:tcPr>
          <w:p>
            <w:pPr>
              <w:pStyle w:val="TableText"/>
              <w:keepNext w:val="0"/>
            </w:pPr>
            <w:r>
              <w:t>Keep WebRTC media browser-to-LiveKit and optional transcription in a separate authorized worker.</w:t>
            </w:r>
          </w:p>
        </w:tc>
        <w:tc>
          <w:tcPr>
            <w:tcW w:type="dxa" w:w="3240"/>
            <w:vAlign w:val="center"/>
          </w:tcPr>
          <w:p>
            <w:pPr>
              <w:pStyle w:val="TableText"/>
              <w:keepNext w:val="0"/>
            </w:pPr>
            <w:r>
              <w:t>No backend video proxy, no stored A/V recording and no media-over-website-tunnel assumption.</w:t>
            </w:r>
          </w:p>
        </w:tc>
      </w:tr>
      <w:tr>
        <w:trPr>
          <w:cantSplit/>
        </w:trPr>
        <w:tc>
          <w:tcPr>
            <w:tcW w:type="dxa" w:w="1008"/>
            <w:vAlign w:val="center"/>
          </w:tcPr>
          <w:p>
            <w:pPr>
              <w:pStyle w:val="TableText"/>
              <w:keepNext w:val="0"/>
              <w:jc w:val="center"/>
            </w:pPr>
            <w:r>
              <w:t>DC07</w:t>
            </w:r>
          </w:p>
        </w:tc>
        <w:tc>
          <w:tcPr>
            <w:tcW w:type="dxa" w:w="5112"/>
            <w:vAlign w:val="center"/>
          </w:tcPr>
          <w:p>
            <w:pPr>
              <w:pStyle w:val="TableText"/>
              <w:keepNext w:val="0"/>
            </w:pPr>
            <w:r>
              <w:t>Assess code as text with source evidence; never execute applicant code as part of this baseline.</w:t>
            </w:r>
          </w:p>
        </w:tc>
        <w:tc>
          <w:tcPr>
            <w:tcW w:type="dxa" w:w="3240"/>
            <w:vAlign w:val="center"/>
          </w:tcPr>
          <w:p>
            <w:pPr>
              <w:pStyle w:val="TableText"/>
              <w:keepNext w:val="0"/>
            </w:pPr>
            <w:r>
              <w:t>Avoid unsupported sandbox/security and functional-execution claims.</w:t>
            </w:r>
          </w:p>
        </w:tc>
      </w:tr>
      <w:tr>
        <w:trPr>
          <w:cantSplit/>
        </w:trPr>
        <w:tc>
          <w:tcPr>
            <w:tcW w:type="dxa" w:w="1008"/>
            <w:vAlign w:val="center"/>
          </w:tcPr>
          <w:p>
            <w:pPr>
              <w:pStyle w:val="TableText"/>
              <w:keepNext w:val="0"/>
              <w:jc w:val="center"/>
            </w:pPr>
            <w:r>
              <w:t>DC08</w:t>
            </w:r>
          </w:p>
        </w:tc>
        <w:tc>
          <w:tcPr>
            <w:tcW w:type="dxa" w:w="5112"/>
            <w:vAlign w:val="center"/>
          </w:tcPr>
          <w:p>
            <w:pPr>
              <w:pStyle w:val="TableText"/>
              <w:keepNext w:val="0"/>
            </w:pPr>
            <w:r>
              <w:t>Treat local identity inference as optional, versioned and application-specific.</w:t>
            </w:r>
          </w:p>
        </w:tc>
        <w:tc>
          <w:tcPr>
            <w:tcW w:type="dxa" w:w="3240"/>
            <w:vAlign w:val="center"/>
          </w:tcPr>
          <w:p>
            <w:pPr>
              <w:pStyle w:val="TableText"/>
              <w:keepNext w:val="0"/>
            </w:pPr>
            <w:r>
              <w:t>No global face search, legal-identity assertion or recruitment-score input.</w:t>
            </w:r>
          </w:p>
        </w:tc>
      </w:tr>
      <w:tr>
        <w:trPr>
          <w:cantSplit/>
        </w:trPr>
        <w:tc>
          <w:tcPr>
            <w:tcW w:type="dxa" w:w="1008"/>
            <w:vAlign w:val="center"/>
          </w:tcPr>
          <w:p>
            <w:pPr>
              <w:pStyle w:val="TableText"/>
              <w:keepNext w:val="0"/>
              <w:jc w:val="center"/>
            </w:pPr>
            <w:r>
              <w:t>DC09</w:t>
            </w:r>
          </w:p>
        </w:tc>
        <w:tc>
          <w:tcPr>
            <w:tcW w:type="dxa" w:w="5112"/>
            <w:vAlign w:val="center"/>
          </w:tcPr>
          <w:p>
            <w:pPr>
              <w:pStyle w:val="TableText"/>
              <w:keepNext w:val="0"/>
            </w:pPr>
            <w:r>
              <w:t>Keep all score arithmetic in application code after evidence validation.</w:t>
            </w:r>
          </w:p>
        </w:tc>
        <w:tc>
          <w:tcPr>
            <w:tcW w:type="dxa" w:w="3240"/>
            <w:vAlign w:val="center"/>
          </w:tcPr>
          <w:p>
            <w:pPr>
              <w:pStyle w:val="TableText"/>
              <w:keepNext w:val="0"/>
            </w:pPr>
            <w:r>
              <w:t>Generation proposes supported findings/marks; it cannot silently choose totals or final weights.</w:t>
            </w:r>
          </w:p>
        </w:tc>
      </w:tr>
      <w:tr>
        <w:trPr>
          <w:cantSplit/>
        </w:trPr>
        <w:tc>
          <w:tcPr>
            <w:tcW w:type="dxa" w:w="1008"/>
            <w:vAlign w:val="center"/>
          </w:tcPr>
          <w:p>
            <w:pPr>
              <w:pStyle w:val="TableText"/>
              <w:keepNext w:val="0"/>
              <w:jc w:val="center"/>
            </w:pPr>
            <w:r>
              <w:t>DC10</w:t>
            </w:r>
          </w:p>
        </w:tc>
        <w:tc>
          <w:tcPr>
            <w:tcW w:type="dxa" w:w="5112"/>
            <w:vAlign w:val="center"/>
          </w:tcPr>
          <w:p>
            <w:pPr>
              <w:pStyle w:val="TableText"/>
              <w:keepNext w:val="0"/>
            </w:pPr>
            <w:r>
              <w:t>Do not implement candidate signup, an external calendar API or a new asynchronous broker solely to satisfy this SRS.</w:t>
            </w:r>
          </w:p>
        </w:tc>
        <w:tc>
          <w:tcPr>
            <w:tcW w:type="dxa" w:w="3240"/>
            <w:vAlign w:val="center"/>
          </w:tcPr>
          <w:p>
            <w:pPr>
              <w:pStyle w:val="TableText"/>
              <w:keepNext w:val="0"/>
            </w:pPr>
            <w:r>
              <w:t>Those systems are outside the agreed current baseline.</w:t>
            </w:r>
          </w:p>
        </w:tc>
      </w:tr>
    </w:tbl>
    <w:p>
      <w:pPr>
        <w:pStyle w:val="TableGap"/>
        <w:keepNext w:val="0"/>
      </w:pP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3643"/>
        <w:gridCol w:w="5717"/>
      </w:tblGrid>
      <w:tr>
        <w:trPr>
          <w:tblHeader/>
          <w:cantSplit/>
        </w:trPr>
        <w:tc>
          <w:tcPr>
            <w:tcW w:type="dxa" w:w="3643"/>
            <w:vAlign w:val="center"/>
            <w:shd w:fill="EEEEEE" w:val="clear"/>
          </w:tcPr>
          <w:p>
            <w:pPr>
              <w:pStyle w:val="TableText"/>
              <w:keepNext w:val="0"/>
            </w:pPr>
            <w:r>
              <w:rPr>
                <w:b/>
              </w:rPr>
              <w:t>Active graph definition</w:t>
            </w:r>
          </w:p>
        </w:tc>
        <w:tc>
          <w:tcPr>
            <w:tcW w:type="dxa" w:w="5717"/>
            <w:vAlign w:val="center"/>
            <w:shd w:fill="EEEEEE" w:val="clear"/>
          </w:tcPr>
          <w:p>
            <w:pPr>
              <w:pStyle w:val="TableText"/>
              <w:keepNext w:val="0"/>
            </w:pPr>
            <w:r>
              <w:rPr>
                <w:b/>
              </w:rPr>
              <w:t>Purpose</w:t>
            </w:r>
          </w:p>
        </w:tc>
      </w:tr>
      <w:tr>
        <w:trPr>
          <w:cantSplit/>
        </w:trPr>
        <w:tc>
          <w:tcPr>
            <w:tcW w:type="dxa" w:w="3643"/>
            <w:vAlign w:val="center"/>
          </w:tcPr>
          <w:p>
            <w:pPr>
              <w:pStyle w:val="TableText"/>
              <w:keepNext w:val="0"/>
            </w:pPr>
            <w:r>
              <w:t>HireSenseSupervisorGraph</w:t>
            </w:r>
          </w:p>
        </w:tc>
        <w:tc>
          <w:tcPr>
            <w:tcW w:type="dxa" w:w="5717"/>
            <w:vAlign w:val="center"/>
          </w:tcPr>
          <w:p>
            <w:pPr>
              <w:pStyle w:val="TableText"/>
              <w:keepNext w:val="0"/>
            </w:pPr>
            <w:r>
              <w:t>Scoped central/private assistant routing, one allowed business tool and truthful result.</w:t>
            </w:r>
          </w:p>
        </w:tc>
      </w:tr>
      <w:tr>
        <w:trPr>
          <w:cantSplit/>
        </w:trPr>
        <w:tc>
          <w:tcPr>
            <w:tcW w:type="dxa" w:w="3643"/>
            <w:vAlign w:val="center"/>
          </w:tcPr>
          <w:p>
            <w:pPr>
              <w:pStyle w:val="TableText"/>
              <w:keepNext w:val="0"/>
            </w:pPr>
            <w:r>
              <w:t>JobPostingAssistantGraph</w:t>
            </w:r>
          </w:p>
        </w:tc>
        <w:tc>
          <w:tcPr>
            <w:tcW w:type="dxa" w:w="5717"/>
            <w:vAlign w:val="center"/>
          </w:tcPr>
          <w:p>
            <w:pPr>
              <w:pStyle w:val="TableText"/>
              <w:keepNext w:val="0"/>
            </w:pPr>
            <w:r>
              <w:t>Reviewed job-publication conversation and confirmed posting flow.</w:t>
            </w:r>
          </w:p>
        </w:tc>
      </w:tr>
      <w:tr>
        <w:trPr>
          <w:cantSplit/>
        </w:trPr>
        <w:tc>
          <w:tcPr>
            <w:tcW w:type="dxa" w:w="3643"/>
            <w:vAlign w:val="center"/>
          </w:tcPr>
          <w:p>
            <w:pPr>
              <w:pStyle w:val="TableText"/>
              <w:keepNext w:val="0"/>
            </w:pPr>
            <w:r>
              <w:t>ScreeningWorkflow</w:t>
            </w:r>
          </w:p>
        </w:tc>
        <w:tc>
          <w:tcPr>
            <w:tcW w:type="dxa" w:w="5717"/>
            <w:vAlign w:val="center"/>
          </w:tcPr>
          <w:p>
            <w:pPr>
              <w:pStyle w:val="TableText"/>
              <w:keepNext w:val="0"/>
            </w:pPr>
            <w:r>
              <w:t>CV extraction/OCR, requirement matching and source validation.</w:t>
            </w:r>
          </w:p>
        </w:tc>
      </w:tr>
      <w:tr>
        <w:trPr>
          <w:cantSplit/>
        </w:trPr>
        <w:tc>
          <w:tcPr>
            <w:tcW w:type="dxa" w:w="3643"/>
            <w:vAlign w:val="center"/>
          </w:tcPr>
          <w:p>
            <w:pPr>
              <w:pStyle w:val="TableText"/>
              <w:keepNext w:val="0"/>
            </w:pPr>
            <w:r>
              <w:t>CandidateScoringWorkflow</w:t>
            </w:r>
          </w:p>
        </w:tc>
        <w:tc>
          <w:tcPr>
            <w:tcW w:type="dxa" w:w="5717"/>
            <w:vAlign w:val="center"/>
          </w:tcPr>
          <w:p>
            <w:pPr>
              <w:pStyle w:val="TableText"/>
              <w:keepNext w:val="0"/>
            </w:pPr>
            <w:r>
              <w:t>Deterministic CV scoring and ranked assessment presentation.</w:t>
            </w:r>
          </w:p>
        </w:tc>
      </w:tr>
      <w:tr>
        <w:trPr>
          <w:cantSplit/>
        </w:trPr>
        <w:tc>
          <w:tcPr>
            <w:tcW w:type="dxa" w:w="3643"/>
            <w:vAlign w:val="center"/>
          </w:tcPr>
          <w:p>
            <w:pPr>
              <w:pStyle w:val="TableText"/>
              <w:keepNext w:val="0"/>
            </w:pPr>
            <w:r>
              <w:t>InterviewAnalysisGraph</w:t>
            </w:r>
          </w:p>
        </w:tc>
        <w:tc>
          <w:tcPr>
            <w:tcW w:type="dxa" w:w="5717"/>
            <w:vAlign w:val="center"/>
          </w:tcPr>
          <w:p>
            <w:pPr>
              <w:pStyle w:val="TableText"/>
              <w:keepNext w:val="0"/>
            </w:pPr>
            <w:r>
              <w:t>Question/answer detection, scoped assessment and evidence checks.</w:t>
            </w:r>
          </w:p>
        </w:tc>
      </w:tr>
      <w:tr>
        <w:trPr>
          <w:cantSplit/>
        </w:trPr>
        <w:tc>
          <w:tcPr>
            <w:tcW w:type="dxa" w:w="3643"/>
            <w:vAlign w:val="center"/>
          </w:tcPr>
          <w:p>
            <w:pPr>
              <w:pStyle w:val="TableText"/>
              <w:keepNext w:val="0"/>
            </w:pPr>
            <w:r>
              <w:t>ConsolidatedAssessmentGraph</w:t>
            </w:r>
          </w:p>
        </w:tc>
        <w:tc>
          <w:tcPr>
            <w:tcW w:type="dxa" w:w="5717"/>
            <w:vAlign w:val="center"/>
          </w:tcPr>
          <w:p>
            <w:pPr>
              <w:pStyle w:val="TableText"/>
              <w:keepNext w:val="0"/>
            </w:pPr>
            <w:r>
              <w:t>Combine compatible saved CV, interview and practical components.</w:t>
            </w:r>
          </w:p>
        </w:tc>
      </w:tr>
      <w:tr>
        <w:trPr>
          <w:cantSplit/>
        </w:trPr>
        <w:tc>
          <w:tcPr>
            <w:tcW w:type="dxa" w:w="3643"/>
            <w:vAlign w:val="center"/>
          </w:tcPr>
          <w:p>
            <w:pPr>
              <w:pStyle w:val="TableText"/>
              <w:keepNext w:val="0"/>
            </w:pPr>
            <w:r>
              <w:t>WorkSampleGraph</w:t>
            </w:r>
          </w:p>
        </w:tc>
        <w:tc>
          <w:tcPr>
            <w:tcW w:type="dxa" w:w="5717"/>
            <w:vAlign w:val="center"/>
          </w:tcPr>
          <w:p>
            <w:pPr>
              <w:pStyle w:val="TableText"/>
              <w:keepNext w:val="0"/>
            </w:pPr>
            <w:r>
              <w:t>Job-grounded practical-task suggestions and selected private draft.</w:t>
            </w:r>
          </w:p>
        </w:tc>
      </w:tr>
    </w:tbl>
    <w:p>
      <w:pPr>
        <w:pStyle w:val="TableGap"/>
        <w:keepNext w:val="0"/>
      </w:pPr>
    </w:p>
    <w:p>
      <w:r>
        <w:t>The private interview assistant is a restricted capability scope of the supervisor definition. Practical correctness/review services do not constitute an additional LangGraph definition. Separate graph names alone do not imply a fully autonomous multi-agent system.</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088"/>
        <w:gridCol w:w="7272"/>
      </w:tblGrid>
      <w:tr>
        <w:trPr>
          <w:tblHeader/>
          <w:cantSplit/>
        </w:trPr>
        <w:tc>
          <w:tcPr>
            <w:tcW w:type="dxa" w:w="2088"/>
            <w:vAlign w:val="center"/>
            <w:shd w:fill="EEEEEE" w:val="clear"/>
          </w:tcPr>
          <w:p>
            <w:pPr>
              <w:pStyle w:val="TableText"/>
              <w:keepNext w:val="0"/>
            </w:pPr>
            <w:r>
              <w:rPr>
                <w:b/>
              </w:rPr>
              <w:t>Tool scope</w:t>
            </w:r>
          </w:p>
        </w:tc>
        <w:tc>
          <w:tcPr>
            <w:tcW w:type="dxa" w:w="7272"/>
            <w:vAlign w:val="center"/>
            <w:shd w:fill="EEEEEE" w:val="clear"/>
          </w:tcPr>
          <w:p>
            <w:pPr>
              <w:pStyle w:val="TableText"/>
              <w:keepNext w:val="0"/>
            </w:pPr>
            <w:r>
              <w:rPr>
                <w:b/>
              </w:rPr>
              <w:t>Allowed business tools</w:t>
            </w:r>
          </w:p>
        </w:tc>
      </w:tr>
      <w:tr>
        <w:trPr>
          <w:cantSplit/>
        </w:trPr>
        <w:tc>
          <w:tcPr>
            <w:tcW w:type="dxa" w:w="2088"/>
            <w:vAlign w:val="center"/>
          </w:tcPr>
          <w:p>
            <w:pPr>
              <w:pStyle w:val="TableText"/>
              <w:keepNext w:val="0"/>
            </w:pPr>
            <w:r>
              <w:t>Central recruitment (9)</w:t>
            </w:r>
          </w:p>
        </w:tc>
        <w:tc>
          <w:tcPr>
            <w:tcW w:type="dxa" w:w="7272"/>
            <w:vAlign w:val="center"/>
          </w:tcPr>
          <w:p>
            <w:pPr>
              <w:pStyle w:val="TableText"/>
              <w:keepNext w:val="0"/>
            </w:pPr>
            <w:r>
              <w:t>generate_job_description; edit_job_description; approve_job_description; job_posting; sync_responses; screen_candidates; interviews; candidate_assessments; help.</w:t>
            </w:r>
          </w:p>
        </w:tc>
      </w:tr>
      <w:tr>
        <w:trPr>
          <w:cantSplit/>
        </w:trPr>
        <w:tc>
          <w:tcPr>
            <w:tcW w:type="dxa" w:w="2088"/>
            <w:vAlign w:val="center"/>
          </w:tcPr>
          <w:p>
            <w:pPr>
              <w:pStyle w:val="TableText"/>
              <w:keepNext w:val="0"/>
            </w:pPr>
            <w:r>
              <w:t>Private interview (4)</w:t>
            </w:r>
          </w:p>
        </w:tc>
        <w:tc>
          <w:tcPr>
            <w:tcW w:type="dxa" w:w="7272"/>
            <w:vAlign w:val="center"/>
          </w:tcPr>
          <w:p>
            <w:pPr>
              <w:pStyle w:val="TableText"/>
              <w:keepNext w:val="0"/>
            </w:pPr>
            <w:r>
              <w:t>suggest_interview_questions; interview_analysis; suggest_practical_tasks; help.</w:t>
            </w:r>
          </w:p>
        </w:tc>
      </w:tr>
    </w:tbl>
    <w:p>
      <w:pPr>
        <w:pStyle w:val="TableGap"/>
        <w:keepNext w:val="0"/>
      </w:pPr>
    </w:p>
    <w:p>
      <w:bookmarkStart w:id="39" w:name="SRS_39"/>
      <w:pPr>
        <w:pStyle w:val="Heading1"/>
      </w:pPr>
      <w:r>
        <w:t>7 Software Quality Attributes</w:t>
      </w:r>
      <w:bookmarkEnd w:id="39"/>
    </w:p>
    <w:p>
      <w:r>
        <w:t>Quality attributes apply to the complete workflow and are evaluated alongside feature-level acceptance. Test evidence must identify its environment, data and integration substitutions.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QUA01</w:t>
            </w:r>
          </w:p>
        </w:tc>
        <w:tc>
          <w:tcPr>
            <w:tcW w:type="dxa" w:w="2923"/>
            <w:vAlign w:val="center"/>
          </w:tcPr>
          <w:p>
            <w:pPr>
              <w:pStyle w:val="TableText"/>
              <w:keepNext w:val="0"/>
            </w:pPr>
            <w:r>
              <w:t>The system shall present concise, understandable recruitment results.</w:t>
            </w:r>
          </w:p>
        </w:tc>
        <w:tc>
          <w:tcPr>
            <w:tcW w:type="dxa" w:w="2664"/>
            <w:vAlign w:val="center"/>
          </w:tcPr>
          <w:p>
            <w:pPr>
              <w:pStyle w:val="TableText"/>
              <w:keepNext w:val="0"/>
            </w:pPr>
            <w:r>
              <w:t>A reviewer can identify score, status and next action without expanding detailed evidence.</w:t>
            </w:r>
          </w:p>
        </w:tc>
        <w:tc>
          <w:tcPr>
            <w:tcW w:type="dxa" w:w="1685"/>
            <w:vAlign w:val="center"/>
          </w:tcPr>
          <w:p>
            <w:pPr>
              <w:pStyle w:val="TableText"/>
              <w:keepNext w:val="0"/>
            </w:pPr>
            <w:r>
              <w:t>Evidence remains available on demand.</w:t>
            </w:r>
          </w:p>
        </w:tc>
        <w:tc>
          <w:tcPr>
            <w:tcW w:type="dxa" w:w="1080"/>
            <w:vAlign w:val="center"/>
          </w:tcPr>
          <w:p>
            <w:pPr>
              <w:pStyle w:val="TableText"/>
              <w:keepNext w:val="0"/>
              <w:jc w:val="center"/>
            </w:pPr>
            <w:r>
              <w:t>TCQ01</w:t>
            </w:r>
          </w:p>
        </w:tc>
      </w:tr>
      <w:tr>
        <w:trPr>
          <w:cantSplit/>
        </w:trPr>
        <w:tc>
          <w:tcPr>
            <w:tcW w:type="dxa" w:w="1008"/>
            <w:vAlign w:val="center"/>
          </w:tcPr>
          <w:p>
            <w:pPr>
              <w:pStyle w:val="TableText"/>
              <w:keepNext w:val="0"/>
              <w:jc w:val="center"/>
            </w:pPr>
            <w:r>
              <w:t>QUA02</w:t>
            </w:r>
          </w:p>
        </w:tc>
        <w:tc>
          <w:tcPr>
            <w:tcW w:type="dxa" w:w="2923"/>
            <w:vAlign w:val="center"/>
          </w:tcPr>
          <w:p>
            <w:pPr>
              <w:pStyle w:val="TableText"/>
              <w:keepNext w:val="0"/>
            </w:pPr>
            <w:r>
              <w:t>The system shall support keyboard-operated controls and non-color status cues.</w:t>
            </w:r>
          </w:p>
        </w:tc>
        <w:tc>
          <w:tcPr>
            <w:tcW w:type="dxa" w:w="2664"/>
            <w:vAlign w:val="center"/>
          </w:tcPr>
          <w:p>
            <w:pPr>
              <w:pStyle w:val="TableText"/>
              <w:keepNext w:val="0"/>
            </w:pPr>
            <w:r>
              <w:t>Exercise tab order, focus visibility, button names, field labels and validation with a keyboard.</w:t>
            </w:r>
          </w:p>
        </w:tc>
        <w:tc>
          <w:tcPr>
            <w:tcW w:type="dxa" w:w="1685"/>
            <w:vAlign w:val="center"/>
          </w:tcPr>
          <w:p>
            <w:pPr>
              <w:pStyle w:val="TableText"/>
              <w:keepNext w:val="0"/>
            </w:pPr>
            <w:r>
              <w:t>Use accessible patterns; no unverified compliance certification is claimed.</w:t>
            </w:r>
          </w:p>
        </w:tc>
        <w:tc>
          <w:tcPr>
            <w:tcW w:type="dxa" w:w="1080"/>
            <w:vAlign w:val="center"/>
          </w:tcPr>
          <w:p>
            <w:pPr>
              <w:pStyle w:val="TableText"/>
              <w:keepNext w:val="0"/>
              <w:jc w:val="center"/>
            </w:pPr>
            <w:r>
              <w:t>TCQ02</w:t>
            </w:r>
          </w:p>
        </w:tc>
      </w:tr>
      <w:tr>
        <w:trPr>
          <w:cantSplit/>
        </w:trPr>
        <w:tc>
          <w:tcPr>
            <w:tcW w:type="dxa" w:w="1008"/>
            <w:vAlign w:val="center"/>
          </w:tcPr>
          <w:p>
            <w:pPr>
              <w:pStyle w:val="TableText"/>
              <w:keepNext w:val="0"/>
              <w:jc w:val="center"/>
            </w:pPr>
            <w:r>
              <w:t>QUA03</w:t>
            </w:r>
          </w:p>
        </w:tc>
        <w:tc>
          <w:tcPr>
            <w:tcW w:type="dxa" w:w="2923"/>
            <w:vAlign w:val="center"/>
          </w:tcPr>
          <w:p>
            <w:pPr>
              <w:pStyle w:val="TableText"/>
              <w:keepNext w:val="0"/>
            </w:pPr>
            <w:r>
              <w:t>The system shall preserve exact deterministic totals once evidence and policy are fixed.</w:t>
            </w:r>
          </w:p>
        </w:tc>
        <w:tc>
          <w:tcPr>
            <w:tcW w:type="dxa" w:w="2664"/>
            <w:vAlign w:val="center"/>
          </w:tcPr>
          <w:p>
            <w:pPr>
              <w:pStyle w:val="TableText"/>
              <w:keepNext w:val="0"/>
            </w:pPr>
            <w:r>
              <w:t>Repeated arithmetic on the same validated inputs yields identical totals, ties and ranks.</w:t>
            </w:r>
          </w:p>
        </w:tc>
        <w:tc>
          <w:tcPr>
            <w:tcW w:type="dxa" w:w="1685"/>
            <w:vAlign w:val="center"/>
          </w:tcPr>
          <w:p>
            <w:pPr>
              <w:pStyle w:val="TableText"/>
              <w:keepNext w:val="0"/>
            </w:pPr>
            <w:r>
              <w:t>New LLM assessments may vary; reuse compatible accepted runs.</w:t>
            </w:r>
          </w:p>
        </w:tc>
        <w:tc>
          <w:tcPr>
            <w:tcW w:type="dxa" w:w="1080"/>
            <w:vAlign w:val="center"/>
          </w:tcPr>
          <w:p>
            <w:pPr>
              <w:pStyle w:val="TableText"/>
              <w:keepNext w:val="0"/>
              <w:jc w:val="center"/>
            </w:pPr>
            <w:r>
              <w:t>TCQ03</w:t>
            </w:r>
          </w:p>
        </w:tc>
      </w:tr>
      <w:tr>
        <w:trPr>
          <w:cantSplit/>
        </w:trPr>
        <w:tc>
          <w:tcPr>
            <w:tcW w:type="dxa" w:w="1008"/>
            <w:vAlign w:val="center"/>
          </w:tcPr>
          <w:p>
            <w:pPr>
              <w:pStyle w:val="TableText"/>
              <w:keepNext w:val="0"/>
              <w:jc w:val="center"/>
            </w:pPr>
            <w:r>
              <w:t>QUA04</w:t>
            </w:r>
          </w:p>
        </w:tc>
        <w:tc>
          <w:tcPr>
            <w:tcW w:type="dxa" w:w="2923"/>
            <w:vAlign w:val="center"/>
          </w:tcPr>
          <w:p>
            <w:pPr>
              <w:pStyle w:val="TableText"/>
              <w:keepNext w:val="0"/>
            </w:pPr>
            <w:r>
              <w:t>The system shall maintain shared business logic across UI and assistant entry points.</w:t>
            </w:r>
          </w:p>
        </w:tc>
        <w:tc>
          <w:tcPr>
            <w:tcW w:type="dxa" w:w="2664"/>
            <w:vAlign w:val="center"/>
          </w:tcPr>
          <w:p>
            <w:pPr>
              <w:pStyle w:val="TableText"/>
              <w:keepNext w:val="0"/>
            </w:pPr>
            <w:r>
              <w:t>Equivalent authorized requests follow the same selection, preview, approval and state rules.</w:t>
            </w:r>
          </w:p>
        </w:tc>
        <w:tc>
          <w:tcPr>
            <w:tcW w:type="dxa" w:w="1685"/>
            <w:vAlign w:val="center"/>
          </w:tcPr>
          <w:p>
            <w:pPr>
              <w:pStyle w:val="TableText"/>
              <w:keepNext w:val="0"/>
            </w:pPr>
            <w:r>
              <w:t>Avoid separate scoring or scheduling logic inside chat routes.</w:t>
            </w:r>
          </w:p>
        </w:tc>
        <w:tc>
          <w:tcPr>
            <w:tcW w:type="dxa" w:w="1080"/>
            <w:vAlign w:val="center"/>
          </w:tcPr>
          <w:p>
            <w:pPr>
              <w:pStyle w:val="TableText"/>
              <w:keepNext w:val="0"/>
              <w:jc w:val="center"/>
            </w:pPr>
            <w:r>
              <w:t>TCQ04</w:t>
            </w:r>
          </w:p>
        </w:tc>
      </w:tr>
      <w:tr>
        <w:trPr>
          <w:cantSplit/>
        </w:trPr>
        <w:tc>
          <w:tcPr>
            <w:tcW w:type="dxa" w:w="1008"/>
            <w:vAlign w:val="center"/>
          </w:tcPr>
          <w:p>
            <w:pPr>
              <w:pStyle w:val="TableText"/>
              <w:keepNext w:val="0"/>
              <w:jc w:val="center"/>
            </w:pPr>
            <w:r>
              <w:t>QUA05</w:t>
            </w:r>
          </w:p>
        </w:tc>
        <w:tc>
          <w:tcPr>
            <w:tcW w:type="dxa" w:w="2923"/>
            <w:vAlign w:val="center"/>
          </w:tcPr>
          <w:p>
            <w:pPr>
              <w:pStyle w:val="TableText"/>
              <w:keepNext w:val="0"/>
            </w:pPr>
            <w:r>
              <w:t>The system shall support repeatable automated verification with isolated external services.</w:t>
            </w:r>
          </w:p>
        </w:tc>
        <w:tc>
          <w:tcPr>
            <w:tcW w:type="dxa" w:w="2664"/>
            <w:vAlign w:val="center"/>
          </w:tcPr>
          <w:p>
            <w:pPr>
              <w:pStyle w:val="TableText"/>
              <w:keepNext w:val="0"/>
            </w:pPr>
            <w:r>
              <w:t>Default tests use doubles/fixtures; provider integration tests require explicit opt-in.</w:t>
            </w:r>
          </w:p>
        </w:tc>
        <w:tc>
          <w:tcPr>
            <w:tcW w:type="dxa" w:w="1685"/>
            <w:vAlign w:val="center"/>
          </w:tcPr>
          <w:p>
            <w:pPr>
              <w:pStyle w:val="TableText"/>
              <w:keepNext w:val="0"/>
            </w:pPr>
            <w:r>
              <w:t>A test mapping in this SRS is not evidence of a passed test run.</w:t>
            </w:r>
          </w:p>
        </w:tc>
        <w:tc>
          <w:tcPr>
            <w:tcW w:type="dxa" w:w="1080"/>
            <w:vAlign w:val="center"/>
          </w:tcPr>
          <w:p>
            <w:pPr>
              <w:pStyle w:val="TableText"/>
              <w:keepNext w:val="0"/>
              <w:jc w:val="center"/>
            </w:pPr>
            <w:r>
              <w:t>TCQ05</w:t>
            </w:r>
          </w:p>
        </w:tc>
      </w:tr>
      <w:tr>
        <w:trPr>
          <w:cantSplit/>
        </w:trPr>
        <w:tc>
          <w:tcPr>
            <w:tcW w:type="dxa" w:w="1008"/>
            <w:vAlign w:val="center"/>
          </w:tcPr>
          <w:p>
            <w:pPr>
              <w:pStyle w:val="TableText"/>
              <w:keepNext w:val="0"/>
              <w:jc w:val="center"/>
            </w:pPr>
            <w:r>
              <w:t>QUA06</w:t>
            </w:r>
          </w:p>
        </w:tc>
        <w:tc>
          <w:tcPr>
            <w:tcW w:type="dxa" w:w="2923"/>
            <w:vAlign w:val="center"/>
          </w:tcPr>
          <w:p>
            <w:pPr>
              <w:pStyle w:val="TableText"/>
              <w:keepNext w:val="0"/>
            </w:pPr>
            <w:r>
              <w:t>The system shall package its local dependencies and preserve persistent state across recreation.</w:t>
            </w:r>
          </w:p>
        </w:tc>
        <w:tc>
          <w:tcPr>
            <w:tcW w:type="dxa" w:w="2664"/>
            <w:vAlign w:val="center"/>
          </w:tcPr>
          <w:p>
            <w:pPr>
              <w:pStyle w:val="TableText"/>
              <w:keepNext w:val="0"/>
            </w:pPr>
            <w:r>
              <w:t>A configured Docker deployment reuses PostgreSQL, storage and the downloaded embedding model.</w:t>
            </w:r>
          </w:p>
        </w:tc>
        <w:tc>
          <w:tcPr>
            <w:tcW w:type="dxa" w:w="1685"/>
            <w:vAlign w:val="center"/>
          </w:tcPr>
          <w:p>
            <w:pPr>
              <w:pStyle w:val="TableText"/>
              <w:keepNext w:val="0"/>
            </w:pPr>
            <w:r>
              <w:t>External credentials, connectivity and suitable resources remain required.</w:t>
            </w:r>
          </w:p>
        </w:tc>
        <w:tc>
          <w:tcPr>
            <w:tcW w:type="dxa" w:w="1080"/>
            <w:vAlign w:val="center"/>
          </w:tcPr>
          <w:p>
            <w:pPr>
              <w:pStyle w:val="TableText"/>
              <w:keepNext w:val="0"/>
              <w:jc w:val="center"/>
            </w:pPr>
            <w:r>
              <w:t>TCQ06</w:t>
            </w:r>
          </w:p>
        </w:tc>
      </w:tr>
      <w:tr>
        <w:trPr>
          <w:cantSplit/>
        </w:trPr>
        <w:tc>
          <w:tcPr>
            <w:tcW w:type="dxa" w:w="1008"/>
            <w:vAlign w:val="center"/>
          </w:tcPr>
          <w:p>
            <w:pPr>
              <w:pStyle w:val="TableText"/>
              <w:keepNext w:val="0"/>
              <w:jc w:val="center"/>
            </w:pPr>
            <w:r>
              <w:t>QUA07</w:t>
            </w:r>
          </w:p>
        </w:tc>
        <w:tc>
          <w:tcPr>
            <w:tcW w:type="dxa" w:w="2923"/>
            <w:vAlign w:val="center"/>
          </w:tcPr>
          <w:p>
            <w:pPr>
              <w:pStyle w:val="TableText"/>
              <w:keepNext w:val="0"/>
            </w:pPr>
            <w:r>
              <w:t>The system shall preserve versioned auditability of generated and reviewed artifacts.</w:t>
            </w:r>
          </w:p>
        </w:tc>
        <w:tc>
          <w:tcPr>
            <w:tcW w:type="dxa" w:w="2664"/>
            <w:vAlign w:val="center"/>
          </w:tcPr>
          <w:p>
            <w:pPr>
              <w:pStyle w:val="TableText"/>
              <w:keepNext w:val="0"/>
            </w:pPr>
            <w:r>
              <w:t>A result resolves to its source hashes, policy/model version and relevant approval state.</w:t>
            </w:r>
          </w:p>
        </w:tc>
        <w:tc>
          <w:tcPr>
            <w:tcW w:type="dxa" w:w="1685"/>
            <w:vAlign w:val="center"/>
          </w:tcPr>
          <w:p>
            <w:pPr>
              <w:pStyle w:val="TableText"/>
              <w:keepNext w:val="0"/>
            </w:pPr>
            <w:r>
              <w:t>Historical output may be retained but cannot masquerade as current.</w:t>
            </w:r>
          </w:p>
        </w:tc>
        <w:tc>
          <w:tcPr>
            <w:tcW w:type="dxa" w:w="1080"/>
            <w:vAlign w:val="center"/>
          </w:tcPr>
          <w:p>
            <w:pPr>
              <w:pStyle w:val="TableText"/>
              <w:keepNext w:val="0"/>
              <w:jc w:val="center"/>
            </w:pPr>
            <w:r>
              <w:t>TCQ07</w:t>
            </w:r>
          </w:p>
        </w:tc>
      </w:tr>
    </w:tbl>
    <w:p>
      <w:pPr>
        <w:pStyle w:val="TableGap"/>
        <w:keepNext w:val="0"/>
      </w:pPr>
    </w:p>
    <w:p>
      <w:bookmarkStart w:id="40" w:name="SRS_40"/>
      <w:pPr>
        <w:pStyle w:val="Heading1"/>
      </w:pPr>
      <w:r>
        <w:t>8 User Interface</w:t>
      </w:r>
      <w:bookmarkEnd w:id="40"/>
    </w:p>
    <w:p>
      <w:r>
        <w:t>Interaction and navigation requirements complement the screen inventory in Section 4. Result-reveal behavior should help users see what an explicit action produced while preserving focus during passive updates.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64"/>
        <w:gridCol w:w="1397"/>
        <w:gridCol w:w="1627"/>
        <w:gridCol w:w="2909"/>
        <w:gridCol w:w="1483"/>
        <w:gridCol w:w="1080"/>
      </w:tblGrid>
      <w:tr>
        <w:trPr>
          <w:tblHeader/>
          <w:cantSplit/>
        </w:trPr>
        <w:tc>
          <w:tcPr>
            <w:tcW w:type="dxa" w:w="864"/>
            <w:vAlign w:val="center"/>
            <w:shd w:fill="EEEEEE" w:val="clear"/>
          </w:tcPr>
          <w:p>
            <w:pPr>
              <w:pStyle w:val="TableText"/>
              <w:keepNext w:val="0"/>
              <w:jc w:val="center"/>
            </w:pPr>
            <w:r>
              <w:rPr>
                <w:b/>
              </w:rPr>
              <w:t>UI No</w:t>
            </w:r>
          </w:p>
        </w:tc>
        <w:tc>
          <w:tcPr>
            <w:tcW w:type="dxa" w:w="1397"/>
            <w:vAlign w:val="center"/>
            <w:shd w:fill="EEEEEE" w:val="clear"/>
          </w:tcPr>
          <w:p>
            <w:pPr>
              <w:pStyle w:val="TableText"/>
              <w:keepNext w:val="0"/>
            </w:pPr>
            <w:r>
              <w:rPr>
                <w:b/>
              </w:rPr>
              <w:t>UI name</w:t>
            </w:r>
          </w:p>
        </w:tc>
        <w:tc>
          <w:tcPr>
            <w:tcW w:type="dxa" w:w="1627"/>
            <w:vAlign w:val="center"/>
            <w:shd w:fill="EEEEEE" w:val="clear"/>
          </w:tcPr>
          <w:p>
            <w:pPr>
              <w:pStyle w:val="TableText"/>
              <w:keepNext w:val="0"/>
            </w:pPr>
            <w:r>
              <w:rPr>
                <w:b/>
              </w:rPr>
              <w:t>Related FR</w:t>
            </w:r>
          </w:p>
        </w:tc>
        <w:tc>
          <w:tcPr>
            <w:tcW w:type="dxa" w:w="2909"/>
            <w:vAlign w:val="center"/>
            <w:shd w:fill="EEEEEE" w:val="clear"/>
          </w:tcPr>
          <w:p>
            <w:pPr>
              <w:pStyle w:val="TableText"/>
              <w:keepNext w:val="0"/>
            </w:pPr>
            <w:r>
              <w:rPr>
                <w:b/>
              </w:rPr>
              <w:t>Description</w:t>
            </w:r>
          </w:p>
        </w:tc>
        <w:tc>
          <w:tcPr>
            <w:tcW w:type="dxa" w:w="1483"/>
            <w:vAlign w:val="center"/>
            <w:shd w:fill="EEEEEE" w:val="clear"/>
          </w:tcPr>
          <w:p>
            <w:pPr>
              <w:pStyle w:val="TableText"/>
              <w:keepNext w:val="0"/>
            </w:pPr>
            <w:r>
              <w:rPr>
                <w:b/>
              </w:rPr>
              <w:t>Notes</w:t>
            </w:r>
          </w:p>
        </w:tc>
        <w:tc>
          <w:tcPr>
            <w:tcW w:type="dxa" w:w="1080"/>
            <w:vAlign w:val="center"/>
            <w:shd w:fill="EEEEEE" w:val="clear"/>
          </w:tcPr>
          <w:p>
            <w:pPr>
              <w:pStyle w:val="TableText"/>
              <w:keepNext w:val="0"/>
              <w:jc w:val="center"/>
            </w:pPr>
            <w:r>
              <w:rPr>
                <w:b/>
              </w:rPr>
              <w:t>Test case ID</w:t>
            </w:r>
          </w:p>
        </w:tc>
      </w:tr>
      <w:tr>
        <w:trPr>
          <w:cantSplit/>
        </w:trPr>
        <w:tc>
          <w:tcPr>
            <w:tcW w:type="dxa" w:w="864"/>
            <w:vAlign w:val="center"/>
          </w:tcPr>
          <w:p>
            <w:pPr>
              <w:pStyle w:val="TableText"/>
              <w:keepNext w:val="0"/>
              <w:jc w:val="center"/>
            </w:pPr>
            <w:r>
              <w:t>UX01</w:t>
            </w:r>
          </w:p>
        </w:tc>
        <w:tc>
          <w:tcPr>
            <w:tcW w:type="dxa" w:w="1397"/>
            <w:vAlign w:val="center"/>
          </w:tcPr>
          <w:p>
            <w:pPr>
              <w:pStyle w:val="TableText"/>
              <w:keepNext w:val="0"/>
            </w:pPr>
            <w:r>
              <w:t>Action-result reveal</w:t>
            </w:r>
          </w:p>
        </w:tc>
        <w:tc>
          <w:tcPr>
            <w:tcW w:type="dxa" w:w="1627"/>
            <w:vAlign w:val="center"/>
          </w:tcPr>
          <w:p>
            <w:pPr>
              <w:pStyle w:val="TableText"/>
              <w:keepNext w:val="0"/>
            </w:pPr>
            <w:r>
              <w:t>FR17.02</w:t>
            </w:r>
          </w:p>
        </w:tc>
        <w:tc>
          <w:tcPr>
            <w:tcW w:type="dxa" w:w="2909"/>
            <w:vAlign w:val="center"/>
          </w:tcPr>
          <w:p>
            <w:pPr>
              <w:pStyle w:val="TableText"/>
              <w:keepNext w:val="0"/>
            </w:pPr>
            <w:r>
              <w:t>After an explicit action, navigate to the owning page/tab and scroll the produced section into view.</w:t>
            </w:r>
          </w:p>
        </w:tc>
        <w:tc>
          <w:tcPr>
            <w:tcW w:type="dxa" w:w="1483"/>
            <w:vAlign w:val="center"/>
          </w:tcPr>
          <w:p>
            <w:pPr>
              <w:pStyle w:val="TableText"/>
              <w:keepNext w:val="0"/>
            </w:pPr>
            <w:r>
              <w:t>Respect reduced motion and sticky-header clearance.</w:t>
            </w:r>
          </w:p>
        </w:tc>
        <w:tc>
          <w:tcPr>
            <w:tcW w:type="dxa" w:w="1080"/>
            <w:vAlign w:val="center"/>
          </w:tcPr>
          <w:p>
            <w:pPr>
              <w:pStyle w:val="TableText"/>
              <w:keepNext w:val="0"/>
              <w:jc w:val="center"/>
            </w:pPr>
            <w:r>
              <w:t>TCUX01</w:t>
            </w:r>
          </w:p>
        </w:tc>
      </w:tr>
      <w:tr>
        <w:trPr>
          <w:cantSplit/>
        </w:trPr>
        <w:tc>
          <w:tcPr>
            <w:tcW w:type="dxa" w:w="864"/>
            <w:vAlign w:val="center"/>
          </w:tcPr>
          <w:p>
            <w:pPr>
              <w:pStyle w:val="TableText"/>
              <w:keepNext w:val="0"/>
              <w:jc w:val="center"/>
            </w:pPr>
            <w:r>
              <w:t>UX02</w:t>
            </w:r>
          </w:p>
        </w:tc>
        <w:tc>
          <w:tcPr>
            <w:tcW w:type="dxa" w:w="1397"/>
            <w:vAlign w:val="center"/>
          </w:tcPr>
          <w:p>
            <w:pPr>
              <w:pStyle w:val="TableText"/>
              <w:keepNext w:val="0"/>
            </w:pPr>
            <w:r>
              <w:t>Stable background updates</w:t>
            </w:r>
          </w:p>
        </w:tc>
        <w:tc>
          <w:tcPr>
            <w:tcW w:type="dxa" w:w="1627"/>
            <w:vAlign w:val="center"/>
          </w:tcPr>
          <w:p>
            <w:pPr>
              <w:pStyle w:val="TableText"/>
              <w:keepNext w:val="0"/>
            </w:pPr>
            <w:r>
              <w:t>FR17.02 to FR17.03</w:t>
            </w:r>
          </w:p>
        </w:tc>
        <w:tc>
          <w:tcPr>
            <w:tcW w:type="dxa" w:w="2909"/>
            <w:vAlign w:val="center"/>
          </w:tcPr>
          <w:p>
            <w:pPr>
              <w:pStyle w:val="TableText"/>
              <w:keepNext w:val="0"/>
            </w:pPr>
            <w:r>
              <w:t>Polling refreshes status without repeated scrolling, focus theft or loss of selection.</w:t>
            </w:r>
          </w:p>
        </w:tc>
        <w:tc>
          <w:tcPr>
            <w:tcW w:type="dxa" w:w="1483"/>
            <w:vAlign w:val="center"/>
          </w:tcPr>
          <w:p>
            <w:pPr>
              <w:pStyle w:val="TableText"/>
              <w:keepNext w:val="0"/>
            </w:pPr>
            <w:r>
              <w:t>Do not move a user reading another section.</w:t>
            </w:r>
          </w:p>
        </w:tc>
        <w:tc>
          <w:tcPr>
            <w:tcW w:type="dxa" w:w="1080"/>
            <w:vAlign w:val="center"/>
          </w:tcPr>
          <w:p>
            <w:pPr>
              <w:pStyle w:val="TableText"/>
              <w:keepNext w:val="0"/>
              <w:jc w:val="center"/>
            </w:pPr>
            <w:r>
              <w:t>TCUX02</w:t>
            </w:r>
          </w:p>
        </w:tc>
      </w:tr>
      <w:tr>
        <w:trPr>
          <w:cantSplit/>
        </w:trPr>
        <w:tc>
          <w:tcPr>
            <w:tcW w:type="dxa" w:w="864"/>
            <w:vAlign w:val="center"/>
          </w:tcPr>
          <w:p>
            <w:pPr>
              <w:pStyle w:val="TableText"/>
              <w:keepNext w:val="0"/>
              <w:jc w:val="center"/>
            </w:pPr>
            <w:r>
              <w:t>UX03</w:t>
            </w:r>
          </w:p>
        </w:tc>
        <w:tc>
          <w:tcPr>
            <w:tcW w:type="dxa" w:w="1397"/>
            <w:vAlign w:val="center"/>
          </w:tcPr>
          <w:p>
            <w:pPr>
              <w:pStyle w:val="TableText"/>
              <w:keepNext w:val="0"/>
            </w:pPr>
            <w:r>
              <w:t>Consistent scheduling state</w:t>
            </w:r>
          </w:p>
        </w:tc>
        <w:tc>
          <w:tcPr>
            <w:tcW w:type="dxa" w:w="1627"/>
            <w:vAlign w:val="center"/>
          </w:tcPr>
          <w:p>
            <w:pPr>
              <w:pStyle w:val="TableText"/>
              <w:keepNext w:val="0"/>
            </w:pPr>
            <w:r>
              <w:t>FR08.01 to FR08.06</w:t>
            </w:r>
          </w:p>
        </w:tc>
        <w:tc>
          <w:tcPr>
            <w:tcW w:type="dxa" w:w="2909"/>
            <w:vAlign w:val="center"/>
          </w:tcPr>
          <w:p>
            <w:pPr>
              <w:pStyle w:val="TableText"/>
              <w:keepNext w:val="0"/>
            </w:pPr>
            <w:r>
              <w:t>Show status text, time and an interview link; clarify ambiguity before selecting by name.</w:t>
            </w:r>
          </w:p>
        </w:tc>
        <w:tc>
          <w:tcPr>
            <w:tcW w:type="dxa" w:w="1483"/>
            <w:vAlign w:val="center"/>
          </w:tcPr>
          <w:p>
            <w:pPr>
              <w:pStyle w:val="TableText"/>
              <w:keepNext w:val="0"/>
            </w:pPr>
            <w:r>
              <w:t>Filters and selected posting remain visible.</w:t>
            </w:r>
          </w:p>
        </w:tc>
        <w:tc>
          <w:tcPr>
            <w:tcW w:type="dxa" w:w="1080"/>
            <w:vAlign w:val="center"/>
          </w:tcPr>
          <w:p>
            <w:pPr>
              <w:pStyle w:val="TableText"/>
              <w:keepNext w:val="0"/>
              <w:jc w:val="center"/>
            </w:pPr>
            <w:r>
              <w:t>TCUX03</w:t>
            </w:r>
          </w:p>
        </w:tc>
      </w:tr>
      <w:tr>
        <w:trPr>
          <w:cantSplit/>
        </w:trPr>
        <w:tc>
          <w:tcPr>
            <w:tcW w:type="dxa" w:w="864"/>
            <w:vAlign w:val="center"/>
          </w:tcPr>
          <w:p>
            <w:pPr>
              <w:pStyle w:val="TableText"/>
              <w:keepNext w:val="0"/>
              <w:jc w:val="center"/>
            </w:pPr>
            <w:r>
              <w:t>UX04</w:t>
            </w:r>
          </w:p>
        </w:tc>
        <w:tc>
          <w:tcPr>
            <w:tcW w:type="dxa" w:w="1397"/>
            <w:vAlign w:val="center"/>
          </w:tcPr>
          <w:p>
            <w:pPr>
              <w:pStyle w:val="TableText"/>
              <w:keepNext w:val="0"/>
            </w:pPr>
            <w:r>
              <w:t>Compact permissions</w:t>
            </w:r>
          </w:p>
        </w:tc>
        <w:tc>
          <w:tcPr>
            <w:tcW w:type="dxa" w:w="1627"/>
            <w:vAlign w:val="center"/>
          </w:tcPr>
          <w:p>
            <w:pPr>
              <w:pStyle w:val="TableText"/>
              <w:keepNext w:val="0"/>
            </w:pPr>
            <w:r>
              <w:t>FR10.01; FR14.02</w:t>
            </w:r>
          </w:p>
        </w:tc>
        <w:tc>
          <w:tcPr>
            <w:tcW w:type="dxa" w:w="2909"/>
            <w:vAlign w:val="center"/>
          </w:tcPr>
          <w:p>
            <w:pPr>
              <w:pStyle w:val="TableText"/>
              <w:keepNext w:val="0"/>
            </w:pPr>
            <w:r>
              <w:t>Show one initially unchecked permission control with concise text and expandable processing details.</w:t>
            </w:r>
          </w:p>
        </w:tc>
        <w:tc>
          <w:tcPr>
            <w:tcW w:type="dxa" w:w="1483"/>
            <w:vAlign w:val="center"/>
          </w:tcPr>
          <w:p>
            <w:pPr>
              <w:pStyle w:val="TableText"/>
              <w:keepNext w:val="0"/>
            </w:pPr>
            <w:r>
              <w:t>Unchecked joining remains possible; withdrawal APIs remain supported.</w:t>
            </w:r>
          </w:p>
        </w:tc>
        <w:tc>
          <w:tcPr>
            <w:tcW w:type="dxa" w:w="1080"/>
            <w:vAlign w:val="center"/>
          </w:tcPr>
          <w:p>
            <w:pPr>
              <w:pStyle w:val="TableText"/>
              <w:keepNext w:val="0"/>
              <w:jc w:val="center"/>
            </w:pPr>
            <w:r>
              <w:t>TCUX04</w:t>
            </w:r>
          </w:p>
        </w:tc>
      </w:tr>
      <w:tr>
        <w:trPr>
          <w:cantSplit/>
        </w:trPr>
        <w:tc>
          <w:tcPr>
            <w:tcW w:type="dxa" w:w="864"/>
            <w:vAlign w:val="center"/>
          </w:tcPr>
          <w:p>
            <w:pPr>
              <w:pStyle w:val="TableText"/>
              <w:keepNext w:val="0"/>
              <w:jc w:val="center"/>
            </w:pPr>
            <w:r>
              <w:t>UX05</w:t>
            </w:r>
          </w:p>
        </w:tc>
        <w:tc>
          <w:tcPr>
            <w:tcW w:type="dxa" w:w="1397"/>
            <w:vAlign w:val="center"/>
          </w:tcPr>
          <w:p>
            <w:pPr>
              <w:pStyle w:val="TableText"/>
              <w:keepNext w:val="0"/>
            </w:pPr>
            <w:r>
              <w:t>Candidate-first interview context</w:t>
            </w:r>
          </w:p>
        </w:tc>
        <w:tc>
          <w:tcPr>
            <w:tcW w:type="dxa" w:w="1627"/>
            <w:vAlign w:val="center"/>
          </w:tcPr>
          <w:p>
            <w:pPr>
              <w:pStyle w:val="TableText"/>
              <w:keepNext w:val="0"/>
            </w:pPr>
            <w:r>
              <w:t>FR09.04 to FR09.05; FR14.01</w:t>
            </w:r>
          </w:p>
        </w:tc>
        <w:tc>
          <w:tcPr>
            <w:tcW w:type="dxa" w:w="2909"/>
            <w:vAlign w:val="center"/>
          </w:tcPr>
          <w:p>
            <w:pPr>
              <w:pStyle w:val="TableText"/>
              <w:keepNext w:val="0"/>
            </w:pPr>
            <w:r>
              <w:t>Open candidate information first; keep the main call anchored left on desktop and secondary content scrollable.</w:t>
            </w:r>
          </w:p>
        </w:tc>
        <w:tc>
          <w:tcPr>
            <w:tcW w:type="dxa" w:w="1483"/>
            <w:vAlign w:val="center"/>
          </w:tcPr>
          <w:p>
            <w:pPr>
              <w:pStyle w:val="TableText"/>
              <w:keepNext w:val="0"/>
            </w:pPr>
            <w:r>
              <w:t>Small screens reflow without hiding essential actions.</w:t>
            </w:r>
          </w:p>
        </w:tc>
        <w:tc>
          <w:tcPr>
            <w:tcW w:type="dxa" w:w="1080"/>
            <w:vAlign w:val="center"/>
          </w:tcPr>
          <w:p>
            <w:pPr>
              <w:pStyle w:val="TableText"/>
              <w:keepNext w:val="0"/>
              <w:jc w:val="center"/>
            </w:pPr>
            <w:r>
              <w:t>TCUX05</w:t>
            </w:r>
          </w:p>
        </w:tc>
      </w:tr>
      <w:tr>
        <w:trPr>
          <w:cantSplit/>
        </w:trPr>
        <w:tc>
          <w:tcPr>
            <w:tcW w:type="dxa" w:w="864"/>
            <w:vAlign w:val="center"/>
          </w:tcPr>
          <w:p>
            <w:pPr>
              <w:pStyle w:val="TableText"/>
              <w:keepNext w:val="0"/>
              <w:jc w:val="center"/>
            </w:pPr>
            <w:r>
              <w:t>UX06</w:t>
            </w:r>
          </w:p>
        </w:tc>
        <w:tc>
          <w:tcPr>
            <w:tcW w:type="dxa" w:w="1397"/>
            <w:vAlign w:val="center"/>
          </w:tcPr>
          <w:p>
            <w:pPr>
              <w:pStyle w:val="TableText"/>
              <w:keepNext w:val="0"/>
            </w:pPr>
            <w:r>
              <w:t>Role-restricted navigation</w:t>
            </w:r>
          </w:p>
        </w:tc>
        <w:tc>
          <w:tcPr>
            <w:tcW w:type="dxa" w:w="1627"/>
            <w:vAlign w:val="center"/>
          </w:tcPr>
          <w:p>
            <w:pPr>
              <w:pStyle w:val="TableText"/>
              <w:keepNext w:val="0"/>
            </w:pPr>
            <w:r>
              <w:t>FR01.04; FR11.02</w:t>
            </w:r>
          </w:p>
        </w:tc>
        <w:tc>
          <w:tcPr>
            <w:tcW w:type="dxa" w:w="2909"/>
            <w:vAlign w:val="center"/>
          </w:tcPr>
          <w:p>
            <w:pPr>
              <w:pStyle w:val="TableText"/>
              <w:keepNext w:val="0"/>
            </w:pPr>
            <w:r>
              <w:t>Candidate UI never offers transcripts, analysis, interviewer assistant or photo-match outcomes.</w:t>
            </w:r>
          </w:p>
        </w:tc>
        <w:tc>
          <w:tcPr>
            <w:tcW w:type="dxa" w:w="1483"/>
            <w:vAlign w:val="center"/>
          </w:tcPr>
          <w:p>
            <w:pPr>
              <w:pStyle w:val="TableText"/>
              <w:keepNext w:val="0"/>
            </w:pPr>
            <w:r>
              <w:t>API authorization remains mandatory.</w:t>
            </w:r>
          </w:p>
        </w:tc>
        <w:tc>
          <w:tcPr>
            <w:tcW w:type="dxa" w:w="1080"/>
            <w:vAlign w:val="center"/>
          </w:tcPr>
          <w:p>
            <w:pPr>
              <w:pStyle w:val="TableText"/>
              <w:keepNext w:val="0"/>
              <w:jc w:val="center"/>
            </w:pPr>
            <w:r>
              <w:t>TCUX06</w:t>
            </w:r>
          </w:p>
        </w:tc>
      </w:tr>
      <w:tr>
        <w:trPr>
          <w:cantSplit/>
        </w:trPr>
        <w:tc>
          <w:tcPr>
            <w:tcW w:type="dxa" w:w="864"/>
            <w:vAlign w:val="center"/>
          </w:tcPr>
          <w:p>
            <w:pPr>
              <w:pStyle w:val="TableText"/>
              <w:keepNext w:val="0"/>
              <w:jc w:val="center"/>
            </w:pPr>
            <w:r>
              <w:t>UX07</w:t>
            </w:r>
          </w:p>
        </w:tc>
        <w:tc>
          <w:tcPr>
            <w:tcW w:type="dxa" w:w="1397"/>
            <w:vAlign w:val="center"/>
          </w:tcPr>
          <w:p>
            <w:pPr>
              <w:pStyle w:val="TableText"/>
              <w:keepNext w:val="0"/>
            </w:pPr>
            <w:r>
              <w:t>Readable assessment cards</w:t>
            </w:r>
          </w:p>
        </w:tc>
        <w:tc>
          <w:tcPr>
            <w:tcW w:type="dxa" w:w="1627"/>
            <w:vAlign w:val="center"/>
          </w:tcPr>
          <w:p>
            <w:pPr>
              <w:pStyle w:val="TableText"/>
              <w:keepNext w:val="0"/>
            </w:pPr>
            <w:r>
              <w:t>FR12.07; FR16.01</w:t>
            </w:r>
          </w:p>
        </w:tc>
        <w:tc>
          <w:tcPr>
            <w:tcW w:type="dxa" w:w="2909"/>
            <w:vAlign w:val="center"/>
          </w:tcPr>
          <w:p>
            <w:pPr>
              <w:pStyle w:val="TableText"/>
              <w:keepNext w:val="0"/>
            </w:pPr>
            <w:r>
              <w:t>Use short strengths/improvement highlights; expand gaps, verification needs and sources on demand.</w:t>
            </w:r>
          </w:p>
        </w:tc>
        <w:tc>
          <w:tcPr>
            <w:tcW w:type="dxa" w:w="1483"/>
            <w:vAlign w:val="center"/>
          </w:tcPr>
          <w:p>
            <w:pPr>
              <w:pStyle w:val="TableText"/>
              <w:keepNext w:val="0"/>
            </w:pPr>
            <w:r>
              <w:t>Color/icons supplement text; no wall of explanations.</w:t>
            </w:r>
          </w:p>
        </w:tc>
        <w:tc>
          <w:tcPr>
            <w:tcW w:type="dxa" w:w="1080"/>
            <w:vAlign w:val="center"/>
          </w:tcPr>
          <w:p>
            <w:pPr>
              <w:pStyle w:val="TableText"/>
              <w:keepNext w:val="0"/>
              <w:jc w:val="center"/>
            </w:pPr>
            <w:r>
              <w:t>TCUX07</w:t>
            </w:r>
          </w:p>
        </w:tc>
      </w:tr>
      <w:tr>
        <w:trPr>
          <w:cantSplit/>
        </w:trPr>
        <w:tc>
          <w:tcPr>
            <w:tcW w:type="dxa" w:w="864"/>
            <w:vAlign w:val="center"/>
          </w:tcPr>
          <w:p>
            <w:pPr>
              <w:pStyle w:val="TableText"/>
              <w:keepNext w:val="0"/>
              <w:jc w:val="center"/>
            </w:pPr>
            <w:r>
              <w:t>UX08</w:t>
            </w:r>
          </w:p>
        </w:tc>
        <w:tc>
          <w:tcPr>
            <w:tcW w:type="dxa" w:w="1397"/>
            <w:vAlign w:val="center"/>
          </w:tcPr>
          <w:p>
            <w:pPr>
              <w:pStyle w:val="TableText"/>
              <w:keepNext w:val="0"/>
            </w:pPr>
            <w:r>
              <w:t>Visible scoring readiness</w:t>
            </w:r>
          </w:p>
        </w:tc>
        <w:tc>
          <w:tcPr>
            <w:tcW w:type="dxa" w:w="1627"/>
            <w:vAlign w:val="center"/>
          </w:tcPr>
          <w:p>
            <w:pPr>
              <w:pStyle w:val="TableText"/>
              <w:keepNext w:val="0"/>
            </w:pPr>
            <w:r>
              <w:t>FR12.05 to FR12.07; FR15.03</w:t>
            </w:r>
          </w:p>
        </w:tc>
        <w:tc>
          <w:tcPr>
            <w:tcW w:type="dxa" w:w="2909"/>
            <w:vAlign w:val="center"/>
          </w:tcPr>
          <w:p>
            <w:pPr>
              <w:pStyle w:val="TableText"/>
              <w:keepNext w:val="0"/>
            </w:pPr>
            <w:r>
              <w:t>Distinguish queued, analyzing, complete, incomplete, error, excluded and stale scores.</w:t>
            </w:r>
          </w:p>
        </w:tc>
        <w:tc>
          <w:tcPr>
            <w:tcW w:type="dxa" w:w="1483"/>
            <w:vAlign w:val="center"/>
          </w:tcPr>
          <w:p>
            <w:pPr>
              <w:pStyle w:val="TableText"/>
              <w:keepNext w:val="0"/>
            </w:pPr>
            <w:r>
              <w:t>Never show incomplete as ready or failed as zero.</w:t>
            </w:r>
          </w:p>
        </w:tc>
        <w:tc>
          <w:tcPr>
            <w:tcW w:type="dxa" w:w="1080"/>
            <w:vAlign w:val="center"/>
          </w:tcPr>
          <w:p>
            <w:pPr>
              <w:pStyle w:val="TableText"/>
              <w:keepNext w:val="0"/>
              <w:jc w:val="center"/>
            </w:pPr>
            <w:r>
              <w:t>TCUX08</w:t>
            </w:r>
          </w:p>
        </w:tc>
      </w:tr>
      <w:tr>
        <w:trPr>
          <w:cantSplit/>
        </w:trPr>
        <w:tc>
          <w:tcPr>
            <w:tcW w:type="dxa" w:w="864"/>
            <w:vAlign w:val="center"/>
          </w:tcPr>
          <w:p>
            <w:pPr>
              <w:pStyle w:val="TableText"/>
              <w:keepNext w:val="0"/>
              <w:jc w:val="center"/>
            </w:pPr>
            <w:r>
              <w:t>UX09</w:t>
            </w:r>
          </w:p>
        </w:tc>
        <w:tc>
          <w:tcPr>
            <w:tcW w:type="dxa" w:w="1397"/>
            <w:vAlign w:val="center"/>
          </w:tcPr>
          <w:p>
            <w:pPr>
              <w:pStyle w:val="TableText"/>
              <w:keepNext w:val="0"/>
            </w:pPr>
            <w:r>
              <w:t>Safe confirmations and progress</w:t>
            </w:r>
          </w:p>
        </w:tc>
        <w:tc>
          <w:tcPr>
            <w:tcW w:type="dxa" w:w="1627"/>
            <w:vAlign w:val="center"/>
          </w:tcPr>
          <w:p>
            <w:pPr>
              <w:pStyle w:val="TableText"/>
              <w:keepNext w:val="0"/>
            </w:pPr>
            <w:r>
              <w:t>FR04.02; FR08.05; FR13.02</w:t>
            </w:r>
          </w:p>
        </w:tc>
        <w:tc>
          <w:tcPr>
            <w:tcW w:type="dxa" w:w="2909"/>
            <w:vAlign w:val="center"/>
          </w:tcPr>
          <w:p>
            <w:pPr>
              <w:pStyle w:val="TableText"/>
              <w:keepNext w:val="0"/>
            </w:pPr>
            <w:r>
              <w:t>Preview external actions; show recipient/task states and prevent repeated confirmation while processing.</w:t>
            </w:r>
          </w:p>
        </w:tc>
        <w:tc>
          <w:tcPr>
            <w:tcW w:type="dxa" w:w="1483"/>
            <w:vAlign w:val="center"/>
          </w:tcPr>
          <w:p>
            <w:pPr>
              <w:pStyle w:val="TableText"/>
              <w:keepNext w:val="0"/>
            </w:pPr>
            <w:r>
              <w:t>An uncertain send is not presented as a confirmed failure.</w:t>
            </w:r>
          </w:p>
        </w:tc>
        <w:tc>
          <w:tcPr>
            <w:tcW w:type="dxa" w:w="1080"/>
            <w:vAlign w:val="center"/>
          </w:tcPr>
          <w:p>
            <w:pPr>
              <w:pStyle w:val="TableText"/>
              <w:keepNext w:val="0"/>
              <w:jc w:val="center"/>
            </w:pPr>
            <w:r>
              <w:t>TCUX09</w:t>
            </w:r>
          </w:p>
        </w:tc>
      </w:tr>
      <w:tr>
        <w:trPr>
          <w:cantSplit/>
        </w:trPr>
        <w:tc>
          <w:tcPr>
            <w:tcW w:type="dxa" w:w="864"/>
            <w:vAlign w:val="center"/>
          </w:tcPr>
          <w:p>
            <w:pPr>
              <w:pStyle w:val="TableText"/>
              <w:keepNext w:val="0"/>
              <w:jc w:val="center"/>
            </w:pPr>
            <w:r>
              <w:t>UX10</w:t>
            </w:r>
          </w:p>
        </w:tc>
        <w:tc>
          <w:tcPr>
            <w:tcW w:type="dxa" w:w="1397"/>
            <w:vAlign w:val="center"/>
          </w:tcPr>
          <w:p>
            <w:pPr>
              <w:pStyle w:val="TableText"/>
              <w:keepNext w:val="0"/>
            </w:pPr>
            <w:r>
              <w:t>Recovery without data loss</w:t>
            </w:r>
          </w:p>
        </w:tc>
        <w:tc>
          <w:tcPr>
            <w:tcW w:type="dxa" w:w="1627"/>
            <w:vAlign w:val="center"/>
          </w:tcPr>
          <w:p>
            <w:pPr>
              <w:pStyle w:val="TableText"/>
              <w:keepNext w:val="0"/>
            </w:pPr>
            <w:r>
              <w:t>FR17.04; FR13.03</w:t>
            </w:r>
          </w:p>
        </w:tc>
        <w:tc>
          <w:tcPr>
            <w:tcW w:type="dxa" w:w="2909"/>
            <w:vAlign w:val="center"/>
          </w:tcPr>
          <w:p>
            <w:pPr>
              <w:pStyle w:val="TableText"/>
              <w:keepNext w:val="0"/>
            </w:pPr>
            <w:r>
              <w:t>An error leaves saved work intact and offers a bounded retry or correct next action.</w:t>
            </w:r>
          </w:p>
        </w:tc>
        <w:tc>
          <w:tcPr>
            <w:tcW w:type="dxa" w:w="1483"/>
            <w:vAlign w:val="center"/>
          </w:tcPr>
          <w:p>
            <w:pPr>
              <w:pStyle w:val="TableText"/>
              <w:keepNext w:val="0"/>
            </w:pPr>
            <w:r>
              <w:t>A practical submission cannot be reopened as a new attempt.</w:t>
            </w:r>
          </w:p>
        </w:tc>
        <w:tc>
          <w:tcPr>
            <w:tcW w:type="dxa" w:w="1080"/>
            <w:vAlign w:val="center"/>
          </w:tcPr>
          <w:p>
            <w:pPr>
              <w:pStyle w:val="TableText"/>
              <w:keepNext w:val="0"/>
              <w:jc w:val="center"/>
            </w:pPr>
            <w:r>
              <w:t>TCUX10</w:t>
            </w:r>
          </w:p>
        </w:tc>
      </w:tr>
    </w:tbl>
    <w:p>
      <w:pPr>
        <w:pStyle w:val="TableGap"/>
        <w:keepNext w:val="0"/>
      </w:pPr>
    </w:p>
    <w:p>
      <w:bookmarkStart w:id="41" w:name="SRS_41"/>
      <w:pPr>
        <w:pStyle w:val="Heading1"/>
      </w:pPr>
      <w:r>
        <w:t>9 Other Requirements</w:t>
      </w:r>
      <w:bookmarkEnd w:id="41"/>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OTH01</w:t>
            </w:r>
          </w:p>
        </w:tc>
        <w:tc>
          <w:tcPr>
            <w:tcW w:type="dxa" w:w="2923"/>
            <w:vAlign w:val="center"/>
          </w:tcPr>
          <w:p>
            <w:pPr>
              <w:pStyle w:val="TableText"/>
              <w:keepNext w:val="0"/>
            </w:pPr>
            <w:r>
              <w:t>The system shall persist recruitment relationships with database integrity and migrations.</w:t>
            </w:r>
          </w:p>
        </w:tc>
        <w:tc>
          <w:tcPr>
            <w:tcW w:type="dxa" w:w="2664"/>
            <w:vAlign w:val="center"/>
          </w:tcPr>
          <w:p>
            <w:pPr>
              <w:pStyle w:val="TableText"/>
              <w:keepNext w:val="0"/>
            </w:pPr>
            <w:r>
              <w:t>A fresh database migrates successfully; upgrade tests retain existing owned relationships.</w:t>
            </w:r>
          </w:p>
        </w:tc>
        <w:tc>
          <w:tcPr>
            <w:tcW w:type="dxa" w:w="1685"/>
            <w:vAlign w:val="center"/>
          </w:tcPr>
          <w:p>
            <w:pPr>
              <w:pStyle w:val="TableText"/>
              <w:keepNext w:val="0"/>
            </w:pPr>
            <w:r>
              <w:t>PostgreSQL/pgvector is the supported deployment database.</w:t>
            </w:r>
          </w:p>
        </w:tc>
        <w:tc>
          <w:tcPr>
            <w:tcW w:type="dxa" w:w="1080"/>
            <w:vAlign w:val="center"/>
          </w:tcPr>
          <w:p>
            <w:pPr>
              <w:pStyle w:val="TableText"/>
              <w:keepNext w:val="0"/>
              <w:jc w:val="center"/>
            </w:pPr>
            <w:r>
              <w:t>TCO01</w:t>
            </w:r>
          </w:p>
        </w:tc>
      </w:tr>
      <w:tr>
        <w:trPr>
          <w:cantSplit/>
        </w:trPr>
        <w:tc>
          <w:tcPr>
            <w:tcW w:type="dxa" w:w="1008"/>
            <w:vAlign w:val="center"/>
          </w:tcPr>
          <w:p>
            <w:pPr>
              <w:pStyle w:val="TableText"/>
              <w:keepNext w:val="0"/>
              <w:jc w:val="center"/>
            </w:pPr>
            <w:r>
              <w:t>OTH02</w:t>
            </w:r>
          </w:p>
        </w:tc>
        <w:tc>
          <w:tcPr>
            <w:tcW w:type="dxa" w:w="2923"/>
            <w:vAlign w:val="center"/>
          </w:tcPr>
          <w:p>
            <w:pPr>
              <w:pStyle w:val="TableText"/>
              <w:keepNext w:val="0"/>
            </w:pPr>
            <w:r>
              <w:t>Operators shall back up the database, private storage and identity encryption key as one protected recovery set.</w:t>
            </w:r>
          </w:p>
        </w:tc>
        <w:tc>
          <w:tcPr>
            <w:tcW w:type="dxa" w:w="2664"/>
            <w:vAlign w:val="center"/>
          </w:tcPr>
          <w:p>
            <w:pPr>
              <w:pStyle w:val="TableText"/>
              <w:keepNext w:val="0"/>
            </w:pPr>
            <w:r>
              <w:t>A documented restore recovers linked records/files; missing keys are identified before enrollment reuse.</w:t>
            </w:r>
          </w:p>
        </w:tc>
        <w:tc>
          <w:tcPr>
            <w:tcW w:type="dxa" w:w="1685"/>
            <w:vAlign w:val="center"/>
          </w:tcPr>
          <w:p>
            <w:pPr>
              <w:pStyle w:val="TableText"/>
              <w:keepNext w:val="0"/>
            </w:pPr>
            <w:r>
              <w:t>Backup schedule and off-site location are deployment decisions.</w:t>
            </w:r>
          </w:p>
        </w:tc>
        <w:tc>
          <w:tcPr>
            <w:tcW w:type="dxa" w:w="1080"/>
            <w:vAlign w:val="center"/>
          </w:tcPr>
          <w:p>
            <w:pPr>
              <w:pStyle w:val="TableText"/>
              <w:keepNext w:val="0"/>
              <w:jc w:val="center"/>
            </w:pPr>
            <w:r>
              <w:t>TCO02</w:t>
            </w:r>
          </w:p>
        </w:tc>
      </w:tr>
      <w:tr>
        <w:trPr>
          <w:cantSplit/>
        </w:trPr>
        <w:tc>
          <w:tcPr>
            <w:tcW w:type="dxa" w:w="1008"/>
            <w:vAlign w:val="center"/>
          </w:tcPr>
          <w:p>
            <w:pPr>
              <w:pStyle w:val="TableText"/>
              <w:keepNext w:val="0"/>
              <w:jc w:val="center"/>
            </w:pPr>
            <w:r>
              <w:t>OTH03</w:t>
            </w:r>
          </w:p>
        </w:tc>
        <w:tc>
          <w:tcPr>
            <w:tcW w:type="dxa" w:w="2923"/>
            <w:vAlign w:val="center"/>
          </w:tcPr>
          <w:p>
            <w:pPr>
              <w:pStyle w:val="TableText"/>
              <w:keepNext w:val="0"/>
            </w:pPr>
            <w:r>
              <w:t>The system shall expire retained transcript and practical content according to configured policy.</w:t>
            </w:r>
          </w:p>
        </w:tc>
        <w:tc>
          <w:tcPr>
            <w:tcW w:type="dxa" w:w="2664"/>
            <w:vAlign w:val="center"/>
          </w:tcPr>
          <w:p>
            <w:pPr>
              <w:pStyle w:val="TableText"/>
              <w:keepNext w:val="0"/>
            </w:pPr>
            <w:r>
              <w:t>Maintenance removes expired sensitive content and marks dependent results/reports appropriately.</w:t>
            </w:r>
          </w:p>
        </w:tc>
        <w:tc>
          <w:tcPr>
            <w:tcW w:type="dxa" w:w="1685"/>
            <w:vAlign w:val="center"/>
          </w:tcPr>
          <w:p>
            <w:pPr>
              <w:pStyle w:val="TableText"/>
              <w:keepNext w:val="0"/>
            </w:pPr>
            <w:r>
              <w:t>Default retention is 30 days for each; no interview A/V recordings are stored.</w:t>
            </w:r>
          </w:p>
        </w:tc>
        <w:tc>
          <w:tcPr>
            <w:tcW w:type="dxa" w:w="1080"/>
            <w:vAlign w:val="center"/>
          </w:tcPr>
          <w:p>
            <w:pPr>
              <w:pStyle w:val="TableText"/>
              <w:keepNext w:val="0"/>
              <w:jc w:val="center"/>
            </w:pPr>
            <w:r>
              <w:t>TCO03</w:t>
            </w:r>
          </w:p>
        </w:tc>
      </w:tr>
      <w:tr>
        <w:trPr>
          <w:cantSplit/>
        </w:trPr>
        <w:tc>
          <w:tcPr>
            <w:tcW w:type="dxa" w:w="1008"/>
            <w:vAlign w:val="center"/>
          </w:tcPr>
          <w:p>
            <w:pPr>
              <w:pStyle w:val="TableText"/>
              <w:keepNext w:val="0"/>
              <w:jc w:val="center"/>
            </w:pPr>
            <w:r>
              <w:t>OTH04</w:t>
            </w:r>
          </w:p>
        </w:tc>
        <w:tc>
          <w:tcPr>
            <w:tcW w:type="dxa" w:w="2923"/>
            <w:vAlign w:val="center"/>
          </w:tcPr>
          <w:p>
            <w:pPr>
              <w:pStyle w:val="TableText"/>
              <w:keepNext w:val="0"/>
            </w:pPr>
            <w:r>
              <w:t>The system shall apply biometric withdrawal, application deletion and derived-data expiry consistently.</w:t>
            </w:r>
          </w:p>
        </w:tc>
        <w:tc>
          <w:tcPr>
            <w:tcW w:type="dxa" w:w="2664"/>
            <w:vAlign w:val="center"/>
          </w:tcPr>
          <w:p>
            <w:pPr>
              <w:pStyle w:val="TableText"/>
              <w:keepNext w:val="0"/>
            </w:pPr>
            <w:r>
              <w:t>Withdrawal invalidates the match and deletes app-controlled biometric material; re-sync does not reenroll silently.</w:t>
            </w:r>
          </w:p>
        </w:tc>
        <w:tc>
          <w:tcPr>
            <w:tcW w:type="dxa" w:w="1685"/>
            <w:vAlign w:val="center"/>
          </w:tcPr>
          <w:p>
            <w:pPr>
              <w:pStyle w:val="TableText"/>
              <w:keepNext w:val="0"/>
            </w:pPr>
            <w:r>
              <w:t>Original Google Drive uploads and external backups have separate owner policies.</w:t>
            </w:r>
          </w:p>
        </w:tc>
        <w:tc>
          <w:tcPr>
            <w:tcW w:type="dxa" w:w="1080"/>
            <w:vAlign w:val="center"/>
          </w:tcPr>
          <w:p>
            <w:pPr>
              <w:pStyle w:val="TableText"/>
              <w:keepNext w:val="0"/>
              <w:jc w:val="center"/>
            </w:pPr>
            <w:r>
              <w:t>TCO04</w:t>
            </w:r>
          </w:p>
        </w:tc>
      </w:tr>
      <w:tr>
        <w:trPr>
          <w:cantSplit/>
        </w:trPr>
        <w:tc>
          <w:tcPr>
            <w:tcW w:type="dxa" w:w="1008"/>
            <w:vAlign w:val="center"/>
          </w:tcPr>
          <w:p>
            <w:pPr>
              <w:pStyle w:val="TableText"/>
              <w:keepNext w:val="0"/>
              <w:jc w:val="center"/>
            </w:pPr>
            <w:r>
              <w:t>OTH05</w:t>
            </w:r>
          </w:p>
        </w:tc>
        <w:tc>
          <w:tcPr>
            <w:tcW w:type="dxa" w:w="2923"/>
            <w:vAlign w:val="center"/>
          </w:tcPr>
          <w:p>
            <w:pPr>
              <w:pStyle w:val="TableText"/>
              <w:keepNext w:val="0"/>
            </w:pPr>
            <w:r>
              <w:t>The system shall preserve data provenance and UTC times with readable local presentation.</w:t>
            </w:r>
          </w:p>
        </w:tc>
        <w:tc>
          <w:tcPr>
            <w:tcW w:type="dxa" w:w="2664"/>
            <w:vAlign w:val="center"/>
          </w:tcPr>
          <w:p>
            <w:pPr>
              <w:pStyle w:val="TableText"/>
              <w:keepNext w:val="0"/>
            </w:pPr>
            <w:r>
              <w:t>Evidence resolves to an application and source/version; Dhaka display round-trips to the stored instant.</w:t>
            </w:r>
          </w:p>
        </w:tc>
        <w:tc>
          <w:tcPr>
            <w:tcW w:type="dxa" w:w="1685"/>
            <w:vAlign w:val="center"/>
          </w:tcPr>
          <w:p>
            <w:pPr>
              <w:pStyle w:val="TableText"/>
              <w:keepNext w:val="0"/>
            </w:pPr>
            <w:r>
              <w:t>Source deletion/expiry is an explicit state, not fabricated evidence.</w:t>
            </w:r>
          </w:p>
        </w:tc>
        <w:tc>
          <w:tcPr>
            <w:tcW w:type="dxa" w:w="1080"/>
            <w:vAlign w:val="center"/>
          </w:tcPr>
          <w:p>
            <w:pPr>
              <w:pStyle w:val="TableText"/>
              <w:keepNext w:val="0"/>
              <w:jc w:val="center"/>
            </w:pPr>
            <w:r>
              <w:t>TCO05</w:t>
            </w:r>
          </w:p>
        </w:tc>
      </w:tr>
      <w:tr>
        <w:trPr>
          <w:cantSplit/>
        </w:trPr>
        <w:tc>
          <w:tcPr>
            <w:tcW w:type="dxa" w:w="1008"/>
            <w:vAlign w:val="center"/>
          </w:tcPr>
          <w:p>
            <w:pPr>
              <w:pStyle w:val="TableText"/>
              <w:keepNext w:val="0"/>
              <w:jc w:val="center"/>
            </w:pPr>
            <w:r>
              <w:t>OTH06</w:t>
            </w:r>
          </w:p>
        </w:tc>
        <w:tc>
          <w:tcPr>
            <w:tcW w:type="dxa" w:w="2923"/>
            <w:vAlign w:val="center"/>
          </w:tcPr>
          <w:p>
            <w:pPr>
              <w:pStyle w:val="TableText"/>
              <w:keepNext w:val="0"/>
            </w:pPr>
            <w:r>
              <w:t>The system shall provide clear provider-quota failures and avoid unrequested paid reanalysis.</w:t>
            </w:r>
          </w:p>
        </w:tc>
        <w:tc>
          <w:tcPr>
            <w:tcW w:type="dxa" w:w="2664"/>
            <w:vAlign w:val="center"/>
          </w:tcPr>
          <w:p>
            <w:pPr>
              <w:pStyle w:val="TableText"/>
              <w:keepNext w:val="0"/>
            </w:pPr>
            <w:r>
              <w:t>Quota/authentication/timeouts yield safe retry guidance; read-only views do not spend inference quota.</w:t>
            </w:r>
          </w:p>
        </w:tc>
        <w:tc>
          <w:tcPr>
            <w:tcW w:type="dxa" w:w="1685"/>
            <w:vAlign w:val="center"/>
          </w:tcPr>
          <w:p>
            <w:pPr>
              <w:pStyle w:val="TableText"/>
              <w:keepNext w:val="0"/>
            </w:pPr>
            <w:r>
              <w:t>Token/cost estimates depend on workload and configured provider pricing.</w:t>
            </w:r>
          </w:p>
        </w:tc>
        <w:tc>
          <w:tcPr>
            <w:tcW w:type="dxa" w:w="1080"/>
            <w:vAlign w:val="center"/>
          </w:tcPr>
          <w:p>
            <w:pPr>
              <w:pStyle w:val="TableText"/>
              <w:keepNext w:val="0"/>
              <w:jc w:val="center"/>
            </w:pPr>
            <w:r>
              <w:t>TCO06</w:t>
            </w:r>
          </w:p>
        </w:tc>
      </w:tr>
      <w:tr>
        <w:trPr>
          <w:cantSplit/>
        </w:trPr>
        <w:tc>
          <w:tcPr>
            <w:tcW w:type="dxa" w:w="1008"/>
            <w:vAlign w:val="center"/>
          </w:tcPr>
          <w:p>
            <w:pPr>
              <w:pStyle w:val="TableText"/>
              <w:keepNext w:val="0"/>
              <w:jc w:val="center"/>
            </w:pPr>
            <w:r>
              <w:t>OTH07</w:t>
            </w:r>
          </w:p>
        </w:tc>
        <w:tc>
          <w:tcPr>
            <w:tcW w:type="dxa" w:w="2923"/>
            <w:vAlign w:val="center"/>
          </w:tcPr>
          <w:p>
            <w:pPr>
              <w:pStyle w:val="TableText"/>
              <w:keepNext w:val="0"/>
            </w:pPr>
            <w:r>
              <w:t>The project shall use authorized or clearly identified synthetic data for demonstrations and tests.</w:t>
            </w:r>
          </w:p>
        </w:tc>
        <w:tc>
          <w:tcPr>
            <w:tcW w:type="dxa" w:w="2664"/>
            <w:vAlign w:val="center"/>
          </w:tcPr>
          <w:p>
            <w:pPr>
              <w:pStyle w:val="TableText"/>
              <w:keepNext w:val="0"/>
            </w:pPr>
            <w:r>
              <w:t>Demo fixtures contain no real applicant secrets; a full flow is traceable to its data source.</w:t>
            </w:r>
          </w:p>
        </w:tc>
        <w:tc>
          <w:tcPr>
            <w:tcW w:type="dxa" w:w="1685"/>
            <w:vAlign w:val="center"/>
          </w:tcPr>
          <w:p>
            <w:pPr>
              <w:pStyle w:val="TableText"/>
              <w:keepNext w:val="0"/>
            </w:pPr>
            <w:r>
              <w:t>Synthetic outputs must not be represented as measured real-world accuracy.</w:t>
            </w:r>
          </w:p>
        </w:tc>
        <w:tc>
          <w:tcPr>
            <w:tcW w:type="dxa" w:w="1080"/>
            <w:vAlign w:val="center"/>
          </w:tcPr>
          <w:p>
            <w:pPr>
              <w:pStyle w:val="TableText"/>
              <w:keepNext w:val="0"/>
              <w:jc w:val="center"/>
            </w:pPr>
            <w:r>
              <w:t>TCO07</w:t>
            </w:r>
          </w:p>
        </w:tc>
      </w:tr>
      <w:tr>
        <w:trPr>
          <w:cantSplit/>
        </w:trPr>
        <w:tc>
          <w:tcPr>
            <w:tcW w:type="dxa" w:w="1008"/>
            <w:vAlign w:val="center"/>
          </w:tcPr>
          <w:p>
            <w:pPr>
              <w:pStyle w:val="TableText"/>
              <w:keepNext w:val="0"/>
              <w:jc w:val="center"/>
            </w:pPr>
            <w:r>
              <w:t>OTH08</w:t>
            </w:r>
          </w:p>
        </w:tc>
        <w:tc>
          <w:tcPr>
            <w:tcW w:type="dxa" w:w="2923"/>
            <w:vAlign w:val="center"/>
          </w:tcPr>
          <w:p>
            <w:pPr>
              <w:pStyle w:val="TableText"/>
              <w:keepNext w:val="0"/>
            </w:pPr>
            <w:r>
              <w:t>The deployed system shall document prerequisites, operational limits and acceptance evidence.</w:t>
            </w:r>
          </w:p>
        </w:tc>
        <w:tc>
          <w:tcPr>
            <w:tcW w:type="dxa" w:w="2664"/>
            <w:vAlign w:val="center"/>
          </w:tcPr>
          <w:p>
            <w:pPr>
              <w:pStyle w:val="TableText"/>
              <w:keepNext w:val="0"/>
            </w:pPr>
            <w:r>
              <w:t>Setup and relevant feature guides identify credentials, models, services, limits and verification commands.</w:t>
            </w:r>
          </w:p>
        </w:tc>
        <w:tc>
          <w:tcPr>
            <w:tcW w:type="dxa" w:w="1685"/>
            <w:vAlign w:val="center"/>
          </w:tcPr>
          <w:p>
            <w:pPr>
              <w:pStyle w:val="TableText"/>
              <w:keepNext w:val="0"/>
            </w:pPr>
            <w:r>
              <w:t>This SRS does not certify production readiness or legal compliance.</w:t>
            </w:r>
          </w:p>
        </w:tc>
        <w:tc>
          <w:tcPr>
            <w:tcW w:type="dxa" w:w="1080"/>
            <w:vAlign w:val="center"/>
          </w:tcPr>
          <w:p>
            <w:pPr>
              <w:pStyle w:val="TableText"/>
              <w:keepNext w:val="0"/>
              <w:jc w:val="center"/>
            </w:pPr>
            <w:r>
              <w:t>TCO08</w:t>
            </w:r>
          </w:p>
        </w:tc>
      </w:tr>
    </w:tbl>
    <w:p>
      <w:pPr>
        <w:pStyle w:val="TableGap"/>
        <w:keepNext w:val="0"/>
      </w:pPr>
    </w:p>
    <w:p>
      <w:bookmarkStart w:id="42" w:name="SRS_42"/>
      <w:pPr>
        <w:pStyle w:val="Heading2"/>
      </w:pPr>
      <w:r>
        <w:t>9.1 Data and retention baseline</w:t>
      </w:r>
      <w:bookmarkEnd w:id="42"/>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685"/>
        <w:gridCol w:w="3571"/>
        <w:gridCol w:w="4104"/>
      </w:tblGrid>
      <w:tr>
        <w:trPr>
          <w:tblHeader/>
          <w:cantSplit/>
        </w:trPr>
        <w:tc>
          <w:tcPr>
            <w:tcW w:type="dxa" w:w="1685"/>
            <w:vAlign w:val="center"/>
            <w:shd w:fill="EEEEEE" w:val="clear"/>
          </w:tcPr>
          <w:p>
            <w:pPr>
              <w:pStyle w:val="TableText"/>
              <w:keepNext w:val="0"/>
            </w:pPr>
            <w:r>
              <w:rPr>
                <w:b/>
              </w:rPr>
              <w:t>Data group</w:t>
            </w:r>
          </w:p>
        </w:tc>
        <w:tc>
          <w:tcPr>
            <w:tcW w:type="dxa" w:w="3571"/>
            <w:vAlign w:val="center"/>
            <w:shd w:fill="EEEEEE" w:val="clear"/>
          </w:tcPr>
          <w:p>
            <w:pPr>
              <w:pStyle w:val="TableText"/>
              <w:keepNext w:val="0"/>
            </w:pPr>
            <w:r>
              <w:rPr>
                <w:b/>
              </w:rPr>
              <w:t>Stored information</w:t>
            </w:r>
          </w:p>
        </w:tc>
        <w:tc>
          <w:tcPr>
            <w:tcW w:type="dxa" w:w="4104"/>
            <w:vAlign w:val="center"/>
            <w:shd w:fill="EEEEEE" w:val="clear"/>
          </w:tcPr>
          <w:p>
            <w:pPr>
              <w:pStyle w:val="TableText"/>
              <w:keepNext w:val="0"/>
            </w:pPr>
            <w:r>
              <w:rPr>
                <w:b/>
              </w:rPr>
              <w:t>Retention / deletion boundary</w:t>
            </w:r>
          </w:p>
        </w:tc>
      </w:tr>
      <w:tr>
        <w:trPr>
          <w:cantSplit/>
        </w:trPr>
        <w:tc>
          <w:tcPr>
            <w:tcW w:type="dxa" w:w="1685"/>
            <w:vAlign w:val="center"/>
          </w:tcPr>
          <w:p>
            <w:pPr>
              <w:pStyle w:val="TableText"/>
              <w:keepNext w:val="0"/>
            </w:pPr>
            <w:r>
              <w:t>Jobs, applications and assessments</w:t>
            </w:r>
          </w:p>
        </w:tc>
        <w:tc>
          <w:tcPr>
            <w:tcW w:type="dxa" w:w="3571"/>
            <w:vAlign w:val="center"/>
          </w:tcPr>
          <w:p>
            <w:pPr>
              <w:pStyle w:val="TableText"/>
              <w:keepNext w:val="0"/>
            </w:pPr>
            <w:r>
              <w:t>Owned records, source response IDs, approved versions, findings, score/configuration snapshots.</w:t>
            </w:r>
          </w:p>
        </w:tc>
        <w:tc>
          <w:tcPr>
            <w:tcW w:type="dxa" w:w="4104"/>
            <w:vAlign w:val="center"/>
          </w:tcPr>
          <w:p>
            <w:pPr>
              <w:pStyle w:val="TableText"/>
              <w:keepNext w:val="0"/>
            </w:pPr>
            <w:r>
              <w:t>Until authorized deletion or applicable operational retention; do not invent a global indefinite policy.</w:t>
            </w:r>
          </w:p>
        </w:tc>
      </w:tr>
      <w:tr>
        <w:trPr>
          <w:cantSplit/>
        </w:trPr>
        <w:tc>
          <w:tcPr>
            <w:tcW w:type="dxa" w:w="1685"/>
            <w:vAlign w:val="center"/>
          </w:tcPr>
          <w:p>
            <w:pPr>
              <w:pStyle w:val="TableText"/>
              <w:keepNext w:val="0"/>
            </w:pPr>
            <w:r>
              <w:t>Private CVs and knowledge</w:t>
            </w:r>
          </w:p>
        </w:tc>
        <w:tc>
          <w:tcPr>
            <w:tcW w:type="dxa" w:w="3571"/>
            <w:vAlign w:val="center"/>
          </w:tcPr>
          <w:p>
            <w:pPr>
              <w:pStyle w:val="TableText"/>
              <w:keepNext w:val="0"/>
            </w:pPr>
            <w:r>
              <w:t>Authorized files/chunks, page/block locators and vectors.</w:t>
            </w:r>
          </w:p>
        </w:tc>
        <w:tc>
          <w:tcPr>
            <w:tcW w:type="dxa" w:w="4104"/>
            <w:vAlign w:val="center"/>
          </w:tcPr>
          <w:p>
            <w:pPr>
              <w:pStyle w:val="TableText"/>
              <w:keepNext w:val="0"/>
            </w:pPr>
            <w:r>
              <w:t>Deleted or invalidated with their owning record and applicable policy; vectors are not shared across candidate scope.</w:t>
            </w:r>
          </w:p>
        </w:tc>
      </w:tr>
      <w:tr>
        <w:trPr>
          <w:cantSplit/>
        </w:trPr>
        <w:tc>
          <w:tcPr>
            <w:tcW w:type="dxa" w:w="1685"/>
            <w:vAlign w:val="center"/>
          </w:tcPr>
          <w:p>
            <w:pPr>
              <w:pStyle w:val="TableText"/>
              <w:keepNext w:val="0"/>
            </w:pPr>
            <w:r>
              <w:t>Transcript and practical content</w:t>
            </w:r>
          </w:p>
        </w:tc>
        <w:tc>
          <w:tcPr>
            <w:tcW w:type="dxa" w:w="3571"/>
            <w:vAlign w:val="center"/>
          </w:tcPr>
          <w:p>
            <w:pPr>
              <w:pStyle w:val="TableText"/>
              <w:keepNext w:val="0"/>
            </w:pPr>
            <w:r>
              <w:t>Final text, source segments, submitted work and evidence.</w:t>
            </w:r>
          </w:p>
        </w:tc>
        <w:tc>
          <w:tcPr>
            <w:tcW w:type="dxa" w:w="4104"/>
            <w:vAlign w:val="center"/>
          </w:tcPr>
          <w:p>
            <w:pPr>
              <w:pStyle w:val="TableText"/>
              <w:keepNext w:val="0"/>
            </w:pPr>
            <w:r>
              <w:t>Default 30 days each; expiry may invalidate dependent details/reports. No raw interview A/V recordings.</w:t>
            </w:r>
          </w:p>
        </w:tc>
      </w:tr>
      <w:tr>
        <w:trPr>
          <w:cantSplit/>
        </w:trPr>
        <w:tc>
          <w:tcPr>
            <w:tcW w:type="dxa" w:w="1685"/>
            <w:vAlign w:val="center"/>
          </w:tcPr>
          <w:p>
            <w:pPr>
              <w:pStyle w:val="TableText"/>
              <w:keepNext w:val="0"/>
            </w:pPr>
            <w:r>
              <w:t>Biometric processing</w:t>
            </w:r>
          </w:p>
        </w:tc>
        <w:tc>
          <w:tcPr>
            <w:tcW w:type="dxa" w:w="3571"/>
            <w:vAlign w:val="center"/>
          </w:tcPr>
          <w:p>
            <w:pPr>
              <w:pStyle w:val="TableText"/>
              <w:keepNext w:val="0"/>
            </w:pPr>
            <w:r>
              <w:t>Encrypted reference/templates; audit state and current consent.</w:t>
            </w:r>
          </w:p>
        </w:tc>
        <w:tc>
          <w:tcPr>
            <w:tcW w:type="dxa" w:w="4104"/>
            <w:vAlign w:val="center"/>
          </w:tcPr>
          <w:p>
            <w:pPr>
              <w:pStyle w:val="TableText"/>
              <w:keepNext w:val="0"/>
            </w:pPr>
            <w:r>
              <w:t>Earlier of 30 days or 7 days after interview; withdrawal/app deletion removes app-controlled material. Temporary frames are not retained.</w:t>
            </w:r>
          </w:p>
        </w:tc>
      </w:tr>
      <w:tr>
        <w:trPr>
          <w:cantSplit/>
        </w:trPr>
        <w:tc>
          <w:tcPr>
            <w:tcW w:type="dxa" w:w="1685"/>
            <w:vAlign w:val="center"/>
          </w:tcPr>
          <w:p>
            <w:pPr>
              <w:pStyle w:val="TableText"/>
              <w:keepNext w:val="0"/>
            </w:pPr>
            <w:r>
              <w:t>Original form uploads / email</w:t>
            </w:r>
          </w:p>
        </w:tc>
        <w:tc>
          <w:tcPr>
            <w:tcW w:type="dxa" w:w="3571"/>
            <w:vAlign w:val="center"/>
          </w:tcPr>
          <w:p>
            <w:pPr>
              <w:pStyle w:val="TableText"/>
              <w:keepNext w:val="0"/>
            </w:pPr>
            <w:r>
              <w:t>Source Drive uploads and delivered messages are controlled outside HireSense.</w:t>
            </w:r>
          </w:p>
        </w:tc>
        <w:tc>
          <w:tcPr>
            <w:tcW w:type="dxa" w:w="4104"/>
            <w:vAlign w:val="center"/>
          </w:tcPr>
          <w:p>
            <w:pPr>
              <w:pStyle w:val="TableText"/>
              <w:keepNext w:val="0"/>
            </w:pPr>
            <w:r>
              <w:t>Read-only integration cannot delete originals or revoke already delivered email; private links can be revoked.</w:t>
            </w:r>
          </w:p>
        </w:tc>
      </w:tr>
      <w:tr>
        <w:trPr>
          <w:cantSplit/>
        </w:trPr>
        <w:tc>
          <w:tcPr>
            <w:tcW w:type="dxa" w:w="1685"/>
            <w:vAlign w:val="center"/>
          </w:tcPr>
          <w:p>
            <w:pPr>
              <w:pStyle w:val="TableText"/>
              <w:keepNext w:val="0"/>
            </w:pPr>
            <w:r>
              <w:t>Secrets, model cache and backups</w:t>
            </w:r>
          </w:p>
        </w:tc>
        <w:tc>
          <w:tcPr>
            <w:tcW w:type="dxa" w:w="3571"/>
            <w:vAlign w:val="center"/>
          </w:tcPr>
          <w:p>
            <w:pPr>
              <w:pStyle w:val="TableText"/>
              <w:keepNext w:val="0"/>
            </w:pPr>
            <w:r>
              <w:t>Private keys, downloaded model assets and protected recovery copies.</w:t>
            </w:r>
          </w:p>
        </w:tc>
        <w:tc>
          <w:tcPr>
            <w:tcW w:type="dxa" w:w="4104"/>
            <w:vAlign w:val="center"/>
          </w:tcPr>
          <w:p>
            <w:pPr>
              <w:pStyle w:val="TableText"/>
              <w:keepNext w:val="0"/>
            </w:pPr>
            <w:r>
              <w:t>Operator-controlled protection/rotation; model and encryption metadata must stay compatible.</w:t>
            </w:r>
          </w:p>
        </w:tc>
      </w:tr>
    </w:tbl>
    <w:p>
      <w:pPr>
        <w:pStyle w:val="TableGap"/>
        <w:keepNext w:val="0"/>
      </w:pPr>
    </w:p>
    <w:p>
      <w:bookmarkStart w:id="43" w:name="SRS_43"/>
      <w:pPr>
        <w:pStyle w:val="Heading2"/>
      </w:pPr>
      <w:r>
        <w:t>9.2 Verification and traceability</w:t>
      </w:r>
      <w:bookmarkEnd w:id="43"/>
    </w:p>
    <w:p>
      <w:r>
        <w:t>For every TC identifier, the acceptance record should include requirement ID, setup/preconditions, authorized actor, input, action, expected result, observed result and pass/fail evidence. Use deterministic fixtures for arithmetic and adverse-state cases; use authorized or labeled synthetic records for end-to-end demonstrations.</w:t>
      </w:r>
    </w:p>
    <w:p>
      <w:r>
        <w:t>The source files below are relevant implementation-test areas, not a one-to-one claim that every SRS acceptance scenario has already been automated or passed. Paths are under backend/tests/ unless prefixed with frontend/. Live-provider, PostgreSQL and browser-media checks require their documented environment.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21"/>
        <w:gridCol w:w="2275"/>
        <w:gridCol w:w="6264"/>
      </w:tblGrid>
      <w:tr>
        <w:trPr>
          <w:tblHeader/>
          <w:cantSplit/>
        </w:trPr>
        <w:tc>
          <w:tcPr>
            <w:tcW w:type="dxa" w:w="821"/>
            <w:vAlign w:val="center"/>
            <w:shd w:fill="EEEEEE" w:val="clear"/>
          </w:tcPr>
          <w:p>
            <w:pPr>
              <w:pStyle w:val="TableText"/>
              <w:keepNext w:val="0"/>
              <w:jc w:val="center"/>
            </w:pPr>
            <w:r>
              <w:rPr>
                <w:b/>
              </w:rPr>
              <w:t>No.</w:t>
            </w:r>
          </w:p>
        </w:tc>
        <w:tc>
          <w:tcPr>
            <w:tcW w:type="dxa" w:w="2275"/>
            <w:vAlign w:val="center"/>
            <w:shd w:fill="EEEEEE" w:val="clear"/>
          </w:tcPr>
          <w:p>
            <w:pPr>
              <w:pStyle w:val="TableText"/>
              <w:keepNext w:val="0"/>
            </w:pPr>
            <w:r>
              <w:rPr>
                <w:b/>
              </w:rPr>
              <w:t>Acceptance scenarios</w:t>
            </w:r>
          </w:p>
        </w:tc>
        <w:tc>
          <w:tcPr>
            <w:tcW w:type="dxa" w:w="6264"/>
            <w:vAlign w:val="center"/>
            <w:shd w:fill="EEEEEE" w:val="clear"/>
          </w:tcPr>
          <w:p>
            <w:pPr>
              <w:pStyle w:val="TableText"/>
              <w:keepNext w:val="0"/>
            </w:pPr>
            <w:r>
              <w:rPr>
                <w:b/>
              </w:rPr>
              <w:t>Existing verification area</w:t>
            </w:r>
          </w:p>
        </w:tc>
      </w:tr>
      <w:tr>
        <w:trPr>
          <w:cantSplit/>
        </w:trPr>
        <w:tc>
          <w:tcPr>
            <w:tcW w:type="dxa" w:w="821"/>
            <w:vAlign w:val="center"/>
          </w:tcPr>
          <w:p>
            <w:pPr>
              <w:pStyle w:val="TableText"/>
              <w:keepNext w:val="0"/>
              <w:jc w:val="center"/>
            </w:pPr>
            <w:r>
              <w:t>01</w:t>
            </w:r>
          </w:p>
        </w:tc>
        <w:tc>
          <w:tcPr>
            <w:tcW w:type="dxa" w:w="2275"/>
            <w:vAlign w:val="center"/>
          </w:tcPr>
          <w:p>
            <w:pPr>
              <w:pStyle w:val="TableText"/>
              <w:keepNext w:val="0"/>
            </w:pPr>
            <w:r>
              <w:t>TC01.01–TC01.05</w:t>
            </w:r>
          </w:p>
        </w:tc>
        <w:tc>
          <w:tcPr>
            <w:tcW w:type="dxa" w:w="6264"/>
            <w:vAlign w:val="center"/>
          </w:tcPr>
          <w:p>
            <w:pPr>
              <w:pStyle w:val="TableText"/>
              <w:keepNext w:val="0"/>
            </w:pPr>
            <w:r>
              <w:t>test_auth.py; test_interview_rooms.py</w:t>
            </w:r>
          </w:p>
        </w:tc>
      </w:tr>
      <w:tr>
        <w:trPr>
          <w:cantSplit/>
        </w:trPr>
        <w:tc>
          <w:tcPr>
            <w:tcW w:type="dxa" w:w="821"/>
            <w:vAlign w:val="center"/>
          </w:tcPr>
          <w:p>
            <w:pPr>
              <w:pStyle w:val="TableText"/>
              <w:keepNext w:val="0"/>
              <w:jc w:val="center"/>
            </w:pPr>
            <w:r>
              <w:t>02</w:t>
            </w:r>
          </w:p>
        </w:tc>
        <w:tc>
          <w:tcPr>
            <w:tcW w:type="dxa" w:w="2275"/>
            <w:vAlign w:val="center"/>
          </w:tcPr>
          <w:p>
            <w:pPr>
              <w:pStyle w:val="TableText"/>
              <w:keepNext w:val="0"/>
            </w:pPr>
            <w:r>
              <w:t>TC02.01–TC02.04</w:t>
            </w:r>
          </w:p>
        </w:tc>
        <w:tc>
          <w:tcPr>
            <w:tcW w:type="dxa" w:w="6264"/>
            <w:vAlign w:val="center"/>
          </w:tcPr>
          <w:p>
            <w:pPr>
              <w:pStyle w:val="TableText"/>
              <w:keepNext w:val="0"/>
            </w:pPr>
            <w:r>
              <w:t>test_rag.py; test_knowledge_pdf.py; test_ollama_bootstrap.py; test_semantic_screening.py</w:t>
            </w:r>
          </w:p>
        </w:tc>
      </w:tr>
      <w:tr>
        <w:trPr>
          <w:cantSplit/>
        </w:trPr>
        <w:tc>
          <w:tcPr>
            <w:tcW w:type="dxa" w:w="821"/>
            <w:vAlign w:val="center"/>
          </w:tcPr>
          <w:p>
            <w:pPr>
              <w:pStyle w:val="TableText"/>
              <w:keepNext w:val="0"/>
              <w:jc w:val="center"/>
            </w:pPr>
            <w:r>
              <w:t>03</w:t>
            </w:r>
          </w:p>
        </w:tc>
        <w:tc>
          <w:tcPr>
            <w:tcW w:type="dxa" w:w="2275"/>
            <w:vAlign w:val="center"/>
          </w:tcPr>
          <w:p>
            <w:pPr>
              <w:pStyle w:val="TableText"/>
              <w:keepNext w:val="0"/>
            </w:pPr>
            <w:r>
              <w:t>TC03.01–TC03.05</w:t>
            </w:r>
          </w:p>
        </w:tc>
        <w:tc>
          <w:tcPr>
            <w:tcW w:type="dxa" w:w="6264"/>
            <w:vAlign w:val="center"/>
          </w:tcPr>
          <w:p>
            <w:pPr>
              <w:pStyle w:val="TableText"/>
              <w:keepNext w:val="0"/>
            </w:pPr>
            <w:r>
              <w:t>test_direct_job_description.py; test_job_description.py; test_manual_jobs.py; test_requirement_discovery_retirement.py</w:t>
            </w:r>
          </w:p>
        </w:tc>
      </w:tr>
      <w:tr>
        <w:trPr>
          <w:cantSplit/>
        </w:trPr>
        <w:tc>
          <w:tcPr>
            <w:tcW w:type="dxa" w:w="821"/>
            <w:vAlign w:val="center"/>
          </w:tcPr>
          <w:p>
            <w:pPr>
              <w:pStyle w:val="TableText"/>
              <w:keepNext w:val="0"/>
              <w:jc w:val="center"/>
            </w:pPr>
            <w:r>
              <w:t>04</w:t>
            </w:r>
          </w:p>
        </w:tc>
        <w:tc>
          <w:tcPr>
            <w:tcW w:type="dxa" w:w="2275"/>
            <w:vAlign w:val="center"/>
          </w:tcPr>
          <w:p>
            <w:pPr>
              <w:pStyle w:val="TableText"/>
              <w:keepNext w:val="0"/>
            </w:pPr>
            <w:r>
              <w:t>TC04.01–TC04.04</w:t>
            </w:r>
          </w:p>
        </w:tc>
        <w:tc>
          <w:tcPr>
            <w:tcW w:type="dxa" w:w="6264"/>
            <w:vAlign w:val="center"/>
          </w:tcPr>
          <w:p>
            <w:pPr>
              <w:pStyle w:val="TableText"/>
              <w:keepNext w:val="0"/>
            </w:pPr>
            <w:r>
              <w:t>test_job_posting.py; test_mcp_config.py</w:t>
            </w:r>
          </w:p>
        </w:tc>
      </w:tr>
      <w:tr>
        <w:trPr>
          <w:cantSplit/>
        </w:trPr>
        <w:tc>
          <w:tcPr>
            <w:tcW w:type="dxa" w:w="821"/>
            <w:vAlign w:val="center"/>
          </w:tcPr>
          <w:p>
            <w:pPr>
              <w:pStyle w:val="TableText"/>
              <w:keepNext w:val="0"/>
              <w:jc w:val="center"/>
            </w:pPr>
            <w:r>
              <w:t>05</w:t>
            </w:r>
          </w:p>
        </w:tc>
        <w:tc>
          <w:tcPr>
            <w:tcW w:type="dxa" w:w="2275"/>
            <w:vAlign w:val="center"/>
          </w:tcPr>
          <w:p>
            <w:pPr>
              <w:pStyle w:val="TableText"/>
              <w:keepNext w:val="0"/>
            </w:pPr>
            <w:r>
              <w:t>TC05.01–TC05.06</w:t>
            </w:r>
          </w:p>
        </w:tc>
        <w:tc>
          <w:tcPr>
            <w:tcW w:type="dxa" w:w="6264"/>
            <w:vAlign w:val="center"/>
          </w:tcPr>
          <w:p>
            <w:pPr>
              <w:pStyle w:val="TableText"/>
              <w:keepNext w:val="0"/>
            </w:pPr>
            <w:r>
              <w:t>test_google_forms_intake.py; test_application_identity.py; test_candidate_bulk_delete.py; test_google_forms_notifications.py; test_candidate_cv_access.py</w:t>
            </w:r>
          </w:p>
        </w:tc>
      </w:tr>
      <w:tr>
        <w:trPr>
          <w:cantSplit/>
        </w:trPr>
        <w:tc>
          <w:tcPr>
            <w:tcW w:type="dxa" w:w="821"/>
            <w:vAlign w:val="center"/>
          </w:tcPr>
          <w:p>
            <w:pPr>
              <w:pStyle w:val="TableText"/>
              <w:keepNext w:val="0"/>
              <w:jc w:val="center"/>
            </w:pPr>
            <w:r>
              <w:t>06</w:t>
            </w:r>
          </w:p>
        </w:tc>
        <w:tc>
          <w:tcPr>
            <w:tcW w:type="dxa" w:w="2275"/>
            <w:vAlign w:val="center"/>
          </w:tcPr>
          <w:p>
            <w:pPr>
              <w:pStyle w:val="TableText"/>
              <w:keepNext w:val="0"/>
            </w:pPr>
            <w:r>
              <w:t>TC06.01–TC06.06</w:t>
            </w:r>
          </w:p>
        </w:tc>
        <w:tc>
          <w:tcPr>
            <w:tcW w:type="dxa" w:w="6264"/>
            <w:vAlign w:val="center"/>
          </w:tcPr>
          <w:p>
            <w:pPr>
              <w:pStyle w:val="TableText"/>
              <w:keepNext w:val="0"/>
            </w:pPr>
            <w:r>
              <w:t>test_cv_ocr.py; test_screening.py; test_semantic_screening.py</w:t>
            </w:r>
          </w:p>
        </w:tc>
      </w:tr>
      <w:tr>
        <w:trPr>
          <w:cantSplit/>
        </w:trPr>
        <w:tc>
          <w:tcPr>
            <w:tcW w:type="dxa" w:w="821"/>
            <w:vAlign w:val="center"/>
          </w:tcPr>
          <w:p>
            <w:pPr>
              <w:pStyle w:val="TableText"/>
              <w:keepNext w:val="0"/>
              <w:jc w:val="center"/>
            </w:pPr>
            <w:r>
              <w:t>07</w:t>
            </w:r>
          </w:p>
        </w:tc>
        <w:tc>
          <w:tcPr>
            <w:tcW w:type="dxa" w:w="2275"/>
            <w:vAlign w:val="center"/>
          </w:tcPr>
          <w:p>
            <w:pPr>
              <w:pStyle w:val="TableText"/>
              <w:keepNext w:val="0"/>
            </w:pPr>
            <w:r>
              <w:t>TC07.01–TC07.05</w:t>
            </w:r>
          </w:p>
        </w:tc>
        <w:tc>
          <w:tcPr>
            <w:tcW w:type="dxa" w:w="6264"/>
            <w:vAlign w:val="center"/>
          </w:tcPr>
          <w:p>
            <w:pPr>
              <w:pStyle w:val="TableText"/>
              <w:keepNext w:val="0"/>
            </w:pPr>
            <w:r>
              <w:t>test_scoring_calculation.py; test_scoring.py; test_scoring_presentation.py</w:t>
            </w:r>
          </w:p>
        </w:tc>
      </w:tr>
      <w:tr>
        <w:trPr>
          <w:cantSplit/>
        </w:trPr>
        <w:tc>
          <w:tcPr>
            <w:tcW w:type="dxa" w:w="821"/>
            <w:vAlign w:val="center"/>
          </w:tcPr>
          <w:p>
            <w:pPr>
              <w:pStyle w:val="TableText"/>
              <w:keepNext w:val="0"/>
              <w:jc w:val="center"/>
            </w:pPr>
            <w:r>
              <w:t>08</w:t>
            </w:r>
          </w:p>
        </w:tc>
        <w:tc>
          <w:tcPr>
            <w:tcW w:type="dxa" w:w="2275"/>
            <w:vAlign w:val="center"/>
          </w:tcPr>
          <w:p>
            <w:pPr>
              <w:pStyle w:val="TableText"/>
              <w:keepNext w:val="0"/>
            </w:pPr>
            <w:r>
              <w:t>TC08.01–TC08.06</w:t>
            </w:r>
          </w:p>
        </w:tc>
        <w:tc>
          <w:tcPr>
            <w:tcW w:type="dxa" w:w="6264"/>
            <w:vAlign w:val="center"/>
          </w:tcPr>
          <w:p>
            <w:pPr>
              <w:pStyle w:val="TableText"/>
              <w:keepNext w:val="0"/>
            </w:pPr>
            <w:r>
              <w:t>test_interviews.py; test_interview_tools.py; test_livekit_cloud.py</w:t>
            </w:r>
          </w:p>
        </w:tc>
      </w:tr>
      <w:tr>
        <w:trPr>
          <w:cantSplit/>
        </w:trPr>
        <w:tc>
          <w:tcPr>
            <w:tcW w:type="dxa" w:w="821"/>
            <w:vAlign w:val="center"/>
          </w:tcPr>
          <w:p>
            <w:pPr>
              <w:pStyle w:val="TableText"/>
              <w:keepNext w:val="0"/>
              <w:jc w:val="center"/>
            </w:pPr>
            <w:r>
              <w:t>09</w:t>
            </w:r>
          </w:p>
        </w:tc>
        <w:tc>
          <w:tcPr>
            <w:tcW w:type="dxa" w:w="2275"/>
            <w:vAlign w:val="center"/>
          </w:tcPr>
          <w:p>
            <w:pPr>
              <w:pStyle w:val="TableText"/>
              <w:keepNext w:val="0"/>
            </w:pPr>
            <w:r>
              <w:t>TC09.01–TC09.05</w:t>
            </w:r>
          </w:p>
        </w:tc>
        <w:tc>
          <w:tcPr>
            <w:tcW w:type="dxa" w:w="6264"/>
            <w:vAlign w:val="center"/>
          </w:tcPr>
          <w:p>
            <w:pPr>
              <w:pStyle w:val="TableText"/>
              <w:keepNext w:val="0"/>
            </w:pPr>
            <w:r>
              <w:t>test_interview_rooms.py; test_livekit_cloud.py; test_livekit_integration.py</w:t>
            </w:r>
          </w:p>
        </w:tc>
      </w:tr>
      <w:tr>
        <w:trPr>
          <w:cantSplit/>
        </w:trPr>
        <w:tc>
          <w:tcPr>
            <w:tcW w:type="dxa" w:w="821"/>
            <w:vAlign w:val="center"/>
          </w:tcPr>
          <w:p>
            <w:pPr>
              <w:pStyle w:val="TableText"/>
              <w:keepNext w:val="0"/>
              <w:jc w:val="center"/>
            </w:pPr>
            <w:r>
              <w:t>10</w:t>
            </w:r>
          </w:p>
        </w:tc>
        <w:tc>
          <w:tcPr>
            <w:tcW w:type="dxa" w:w="2275"/>
            <w:vAlign w:val="center"/>
          </w:tcPr>
          <w:p>
            <w:pPr>
              <w:pStyle w:val="TableText"/>
              <w:keepNext w:val="0"/>
            </w:pPr>
            <w:r>
              <w:t>TC10.01–TC10.05</w:t>
            </w:r>
          </w:p>
        </w:tc>
        <w:tc>
          <w:tcPr>
            <w:tcW w:type="dxa" w:w="6264"/>
            <w:vAlign w:val="center"/>
          </w:tcPr>
          <w:p>
            <w:pPr>
              <w:pStyle w:val="TableText"/>
              <w:keepNext w:val="0"/>
            </w:pPr>
            <w:r>
              <w:t>test_transcription.py; transcription_worker/test_worker.py</w:t>
            </w:r>
          </w:p>
        </w:tc>
      </w:tr>
      <w:tr>
        <w:trPr>
          <w:cantSplit/>
        </w:trPr>
        <w:tc>
          <w:tcPr>
            <w:tcW w:type="dxa" w:w="821"/>
            <w:vAlign w:val="center"/>
          </w:tcPr>
          <w:p>
            <w:pPr>
              <w:pStyle w:val="TableText"/>
              <w:keepNext w:val="0"/>
              <w:jc w:val="center"/>
            </w:pPr>
            <w:r>
              <w:t>11</w:t>
            </w:r>
          </w:p>
        </w:tc>
        <w:tc>
          <w:tcPr>
            <w:tcW w:type="dxa" w:w="2275"/>
            <w:vAlign w:val="center"/>
          </w:tcPr>
          <w:p>
            <w:pPr>
              <w:pStyle w:val="TableText"/>
              <w:keepNext w:val="0"/>
            </w:pPr>
            <w:r>
              <w:t>TC11.01–TC11.05</w:t>
            </w:r>
          </w:p>
        </w:tc>
        <w:tc>
          <w:tcPr>
            <w:tcW w:type="dxa" w:w="6264"/>
            <w:vAlign w:val="center"/>
          </w:tcPr>
          <w:p>
            <w:pPr>
              <w:pStyle w:val="TableText"/>
              <w:keepNext w:val="0"/>
            </w:pPr>
            <w:r>
              <w:t>test_supervisor_graph.py; test_supervisor.py; test_supervisor_candidates.py; test_interview_copilot.py; test_interview_tools.py</w:t>
            </w:r>
          </w:p>
        </w:tc>
      </w:tr>
      <w:tr>
        <w:trPr>
          <w:cantSplit/>
        </w:trPr>
        <w:tc>
          <w:tcPr>
            <w:tcW w:type="dxa" w:w="821"/>
            <w:vAlign w:val="center"/>
          </w:tcPr>
          <w:p>
            <w:pPr>
              <w:pStyle w:val="TableText"/>
              <w:keepNext w:val="0"/>
              <w:jc w:val="center"/>
            </w:pPr>
            <w:r>
              <w:t>12</w:t>
            </w:r>
          </w:p>
        </w:tc>
        <w:tc>
          <w:tcPr>
            <w:tcW w:type="dxa" w:w="2275"/>
            <w:vAlign w:val="center"/>
          </w:tcPr>
          <w:p>
            <w:pPr>
              <w:pStyle w:val="TableText"/>
              <w:keepNext w:val="0"/>
            </w:pPr>
            <w:r>
              <w:t>TC12.01–TC12.07</w:t>
            </w:r>
          </w:p>
        </w:tc>
        <w:tc>
          <w:tcPr>
            <w:tcW w:type="dxa" w:w="6264"/>
            <w:vAlign w:val="center"/>
          </w:tcPr>
          <w:p>
            <w:pPr>
              <w:pStyle w:val="TableText"/>
              <w:keepNext w:val="0"/>
            </w:pPr>
            <w:r>
              <w:t>test_interview_analysis.py; test_interview_scope.py; test_transcript_scoring_robustness.py; test_performance_summary.py</w:t>
            </w:r>
          </w:p>
        </w:tc>
      </w:tr>
      <w:tr>
        <w:trPr>
          <w:cantSplit/>
        </w:trPr>
        <w:tc>
          <w:tcPr>
            <w:tcW w:type="dxa" w:w="821"/>
            <w:vAlign w:val="center"/>
          </w:tcPr>
          <w:p>
            <w:pPr>
              <w:pStyle w:val="TableText"/>
              <w:keepNext w:val="0"/>
              <w:jc w:val="center"/>
            </w:pPr>
            <w:r>
              <w:t>13</w:t>
            </w:r>
          </w:p>
        </w:tc>
        <w:tc>
          <w:tcPr>
            <w:tcW w:type="dxa" w:w="2275"/>
            <w:vAlign w:val="center"/>
          </w:tcPr>
          <w:p>
            <w:pPr>
              <w:pStyle w:val="TableText"/>
              <w:keepNext w:val="0"/>
            </w:pPr>
            <w:r>
              <w:t>TC13.01–TC13.07</w:t>
            </w:r>
          </w:p>
        </w:tc>
        <w:tc>
          <w:tcPr>
            <w:tcW w:type="dxa" w:w="6264"/>
            <w:vAlign w:val="center"/>
          </w:tcPr>
          <w:p>
            <w:pPr>
              <w:pStyle w:val="TableText"/>
              <w:keepNext w:val="0"/>
            </w:pPr>
            <w:r>
              <w:t>test_work_samples.py; test_work_sample_postgres.py</w:t>
            </w:r>
          </w:p>
        </w:tc>
      </w:tr>
      <w:tr>
        <w:trPr>
          <w:cantSplit/>
        </w:trPr>
        <w:tc>
          <w:tcPr>
            <w:tcW w:type="dxa" w:w="821"/>
            <w:vAlign w:val="center"/>
          </w:tcPr>
          <w:p>
            <w:pPr>
              <w:pStyle w:val="TableText"/>
              <w:keepNext w:val="0"/>
              <w:jc w:val="center"/>
            </w:pPr>
            <w:r>
              <w:t>14</w:t>
            </w:r>
          </w:p>
        </w:tc>
        <w:tc>
          <w:tcPr>
            <w:tcW w:type="dxa" w:w="2275"/>
            <w:vAlign w:val="center"/>
          </w:tcPr>
          <w:p>
            <w:pPr>
              <w:pStyle w:val="TableText"/>
              <w:keepNext w:val="0"/>
            </w:pPr>
            <w:r>
              <w:t>TC14.01–TC14.05</w:t>
            </w:r>
          </w:p>
        </w:tc>
        <w:tc>
          <w:tcPr>
            <w:tcW w:type="dxa" w:w="6264"/>
            <w:vAlign w:val="center"/>
          </w:tcPr>
          <w:p>
            <w:pPr>
              <w:pStyle w:val="TableText"/>
              <w:keepNext w:val="0"/>
            </w:pPr>
            <w:r>
              <w:t>test_candidate_identity.py; test_candidate_photo.py; test_identity_postgres.py</w:t>
            </w:r>
          </w:p>
        </w:tc>
      </w:tr>
      <w:tr>
        <w:trPr>
          <w:cantSplit/>
        </w:trPr>
        <w:tc>
          <w:tcPr>
            <w:tcW w:type="dxa" w:w="821"/>
            <w:vAlign w:val="center"/>
          </w:tcPr>
          <w:p>
            <w:pPr>
              <w:pStyle w:val="TableText"/>
              <w:keepNext w:val="0"/>
              <w:jc w:val="center"/>
            </w:pPr>
            <w:r>
              <w:t>15</w:t>
            </w:r>
          </w:p>
        </w:tc>
        <w:tc>
          <w:tcPr>
            <w:tcW w:type="dxa" w:w="2275"/>
            <w:vAlign w:val="center"/>
          </w:tcPr>
          <w:p>
            <w:pPr>
              <w:pStyle w:val="TableText"/>
              <w:keepNext w:val="0"/>
            </w:pPr>
            <w:r>
              <w:t>TC15.01–TC15.05</w:t>
            </w:r>
          </w:p>
        </w:tc>
        <w:tc>
          <w:tcPr>
            <w:tcW w:type="dxa" w:w="6264"/>
            <w:vAlign w:val="center"/>
          </w:tcPr>
          <w:p>
            <w:pPr>
              <w:pStyle w:val="TableText"/>
              <w:keepNext w:val="0"/>
            </w:pPr>
            <w:r>
              <w:t>test_final_ranking.py; test_assessments.py</w:t>
            </w:r>
          </w:p>
        </w:tc>
      </w:tr>
      <w:tr>
        <w:trPr>
          <w:cantSplit/>
        </w:trPr>
        <w:tc>
          <w:tcPr>
            <w:tcW w:type="dxa" w:w="821"/>
            <w:vAlign w:val="center"/>
          </w:tcPr>
          <w:p>
            <w:pPr>
              <w:pStyle w:val="TableText"/>
              <w:keepNext w:val="0"/>
              <w:jc w:val="center"/>
            </w:pPr>
            <w:r>
              <w:t>16</w:t>
            </w:r>
          </w:p>
        </w:tc>
        <w:tc>
          <w:tcPr>
            <w:tcW w:type="dxa" w:w="2275"/>
            <w:vAlign w:val="center"/>
          </w:tcPr>
          <w:p>
            <w:pPr>
              <w:pStyle w:val="TableText"/>
              <w:keepNext w:val="0"/>
            </w:pPr>
            <w:r>
              <w:t>TC16.01–TC16.04</w:t>
            </w:r>
          </w:p>
        </w:tc>
        <w:tc>
          <w:tcPr>
            <w:tcW w:type="dxa" w:w="6264"/>
            <w:vAlign w:val="center"/>
          </w:tcPr>
          <w:p>
            <w:pPr>
              <w:pStyle w:val="TableText"/>
              <w:keepNext w:val="0"/>
            </w:pPr>
            <w:r>
              <w:t>test_assessments.py; test_performance_summary.py; test_final_ranking.py</w:t>
            </w:r>
          </w:p>
        </w:tc>
      </w:tr>
      <w:tr>
        <w:trPr>
          <w:cantSplit/>
        </w:trPr>
        <w:tc>
          <w:tcPr>
            <w:tcW w:type="dxa" w:w="821"/>
            <w:vAlign w:val="center"/>
          </w:tcPr>
          <w:p>
            <w:pPr>
              <w:pStyle w:val="TableText"/>
              <w:keepNext w:val="0"/>
              <w:jc w:val="center"/>
            </w:pPr>
            <w:r>
              <w:t>17</w:t>
            </w:r>
          </w:p>
        </w:tc>
        <w:tc>
          <w:tcPr>
            <w:tcW w:type="dxa" w:w="2275"/>
            <w:vAlign w:val="center"/>
          </w:tcPr>
          <w:p>
            <w:pPr>
              <w:pStyle w:val="TableText"/>
              <w:keepNext w:val="0"/>
            </w:pPr>
            <w:r>
              <w:t>TC17.01–TC17.04</w:t>
            </w:r>
          </w:p>
        </w:tc>
        <w:tc>
          <w:tcPr>
            <w:tcW w:type="dxa" w:w="6264"/>
            <w:vAlign w:val="center"/>
          </w:tcPr>
          <w:p>
            <w:pPr>
              <w:pStyle w:val="TableText"/>
              <w:keepNext w:val="0"/>
            </w:pPr>
            <w:r>
              <w:t>test_google_forms_notifications.py; test_supervisor_candidates.py</w:t>
            </w:r>
          </w:p>
        </w:tc>
      </w:tr>
    </w:tbl>
    <w:p>
      <w:pPr>
        <w:pStyle w:val="TableGap"/>
        <w:keepNext w:val="0"/>
      </w:pPr>
    </w:p>
    <w:p>
      <w:r>
        <w:t>Cross-screen verification also uses frontend/tests/rooms/, including account-access, candidates-page, schedule-interviews-page, invitation-delivery-status, console, candidate, analysis, identity, work-samples, final-ranking-table, reports-page and workflow-navigation tests.</w:t>
      </w:r>
    </w:p>
    <w:p>
      <w:bookmarkStart w:id="44" w:name="SRS_44"/>
      <w:pPr>
        <w:pStyle w:val="Heading2"/>
      </w:pPr>
      <w:r>
        <w:t>9.3 End-to-end acceptance scenarios</w:t>
      </w:r>
      <w:bookmarkEnd w:id="4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411"/>
        <w:gridCol w:w="4363"/>
        <w:gridCol w:w="3586"/>
      </w:tblGrid>
      <w:tr>
        <w:trPr>
          <w:tblHeader/>
          <w:cantSplit/>
        </w:trPr>
        <w:tc>
          <w:tcPr>
            <w:tcW w:type="dxa" w:w="1411"/>
            <w:vAlign w:val="center"/>
            <w:shd w:fill="EEEEEE" w:val="clear"/>
          </w:tcPr>
          <w:p>
            <w:pPr>
              <w:pStyle w:val="TableText"/>
              <w:keepNext w:val="0"/>
            </w:pPr>
            <w:r>
              <w:rPr>
                <w:b/>
              </w:rPr>
              <w:t>Scenario</w:t>
            </w:r>
          </w:p>
        </w:tc>
        <w:tc>
          <w:tcPr>
            <w:tcW w:type="dxa" w:w="4363"/>
            <w:vAlign w:val="center"/>
            <w:shd w:fill="EEEEEE" w:val="clear"/>
          </w:tcPr>
          <w:p>
            <w:pPr>
              <w:pStyle w:val="TableText"/>
              <w:keepNext w:val="0"/>
            </w:pPr>
            <w:r>
              <w:rPr>
                <w:b/>
              </w:rPr>
              <w:t>Required path</w:t>
            </w:r>
          </w:p>
        </w:tc>
        <w:tc>
          <w:tcPr>
            <w:tcW w:type="dxa" w:w="3586"/>
            <w:vAlign w:val="center"/>
            <w:shd w:fill="EEEEEE" w:val="clear"/>
          </w:tcPr>
          <w:p>
            <w:pPr>
              <w:pStyle w:val="TableText"/>
              <w:keepNext w:val="0"/>
            </w:pPr>
            <w:r>
              <w:rPr>
                <w:b/>
              </w:rPr>
              <w:t>Pass condition</w:t>
            </w:r>
          </w:p>
        </w:tc>
      </w:tr>
      <w:tr>
        <w:trPr>
          <w:cantSplit/>
        </w:trPr>
        <w:tc>
          <w:tcPr>
            <w:tcW w:type="dxa" w:w="1411"/>
            <w:vAlign w:val="center"/>
          </w:tcPr>
          <w:p>
            <w:pPr>
              <w:pStyle w:val="TableText"/>
              <w:keepNext w:val="0"/>
            </w:pPr>
            <w:r>
              <w:t>E2E01 — Technical role</w:t>
            </w:r>
          </w:p>
        </w:tc>
        <w:tc>
          <w:tcPr>
            <w:tcW w:type="dxa" w:w="4363"/>
            <w:vAlign w:val="center"/>
          </w:tcPr>
          <w:p>
            <w:pPr>
              <w:pStyle w:val="TableText"/>
              <w:keepNext w:val="0"/>
            </w:pPr>
            <w:r>
              <w:t>Grounded/manual JD → approval → confirmed post → import native/scanned CVs → ranking → confirmed invitation → admitted interview → consented transcript → answer analysis → one task → approved AI review → final ranking/report.</w:t>
            </w:r>
          </w:p>
        </w:tc>
        <w:tc>
          <w:tcPr>
            <w:tcW w:type="dxa" w:w="3586"/>
            <w:vAlign w:val="center"/>
          </w:tcPr>
          <w:p>
            <w:pPr>
              <w:pStyle w:val="TableText"/>
              <w:keepNext w:val="0"/>
            </w:pPr>
            <w:r>
              <w:t>Each transition is authorized; evidence remains traceable; final 60/30/10 arithmetic uses saved compatible scores.</w:t>
            </w:r>
          </w:p>
        </w:tc>
      </w:tr>
      <w:tr>
        <w:trPr>
          <w:cantSplit/>
        </w:trPr>
        <w:tc>
          <w:tcPr>
            <w:tcW w:type="dxa" w:w="1411"/>
            <w:vAlign w:val="center"/>
          </w:tcPr>
          <w:p>
            <w:pPr>
              <w:pStyle w:val="TableText"/>
              <w:keepNext w:val="0"/>
            </w:pPr>
            <w:r>
              <w:t>E2E02 — Nontechnical role</w:t>
            </w:r>
          </w:p>
        </w:tc>
        <w:tc>
          <w:tcPr>
            <w:tcW w:type="dxa" w:w="4363"/>
            <w:vAlign w:val="center"/>
          </w:tcPr>
          <w:p>
            <w:pPr>
              <w:pStyle w:val="TableText"/>
              <w:keepNext w:val="0"/>
            </w:pPr>
            <w:r>
              <w:t>HR/sales JD → applications → role-related questions → short business scenario task → reviewed assessment.</w:t>
            </w:r>
          </w:p>
        </w:tc>
        <w:tc>
          <w:tcPr>
            <w:tcW w:type="dxa" w:w="3586"/>
            <w:vAlign w:val="center"/>
          </w:tcPr>
          <w:p>
            <w:pPr>
              <w:pStyle w:val="TableText"/>
              <w:keepNext w:val="0"/>
            </w:pPr>
            <w:r>
              <w:t>Relevant nontechnical competencies are included; greetings/logistics are excluded; task fits 15 minutes.</w:t>
            </w:r>
          </w:p>
        </w:tc>
      </w:tr>
      <w:tr>
        <w:trPr>
          <w:cantSplit/>
        </w:trPr>
        <w:tc>
          <w:tcPr>
            <w:tcW w:type="dxa" w:w="1411"/>
            <w:vAlign w:val="center"/>
          </w:tcPr>
          <w:p>
            <w:pPr>
              <w:pStyle w:val="TableText"/>
              <w:keepNext w:val="0"/>
            </w:pPr>
            <w:r>
              <w:t>E2E03 — Degraded services</w:t>
            </w:r>
          </w:p>
        </w:tc>
        <w:tc>
          <w:tcPr>
            <w:tcW w:type="dxa" w:w="4363"/>
            <w:vAlign w:val="center"/>
          </w:tcPr>
          <w:p>
            <w:pPr>
              <w:pStyle w:val="TableText"/>
              <w:keepNext w:val="0"/>
            </w:pPr>
            <w:r>
              <w:t>Inject OCR uncertainty, quota failure, missing references, uncertain mail and failed photo comparison.</w:t>
            </w:r>
          </w:p>
        </w:tc>
        <w:tc>
          <w:tcPr>
            <w:tcW w:type="dxa" w:w="3586"/>
            <w:vAlign w:val="center"/>
          </w:tcPr>
          <w:p>
            <w:pPr>
              <w:pStyle w:val="TableText"/>
              <w:keepNext w:val="0"/>
            </w:pPr>
            <w:r>
              <w:t>Failures remain actionable, saved work survives and no missing result becomes an invented zero, success or hiring decision.</w:t>
            </w:r>
          </w:p>
        </w:tc>
      </w:tr>
      <w:tr>
        <w:trPr>
          <w:cantSplit/>
        </w:trPr>
        <w:tc>
          <w:tcPr>
            <w:tcW w:type="dxa" w:w="1411"/>
            <w:vAlign w:val="center"/>
          </w:tcPr>
          <w:p>
            <w:pPr>
              <w:pStyle w:val="TableText"/>
              <w:keepNext w:val="0"/>
            </w:pPr>
            <w:r>
              <w:t>E2E04 — Privacy boundaries</w:t>
            </w:r>
          </w:p>
        </w:tc>
        <w:tc>
          <w:tcPr>
            <w:tcW w:type="dxa" w:w="4363"/>
            <w:vAlign w:val="center"/>
          </w:tcPr>
          <w:p>
            <w:pPr>
              <w:pStyle w:val="TableText"/>
              <w:keepNext w:val="0"/>
            </w:pPr>
            <w:r>
              <w:t>Cross-owner access, candidate transcript/report requests, consent withdrawal, stale capture and expired private links.</w:t>
            </w:r>
          </w:p>
        </w:tc>
        <w:tc>
          <w:tcPr>
            <w:tcW w:type="dxa" w:w="3586"/>
            <w:vAlign w:val="center"/>
          </w:tcPr>
          <w:p>
            <w:pPr>
              <w:pStyle w:val="TableText"/>
              <w:keepNext w:val="0"/>
            </w:pPr>
            <w:r>
              <w:t>Unauthorized access fails; withdrawal/revocation takes effect; candidate can still join without optional processing.</w:t>
            </w:r>
          </w:p>
        </w:tc>
      </w:tr>
      <w:tr>
        <w:trPr>
          <w:cantSplit/>
        </w:trPr>
        <w:tc>
          <w:tcPr>
            <w:tcW w:type="dxa" w:w="1411"/>
            <w:vAlign w:val="center"/>
          </w:tcPr>
          <w:p>
            <w:pPr>
              <w:pStyle w:val="TableText"/>
              <w:keepNext w:val="0"/>
            </w:pPr>
            <w:r>
              <w:t>E2E05 — Reuse and change</w:t>
            </w:r>
          </w:p>
        </w:tc>
        <w:tc>
          <w:tcPr>
            <w:tcW w:type="dxa" w:w="4363"/>
            <w:vAlign w:val="center"/>
          </w:tcPr>
          <w:p>
            <w:pPr>
              <w:pStyle w:val="TableText"/>
              <w:keepNext w:val="0"/>
            </w:pPr>
            <w:r>
              <w:t>Reopen saved scores; calculate ranking; change a source or policy; re-evaluate readiness.</w:t>
            </w:r>
          </w:p>
        </w:tc>
        <w:tc>
          <w:tcPr>
            <w:tcW w:type="dxa" w:w="3586"/>
            <w:vAlign w:val="center"/>
          </w:tcPr>
          <w:p>
            <w:pPr>
              <w:pStyle w:val="TableText"/>
              <w:keepNext w:val="0"/>
            </w:pPr>
            <w:r>
              <w:t>Read-only use does not regrade; incompatible results are marked stale and require an explicit appropriate action.</w:t>
            </w:r>
          </w:p>
        </w:tc>
      </w:tr>
    </w:tbl>
    <w:p>
      <w:pPr>
        <w:pStyle w:val="TableGap"/>
        <w:keepNext w:val="0"/>
      </w:pPr>
    </w:p>
    <w:p>
      <w:bookmarkStart w:id="45" w:name="SRS_45"/>
      <w:pPr>
        <w:pStyle w:val="Heading2"/>
      </w:pPr>
      <w:r>
        <w:t>9.4 Configuration and operational limits</w:t>
      </w:r>
      <w:bookmarkEnd w:id="45"/>
    </w:p>
    <w:p>
      <w:r>
        <w:t>Document limits are defaults, not candidate-selection rules: CV 10 MB, 40 pages and 150,000 characters; native-text minimum 80 characters; OCR up to 8 pages, confidence threshold 80, uncertain-text ratio at most 0.15 and 120-second timeout. Reference PDF ingestion has separate limits (15 MB and 100 pages) and does not imply automatic scanned-knowledge OCR. A screening batch is limited to 50 applications by default.</w:t>
      </w:r>
    </w:p>
    <w:p>
      <w:r>
        <w:t>Practical tasks last 1–15 minutes. Identity capture requests expire after 45 seconds and require three temporary samples. Join-link/session/token lifetimes, model names, timeouts and retention are deployment configuration. Limits must be validated consistently at the backend and reflected in user-facing guidance.</w:t>
      </w:r>
    </w:p>
    <w:p>
      <w:r>
        <w:t>External-provider tokens, rate limits and costs depend on workload and account tier. Use docs/llm-token-usage-estimate.md as an approximate planning model, not a billing guarantee. Retries, independent evidence checks, source length and changed inputs can increase usage. Containerized embedding inference is local, but consumes host compute.</w:t>
      </w:r>
    </w:p>
    <w:p>
      <w:bookmarkStart w:id="46" w:name="SRS_46"/>
      <w:pPr>
        <w:pStyle w:val="Heading2"/>
      </w:pPr>
      <w:r>
        <w:t>9.5 Acceptance and change control</w:t>
      </w:r>
      <w:bookmarkEnd w:id="46"/>
    </w:p>
    <w:p>
      <w:r>
        <w:t>The team and supervisor should review this baseline, complete cover details and record any approved changes in Revision History. A change to scoring weights, evidence policy, privacy scope, provider/model compatibility or external side effects requires impact review and updated tests/documentation. Acceptance depends on observed evidence, not the presence of an AI-generated result or a documentation claim.</w:t>
      </w:r>
    </w:p>
    <w:p>
      <w:r>
        <w:t>Remaining deployment decisions include the hosting security profile, lawful processing basis and local obligations, backup schedule, operational monitoring and measured capacity. These decisions do not authorize hidden candidate monitoring or expansion beyond the stated system boundary.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Confidential</w:t>
      <w:tab/>
      <w:t xml:space="preserve">Page </w:t>
    </w:r>
    <w:r>
      <w:fldChar w:fldCharType="begin"/>
      <w:instrText xml:space="preserve"> PAGE </w:instrText>
      <w:fldChar w:fldCharType="separate"/>
    </w:r>
    <w:r/>
    <w:r>
      <w:fldChar w:fldCharType="end"/>
    </w:r>
    <w:r>
      <w:t xml:space="preserve"> of </w:t>
    </w:r>
    <w:r>
      <w:fldChar w:fldCharType="begin"/>
      <w:instrText xml:space="preserve"> NUMPAGES </w:instrText>
      <w:fldChar w:fldCharType="separate"/>
    </w: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t>Software Requirements Specification</w:t>
      <w:tab/>
      <w:t>HireSense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40"/>
    </w:pPr>
    <w:rPr>
      <w:rFonts w:ascii="Arial" w:hAnsi="Arial" w:eastAsia="Arial" w:cs="Arial"/>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80"/>
    </w:pPr>
    <w:rPr>
      <w:rFonts w:asciiTheme="majorHAnsi" w:eastAsiaTheme="majorEastAsia" w:hAnsiTheme="majorHAnsi" w:cstheme="majorBidi" w:ascii="Arial" w:hAnsi="Arial" w:eastAsia="Arial" w:cs="Arial"/>
      <w:b w:val="0"/>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60" w:lineRule="exact" w:after="20" w:before="20"/>
    </w:pPr>
    <w:rPr>
      <w:rFonts w:ascii="Arial" w:hAnsi="Arial" w:eastAsia="Arial" w:cs="Arial"/>
      <w:b w:val="0"/>
      <w:color w:val="000000"/>
      <w:sz w:val="21"/>
    </w:rPr>
  </w:style>
  <w:style w:type="paragraph" w:customStyle="1" w:styleId="TableGap">
    <w:name w:val="Table Gap"/>
    <w:pPr>
      <w:spacing w:after="80" w:line="60" w:lineRule="exact"/>
    </w:pPr>
    <w:rPr>
      <w:rFonts w:ascii="Arial" w:hAnsi="Arial" w:eastAsia="Arial" w:cs="Arial"/>
      <w:b w:val="0"/>
      <w:color w:val="000000"/>
      <w:sz w:val="6"/>
    </w:rPr>
  </w:style>
  <w:style w:type="paragraph" w:customStyle="1" w:styleId="TOCEntry">
    <w:name w:val="TOC Entry"/>
    <w:pPr>
      <w:spacing w:after="120"/>
    </w:pPr>
    <w:rPr>
      <w:rFonts w:ascii="Arial" w:hAnsi="Arial" w:eastAsia="Arial" w:cs="Arial"/>
      <w:b w:val="0"/>
      <w:color w:val="000000"/>
      <w:sz w:val="22"/>
    </w:rPr>
  </w:style>
  <w:style w:type="paragraph" w:customStyle="1" w:styleId="FrontHeading">
    <w:name w:val="Front Heading"/>
    <w:pPr>
      <w:keepNext/>
      <w:spacing w:before="280" w:after="140"/>
    </w:pPr>
    <w:rPr>
      <w:rFonts w:ascii="Arial" w:hAnsi="Arial" w:eastAsia="Arial" w:cs="Arial"/>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HireSense Software Requirements Specification</dc:title>
  <dc:subject>Functional and nonfunctional requirements for the HireSense recruitment platform</dc:subject>
  <dc:creator/>
  <cp:keywords>HireSense, SRS, recruitment, requirements</cp:keywords>
  <dc:description>generated by python-docx</dc:description>
  <cp:lastModifiedBy/>
  <cp:revision>3</cp:revision>
  <dcterms:created xsi:type="dcterms:W3CDTF">2026-10-27T00:00:00Z</dcterms:created>
  <dcterms:modified xsi:type="dcterms:W3CDTF">2026-10-27T10:42:26Z</dcterms:modified>
  <cp:category/>
  <cp:version>1.0</cp:version>
</cp:coreProperties>
</file>