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oogle Sans" w:cs="Google Sans" w:eastAsia="Google Sans" w:hAnsi="Google Sans"/>
          <w:b w:val="1"/>
          <w:sz w:val="24"/>
          <w:szCs w:val="24"/>
        </w:rPr>
      </w:pPr>
      <w:bookmarkStart w:colFirst="0" w:colLast="0" w:name="_kuduxtw0qwid" w:id="0"/>
      <w:bookmarkEnd w:id="0"/>
      <w:r w:rsidDel="00000000" w:rsidR="00000000" w:rsidRPr="00000000">
        <w:rPr>
          <w:rFonts w:ascii="Google Sans" w:cs="Google Sans" w:eastAsia="Google Sans" w:hAnsi="Google Sans"/>
          <w:b w:val="1"/>
          <w:color w:val="3c78d8"/>
          <w:rtl w:val="0"/>
        </w:rPr>
        <w:t xml:space="preserve">Botium Toys: Audit scope and goals </w:t>
      </w:r>
      <w:r w:rsidDel="00000000" w:rsidR="00000000" w:rsidRPr="00000000">
        <w:rPr>
          <w:rtl w:val="0"/>
        </w:rPr>
      </w:r>
    </w:p>
    <w:p w:rsidR="00000000" w:rsidDel="00000000" w:rsidP="00000000" w:rsidRDefault="00000000" w:rsidRPr="00000000" w14:paraId="00000002">
      <w:pPr>
        <w:rPr>
          <w:rFonts w:ascii="Google Sans" w:cs="Google Sans" w:eastAsia="Google Sans" w:hAnsi="Google Sans"/>
          <w:b w:val="1"/>
          <w:color w:val="ffff00"/>
          <w:sz w:val="24"/>
          <w:szCs w:val="24"/>
        </w:rPr>
      </w:pPr>
      <w:r w:rsidDel="00000000" w:rsidR="00000000" w:rsidRPr="00000000">
        <w:rPr>
          <w:rFonts w:ascii="Google Sans" w:cs="Google Sans" w:eastAsia="Google Sans" w:hAnsi="Google Sans"/>
          <w:sz w:val="24"/>
          <w:szCs w:val="24"/>
        </w:rPr>
        <mc:AlternateContent>
          <mc:Choice Requires="wpg">
            <w:drawing>
              <wp:inline distB="114300" distT="114300" distL="114300" distR="114300">
                <wp:extent cx="5943600" cy="13006"/>
                <wp:effectExtent b="0" l="0" r="0" t="0"/>
                <wp:docPr id="2" name=""/>
                <a:graphic>
                  <a:graphicData uri="http://schemas.microsoft.com/office/word/2010/wordprocessingShape">
                    <wps:wsp>
                      <wps:cNvCnPr/>
                      <wps:spPr>
                        <a:xfrm>
                          <a:off x="914400" y="1981200"/>
                          <a:ext cx="8686800" cy="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pStyle w:val="Subtitle"/>
        <w:rPr>
          <w:rFonts w:ascii="Google Sans" w:cs="Google Sans" w:eastAsia="Google Sans" w:hAnsi="Google Sans"/>
          <w:color w:val="434343"/>
          <w:sz w:val="24"/>
          <w:szCs w:val="24"/>
        </w:rPr>
      </w:pPr>
      <w:bookmarkStart w:colFirst="0" w:colLast="0" w:name="_4q1j0hy1hegf" w:id="1"/>
      <w:bookmarkEnd w:id="1"/>
      <w:r w:rsidDel="00000000" w:rsidR="00000000" w:rsidRPr="00000000">
        <w:rPr>
          <w:rFonts w:ascii="Google Sans" w:cs="Google Sans" w:eastAsia="Google Sans" w:hAnsi="Google Sans"/>
          <w:b w:val="1"/>
          <w:color w:val="434343"/>
          <w:sz w:val="24"/>
          <w:szCs w:val="24"/>
          <w:rtl w:val="0"/>
        </w:rPr>
        <w:t xml:space="preserve">Summary:</w:t>
      </w:r>
      <w:r w:rsidDel="00000000" w:rsidR="00000000" w:rsidRPr="00000000">
        <w:rPr>
          <w:rFonts w:ascii="Google Sans" w:cs="Google Sans" w:eastAsia="Google Sans" w:hAnsi="Google Sans"/>
          <w:color w:val="434343"/>
          <w:sz w:val="24"/>
          <w:szCs w:val="24"/>
          <w:rtl w:val="0"/>
        </w:rPr>
        <w:t xml:space="preserve"> </w:t>
      </w:r>
      <w:r w:rsidDel="00000000" w:rsidR="00000000" w:rsidRPr="00000000">
        <w:rPr>
          <w:rFonts w:ascii="Google Sans" w:cs="Google Sans" w:eastAsia="Google Sans" w:hAnsi="Google Sans"/>
          <w:color w:val="434343"/>
          <w:sz w:val="24"/>
          <w:szCs w:val="24"/>
          <w:rtl w:val="0"/>
        </w:rPr>
        <w:t xml:space="preserve">Perform</w:t>
      </w:r>
      <w:r w:rsidDel="00000000" w:rsidR="00000000" w:rsidRPr="00000000">
        <w:rPr>
          <w:rFonts w:ascii="Google Sans" w:cs="Google Sans" w:eastAsia="Google Sans" w:hAnsi="Google Sans"/>
          <w:color w:val="434343"/>
          <w:sz w:val="24"/>
          <w:szCs w:val="24"/>
          <w:rtl w:val="0"/>
        </w:rPr>
        <w:t xml:space="preserve">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rsidR="00000000" w:rsidDel="00000000" w:rsidP="00000000" w:rsidRDefault="00000000" w:rsidRPr="00000000" w14:paraId="00000005">
      <w:pPr>
        <w:rPr>
          <w:rFonts w:ascii="Google Sans" w:cs="Google Sans" w:eastAsia="Google Sans" w:hAnsi="Google Sans"/>
          <w:color w:val="cc0000"/>
          <w:sz w:val="24"/>
          <w:szCs w:val="24"/>
        </w:rPr>
      </w:pPr>
      <w:r w:rsidDel="00000000" w:rsidR="00000000" w:rsidRPr="00000000">
        <w:rPr>
          <w:rFonts w:ascii="Google Sans" w:cs="Google Sans" w:eastAsia="Google Sans" w:hAnsi="Google Sans"/>
          <w:color w:val="cc0000"/>
          <w:sz w:val="24"/>
          <w:szCs w:val="24"/>
        </w:rPr>
        <mc:AlternateContent>
          <mc:Choice Requires="wpg">
            <w:drawing>
              <wp:inline distB="114300" distT="114300" distL="114300" distR="114300">
                <wp:extent cx="5943600" cy="14118"/>
                <wp:effectExtent b="0" l="0" r="0" t="0"/>
                <wp:docPr id="3" name=""/>
                <a:graphic>
                  <a:graphicData uri="http://schemas.microsoft.com/office/word/2010/wordprocessingShape">
                    <wps:wsp>
                      <wps:cNvCnPr/>
                      <wps:spPr>
                        <a:xfrm>
                          <a:off x="914400" y="1219200"/>
                          <a:ext cx="8001000" cy="0"/>
                        </a:xfrm>
                        <a:prstGeom prst="straightConnector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Subtitle"/>
        <w:rPr>
          <w:rFonts w:ascii="Google Sans" w:cs="Google Sans" w:eastAsia="Google Sans" w:hAnsi="Google Sans"/>
          <w:color w:val="434343"/>
          <w:sz w:val="24"/>
          <w:szCs w:val="24"/>
        </w:rPr>
      </w:pPr>
      <w:bookmarkStart w:colFirst="0" w:colLast="0" w:name="_5amnjv9mhbsx" w:id="2"/>
      <w:bookmarkEnd w:id="2"/>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b w:val="1"/>
          <w:color w:val="434343"/>
          <w:sz w:val="24"/>
          <w:szCs w:val="24"/>
          <w:rtl w:val="0"/>
        </w:rPr>
        <w:t xml:space="preserve"> </w:t>
      </w:r>
      <w:r w:rsidDel="00000000" w:rsidR="00000000" w:rsidRPr="00000000">
        <w:rPr>
          <w:rFonts w:ascii="Google Sans" w:cs="Google Sans" w:eastAsia="Google Sans" w:hAnsi="Google Sans"/>
          <w:color w:val="434343"/>
          <w:sz w:val="24"/>
          <w:szCs w:val="24"/>
          <w:rtl w:val="0"/>
        </w:rPr>
        <w:t xml:space="preserve">(</w:t>
      </w:r>
      <w:r w:rsidDel="00000000" w:rsidR="00000000" w:rsidRPr="00000000">
        <w:rPr>
          <w:rFonts w:ascii="Google Sans" w:cs="Google Sans" w:eastAsia="Google Sans" w:hAnsi="Google Sans"/>
          <w:i w:val="1"/>
          <w:color w:val="434343"/>
          <w:sz w:val="24"/>
          <w:szCs w:val="24"/>
          <w:rtl w:val="0"/>
        </w:rPr>
        <w:t xml:space="preserve">To understand the audit scope, review the </w:t>
      </w:r>
      <w:hyperlink r:id="rId8">
        <w:r w:rsidDel="00000000" w:rsidR="00000000" w:rsidRPr="00000000">
          <w:rPr>
            <w:rFonts w:ascii="Google Sans" w:cs="Google Sans" w:eastAsia="Google Sans" w:hAnsi="Google Sans"/>
            <w:i w:val="1"/>
            <w:color w:val="1155cc"/>
            <w:sz w:val="24"/>
            <w:szCs w:val="24"/>
            <w:u w:val="single"/>
            <w:rtl w:val="0"/>
          </w:rPr>
          <w:t xml:space="preserve">security audit</w:t>
        </w:r>
      </w:hyperlink>
      <w:r w:rsidDel="00000000" w:rsidR="00000000" w:rsidRPr="00000000">
        <w:rPr>
          <w:rFonts w:ascii="Google Sans" w:cs="Google Sans" w:eastAsia="Google Sans" w:hAnsi="Google Sans"/>
          <w:i w:val="1"/>
          <w:color w:val="434343"/>
          <w:sz w:val="24"/>
          <w:szCs w:val="24"/>
          <w:rtl w:val="0"/>
        </w:rPr>
        <w:t xml:space="preserve"> reading. Note that the</w:t>
      </w:r>
      <w:r w:rsidDel="00000000" w:rsidR="00000000" w:rsidRPr="00000000">
        <w:rPr>
          <w:rFonts w:ascii="Google Sans" w:cs="Google Sans" w:eastAsia="Google Sans" w:hAnsi="Google Sans"/>
          <w:i w:val="1"/>
          <w:color w:val="434343"/>
          <w:sz w:val="24"/>
          <w:szCs w:val="24"/>
          <w:rtl w:val="0"/>
        </w:rPr>
        <w:t xml:space="preserve"> scope is not constant</w:t>
      </w:r>
      <w:r w:rsidDel="00000000" w:rsidR="00000000" w:rsidRPr="00000000">
        <w:rPr>
          <w:rFonts w:ascii="Google Sans" w:cs="Google Sans" w:eastAsia="Google Sans" w:hAnsi="Google Sans"/>
          <w:i w:val="1"/>
          <w:color w:val="434343"/>
          <w:sz w:val="24"/>
          <w:szCs w:val="24"/>
          <w:rtl w:val="0"/>
        </w:rPr>
        <w:t xml:space="preserve">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sidDel="00000000" w:rsidR="00000000" w:rsidRPr="00000000">
        <w:rPr>
          <w:rFonts w:ascii="Google Sans" w:cs="Google Sans" w:eastAsia="Google Sans" w:hAnsi="Google Sans"/>
          <w:color w:val="434343"/>
          <w:sz w:val="24"/>
          <w:szCs w:val="24"/>
          <w:rtl w:val="0"/>
        </w:rPr>
        <w:t xml:space="preserve">).</w:t>
      </w:r>
    </w:p>
    <w:p w:rsidR="00000000" w:rsidDel="00000000" w:rsidP="00000000" w:rsidRDefault="00000000" w:rsidRPr="00000000" w14:paraId="0000000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Botium Toys internal IT audit will assess the following:</w:t>
      </w:r>
    </w:p>
    <w:p w:rsidR="00000000" w:rsidDel="00000000" w:rsidP="00000000" w:rsidRDefault="00000000" w:rsidRPr="00000000" w14:paraId="00000008">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user permissions set in the following systems: accounting, end point detection, firewalls, intrusion detection system, security information and event management (SIEM) tool.</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implemented controls in the following systems: accounting, end point detection, firewalls, intrusion detection system, Security Information and Event Management (SIEM) tool.</w:t>
      </w:r>
    </w:p>
    <w:p w:rsidR="00000000" w:rsidDel="00000000" w:rsidP="00000000" w:rsidRDefault="00000000" w:rsidRPr="00000000" w14:paraId="0000000A">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procedures and protocols set for the following systems: accounting, end point detection, firewall, intrusion detection system, Security Information and Event Management (SIEM) tool.</w:t>
      </w:r>
    </w:p>
    <w:p w:rsidR="00000000" w:rsidDel="00000000" w:rsidP="00000000" w:rsidRDefault="00000000" w:rsidRPr="00000000" w14:paraId="0000000B">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current user permissions, controls, procedures, and protocols in place </w:t>
      </w:r>
      <w:r w:rsidDel="00000000" w:rsidR="00000000" w:rsidRPr="00000000">
        <w:rPr>
          <w:rFonts w:ascii="Google Sans" w:cs="Google Sans" w:eastAsia="Google Sans" w:hAnsi="Google Sans"/>
          <w:sz w:val="24"/>
          <w:szCs w:val="24"/>
          <w:rtl w:val="0"/>
        </w:rPr>
        <w:t xml:space="preserve">align with necessary compliance requirements.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current technology is accounted for. Both hardware and system access.</w:t>
      </w:r>
    </w:p>
    <w:p w:rsidR="00000000" w:rsidDel="00000000" w:rsidP="00000000" w:rsidRDefault="00000000" w:rsidRPr="00000000" w14:paraId="0000000D">
      <w:pPr>
        <w:pStyle w:val="Subtitle"/>
        <w:rPr>
          <w:rFonts w:ascii="Google Sans" w:cs="Google Sans" w:eastAsia="Google Sans" w:hAnsi="Google Sans"/>
          <w:sz w:val="24"/>
          <w:szCs w:val="24"/>
        </w:rPr>
      </w:pPr>
      <w:bookmarkStart w:colFirst="0" w:colLast="0" w:name="_17mak1awllyh" w:id="3"/>
      <w:bookmarkEnd w:id="3"/>
      <w:r w:rsidDel="00000000" w:rsidR="00000000" w:rsidRPr="00000000">
        <w:rPr>
          <w:rFonts w:ascii="Google Sans" w:cs="Google Sans" w:eastAsia="Google Sans" w:hAnsi="Google Sans"/>
          <w:b w:val="1"/>
          <w:sz w:val="24"/>
          <w:szCs w:val="24"/>
        </w:rPr>
        <mc:AlternateContent>
          <mc:Choice Requires="wpg">
            <w:drawing>
              <wp:inline distB="114300" distT="114300" distL="114300" distR="114300">
                <wp:extent cx="5943600" cy="14676"/>
                <wp:effectExtent b="0" l="0" r="0" t="0"/>
                <wp:docPr id="1" name=""/>
                <a:graphic>
                  <a:graphicData uri="http://schemas.microsoft.com/office/word/2010/wordprocessingShape">
                    <wps:wsp>
                      <wps:cNvCnPr/>
                      <wps:spPr>
                        <a:xfrm>
                          <a:off x="1219200" y="914400"/>
                          <a:ext cx="7696200" cy="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sidDel="00000000" w:rsidR="00000000" w:rsidRPr="00000000">
        <w:rPr>
          <w:rFonts w:ascii="Google Sans" w:cs="Google Sans" w:eastAsia="Google Sans" w:hAnsi="Google Sans"/>
          <w:b w:val="1"/>
          <w:sz w:val="24"/>
          <w:szCs w:val="24"/>
          <w:rtl w:val="0"/>
        </w:rPr>
        <w:t xml:space="preserve"> </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E">
      <w:pPr>
        <w:pStyle w:val="Subtitle"/>
        <w:rPr>
          <w:rFonts w:ascii="Google Sans" w:cs="Google Sans" w:eastAsia="Google Sans" w:hAnsi="Google Sans"/>
        </w:rPr>
      </w:pPr>
      <w:bookmarkStart w:colFirst="0" w:colLast="0" w:name="_7r1tjwtwsswm" w:id="4"/>
      <w:bookmarkEnd w:id="4"/>
      <w:r w:rsidDel="00000000" w:rsidR="00000000" w:rsidRPr="00000000">
        <w:rPr>
          <w:rFonts w:ascii="Google Sans" w:cs="Google Sans" w:eastAsia="Google Sans" w:hAnsi="Google Sans"/>
          <w:b w:val="1"/>
          <w:sz w:val="24"/>
          <w:szCs w:val="24"/>
          <w:rtl w:val="0"/>
        </w:rPr>
        <w:t xml:space="preserve">Goals:</w:t>
      </w:r>
      <w:r w:rsidDel="00000000" w:rsidR="00000000" w:rsidRPr="00000000">
        <w:rPr>
          <w:rFonts w:ascii="Google Sans" w:cs="Google Sans" w:eastAsia="Google Sans" w:hAnsi="Google Sans"/>
          <w:sz w:val="24"/>
          <w:szCs w:val="24"/>
          <w:rtl w:val="0"/>
        </w:rPr>
        <w:t xml:space="preserve"> (</w:t>
      </w:r>
      <w:r w:rsidDel="00000000" w:rsidR="00000000" w:rsidRPr="00000000">
        <w:rPr>
          <w:rFonts w:ascii="Google Sans" w:cs="Google Sans" w:eastAsia="Google Sans" w:hAnsi="Google Sans"/>
          <w:i w:val="1"/>
          <w:sz w:val="24"/>
          <w:szCs w:val="24"/>
          <w:rtl w:val="0"/>
        </w:rPr>
        <w:t xml:space="preserve">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w:t>
      </w:r>
      <w:r w:rsidDel="00000000" w:rsidR="00000000" w:rsidRPr="00000000">
        <w:rPr>
          <w:rFonts w:ascii="Google Sans" w:cs="Google Sans" w:eastAsia="Google Sans" w:hAnsi="Google Sans"/>
          <w:i w:val="1"/>
          <w:sz w:val="24"/>
          <w:szCs w:val="24"/>
          <w:rtl w:val="0"/>
        </w:rPr>
        <w:t xml:space="preserve">set</w:t>
      </w:r>
      <w:r w:rsidDel="00000000" w:rsidR="00000000" w:rsidRPr="00000000">
        <w:rPr>
          <w:rFonts w:ascii="Google Sans" w:cs="Google Sans" w:eastAsia="Google Sans" w:hAnsi="Google Sans"/>
          <w:i w:val="1"/>
          <w:sz w:val="24"/>
          <w:szCs w:val="24"/>
          <w:rtl w:val="0"/>
        </w:rPr>
        <w:t xml:space="preserve"> the goals. He is expecting a report of the current security posture of the organization and recommendations for improving the security posture of the organization, </w:t>
      </w:r>
      <w:r w:rsidDel="00000000" w:rsidR="00000000" w:rsidRPr="00000000">
        <w:rPr>
          <w:rFonts w:ascii="Google Sans" w:cs="Google Sans" w:eastAsia="Google Sans" w:hAnsi="Google Sans"/>
          <w:i w:val="1"/>
          <w:sz w:val="24"/>
          <w:szCs w:val="24"/>
          <w:rtl w:val="0"/>
        </w:rPr>
        <w:t xml:space="preserve">as well as</w:t>
      </w:r>
      <w:r w:rsidDel="00000000" w:rsidR="00000000" w:rsidRPr="00000000">
        <w:rPr>
          <w:rFonts w:ascii="Google Sans" w:cs="Google Sans" w:eastAsia="Google Sans" w:hAnsi="Google Sans"/>
          <w:i w:val="1"/>
          <w:sz w:val="24"/>
          <w:szCs w:val="24"/>
          <w:rtl w:val="0"/>
        </w:rPr>
        <w:t xml:space="preserve"> justification to hire additional cybersecurity personnel.)</w:t>
      </w:r>
      <w:r w:rsidDel="00000000" w:rsidR="00000000" w:rsidRPr="00000000">
        <w:rPr>
          <w:rtl w:val="0"/>
        </w:rPr>
      </w:r>
    </w:p>
    <w:p w:rsidR="00000000" w:rsidDel="00000000" w:rsidP="00000000" w:rsidRDefault="00000000" w:rsidRPr="00000000" w14:paraId="0000000F">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goals for Botium Toys’ internal IT audit are:</w:t>
      </w:r>
    </w:p>
    <w:p w:rsidR="00000000" w:rsidDel="00000000" w:rsidP="00000000" w:rsidRDefault="00000000" w:rsidRPr="00000000" w14:paraId="00000010">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adhere to the National Institute of Standards and Technology Cybersecurity Framework (NIST CSF) </w:t>
      </w:r>
    </w:p>
    <w:p w:rsidR="00000000" w:rsidDel="00000000" w:rsidP="00000000" w:rsidRDefault="00000000" w:rsidRPr="00000000" w14:paraId="00000011">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a better process for their systems to ensure they are compliant </w:t>
      </w:r>
    </w:p>
    <w:p w:rsidR="00000000" w:rsidDel="00000000" w:rsidP="00000000" w:rsidRDefault="00000000" w:rsidRPr="00000000" w14:paraId="00000012">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Fortify system controls</w:t>
      </w:r>
    </w:p>
    <w:p w:rsidR="00000000" w:rsidDel="00000000" w:rsidP="00000000" w:rsidRDefault="00000000" w:rsidRPr="00000000" w14:paraId="00000013">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Implement the concept of least permissions when it comes to user credential management </w:t>
      </w:r>
    </w:p>
    <w:p w:rsidR="00000000" w:rsidDel="00000000" w:rsidP="00000000" w:rsidRDefault="00000000" w:rsidRPr="00000000" w14:paraId="00000014">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their policies and procedures, which includes their playbooks </w:t>
      </w:r>
    </w:p>
    <w:p w:rsidR="00000000" w:rsidDel="00000000" w:rsidP="00000000" w:rsidRDefault="00000000" w:rsidRPr="00000000" w14:paraId="00000015">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they are meeting compliance requirements </w:t>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oursera.org/learn/cyber-c2/supplement/I8hEO/security-aud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