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center"/>
        <w:rPr>
          <w:rFonts w:ascii="Google Sans" w:cs="Google Sans" w:eastAsia="Google Sans" w:hAnsi="Google Sans"/>
        </w:rPr>
      </w:pPr>
      <w:bookmarkStart w:colFirst="0" w:colLast="0" w:name="_o96gg215rrau" w:id="0"/>
      <w:bookmarkEnd w:id="0"/>
      <w:r w:rsidDel="00000000" w:rsidR="00000000" w:rsidRPr="00000000">
        <w:rPr>
          <w:rFonts w:ascii="Google Sans" w:cs="Google Sans" w:eastAsia="Google Sans" w:hAnsi="Google Sans"/>
          <w:rtl w:val="0"/>
        </w:rPr>
        <w:t xml:space="preserve">Compliance checklist exemplar</w:t>
        <w:br w:type="textWrapping"/>
      </w:r>
    </w:p>
    <w:p w:rsidR="00000000" w:rsidDel="00000000" w:rsidP="00000000" w:rsidRDefault="00000000" w:rsidRPr="00000000" w14:paraId="00000002">
      <w:pPr>
        <w:pStyle w:val="Heading1"/>
        <w:keepLines w:val="0"/>
        <w:spacing w:after="240" w:before="240" w:line="240" w:lineRule="auto"/>
        <w:jc w:val="left"/>
        <w:rPr>
          <w:rFonts w:ascii="Google Sans" w:cs="Google Sans" w:eastAsia="Google Sans" w:hAnsi="Google Sans"/>
          <w:b w:val="1"/>
          <w:sz w:val="24"/>
          <w:szCs w:val="24"/>
        </w:rPr>
      </w:pPr>
      <w:bookmarkStart w:colFirst="0" w:colLast="0" w:name="_2c30zvmj8t6" w:id="1"/>
      <w:bookmarkEnd w:id="1"/>
      <w:r w:rsidDel="00000000" w:rsidR="00000000" w:rsidRPr="00000000">
        <w:rPr>
          <w:rFonts w:ascii="Google Sans" w:cs="Google Sans" w:eastAsia="Google Sans" w:hAnsi="Google Sans"/>
          <w:b w:val="1"/>
          <w:sz w:val="24"/>
          <w:szCs w:val="24"/>
          <w:rtl w:val="0"/>
        </w:rPr>
        <w:t xml:space="preserve">_____ The Federal Energy Regulatory Commission - North American Electric</w:t>
      </w:r>
    </w:p>
    <w:p w:rsidR="00000000" w:rsidDel="00000000" w:rsidP="00000000" w:rsidRDefault="00000000" w:rsidRPr="00000000" w14:paraId="00000003">
      <w:pPr>
        <w:keepLines w:val="0"/>
        <w:spacing w:after="240" w:before="240" w:line="24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             Reliability Corporation (FERC-NERC)</w:t>
      </w:r>
    </w:p>
    <w:p w:rsidR="00000000" w:rsidDel="00000000" w:rsidP="00000000" w:rsidRDefault="00000000" w:rsidRPr="00000000" w14:paraId="00000004">
      <w:pPr>
        <w:pBdr>
          <w:bottom w:color="auto" w:space="10" w:sz="0" w:val="none"/>
        </w:pBdr>
        <w:spacing w:after="240" w:before="24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This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Federal Energy Regulatory Commission (FERC).</w:t>
      </w:r>
    </w:p>
    <w:p w:rsidR="00000000" w:rsidDel="00000000" w:rsidP="00000000" w:rsidRDefault="00000000" w:rsidRPr="00000000" w14:paraId="00000005">
      <w:pPr>
        <w:pBdr>
          <w:bottom w:color="auto" w:space="10" w:sz="0" w:val="none"/>
        </w:pBdr>
        <w:spacing w:after="240" w:before="24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w:t>
      </w:r>
      <w:r w:rsidDel="00000000" w:rsidR="00000000" w:rsidRPr="00000000">
        <w:rPr>
          <w:rFonts w:ascii="Google Sans" w:cs="Google Sans" w:eastAsia="Google Sans" w:hAnsi="Google Sans"/>
          <w:sz w:val="24"/>
          <w:szCs w:val="24"/>
          <w:rtl w:val="0"/>
        </w:rPr>
        <w:t xml:space="preserve"> NA</w:t>
      </w:r>
    </w:p>
    <w:p w:rsidR="00000000" w:rsidDel="00000000" w:rsidP="00000000" w:rsidRDefault="00000000" w:rsidRPr="00000000" w14:paraId="00000006">
      <w:pPr>
        <w:pBdr>
          <w:bottom w:color="auto" w:space="10" w:sz="0" w:val="none"/>
        </w:pBdr>
        <w:spacing w:after="240" w:before="240" w:line="36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__</w:t>
      </w:r>
      <w:r w:rsidDel="00000000" w:rsidR="00000000" w:rsidRPr="00000000">
        <w:rPr>
          <w:rFonts w:ascii="Google Sans" w:cs="Google Sans" w:eastAsia="Google Sans" w:hAnsi="Google Sans"/>
          <w:b w:val="1"/>
          <w:sz w:val="24"/>
          <w:szCs w:val="24"/>
          <w:u w:val="single"/>
          <w:rtl w:val="0"/>
        </w:rPr>
        <w:t xml:space="preserve">X</w:t>
      </w:r>
      <w:r w:rsidDel="00000000" w:rsidR="00000000" w:rsidRPr="00000000">
        <w:rPr>
          <w:rFonts w:ascii="Google Sans" w:cs="Google Sans" w:eastAsia="Google Sans" w:hAnsi="Google Sans"/>
          <w:b w:val="1"/>
          <w:sz w:val="24"/>
          <w:szCs w:val="24"/>
          <w:rtl w:val="0"/>
        </w:rPr>
        <w:t xml:space="preserve">__ General Data Protection Regulation (GDPR)</w:t>
      </w:r>
    </w:p>
    <w:p w:rsidR="00000000" w:rsidDel="00000000" w:rsidP="00000000" w:rsidRDefault="00000000" w:rsidRPr="00000000" w14:paraId="00000007">
      <w:pPr>
        <w:pBdr>
          <w:bottom w:color="auto" w:space="10" w:sz="0" w:val="none"/>
        </w:pBdr>
        <w:spacing w:after="240" w:before="24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rsidR="00000000" w:rsidDel="00000000" w:rsidP="00000000" w:rsidRDefault="00000000" w:rsidRPr="00000000" w14:paraId="00000008">
      <w:pPr>
        <w:pBdr>
          <w:bottom w:color="auto" w:space="10" w:sz="0" w:val="none"/>
        </w:pBdr>
        <w:spacing w:after="240" w:before="24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Botium Toys needs to adhere to GDPR because they conduct business and collect personal information from people worldwide, including the E.U.</w:t>
      </w:r>
    </w:p>
    <w:p w:rsidR="00000000" w:rsidDel="00000000" w:rsidP="00000000" w:rsidRDefault="00000000" w:rsidRPr="00000000" w14:paraId="00000009">
      <w:pPr>
        <w:pBdr>
          <w:bottom w:color="auto" w:space="10" w:sz="0" w:val="none"/>
        </w:pBdr>
        <w:spacing w:after="240" w:before="240" w:line="36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__</w:t>
      </w:r>
      <w:r w:rsidDel="00000000" w:rsidR="00000000" w:rsidRPr="00000000">
        <w:rPr>
          <w:rFonts w:ascii="Google Sans" w:cs="Google Sans" w:eastAsia="Google Sans" w:hAnsi="Google Sans"/>
          <w:b w:val="1"/>
          <w:sz w:val="24"/>
          <w:szCs w:val="24"/>
          <w:u w:val="single"/>
          <w:rtl w:val="0"/>
        </w:rPr>
        <w:t xml:space="preserve">X</w:t>
      </w:r>
      <w:r w:rsidDel="00000000" w:rsidR="00000000" w:rsidRPr="00000000">
        <w:rPr>
          <w:rFonts w:ascii="Google Sans" w:cs="Google Sans" w:eastAsia="Google Sans" w:hAnsi="Google Sans"/>
          <w:b w:val="1"/>
          <w:sz w:val="24"/>
          <w:szCs w:val="24"/>
          <w:rtl w:val="0"/>
        </w:rPr>
        <w:t xml:space="preserve">__ Payment Card Industry Data Security Standard (PCI DSS)</w:t>
      </w:r>
    </w:p>
    <w:p w:rsidR="00000000" w:rsidDel="00000000" w:rsidP="00000000" w:rsidRDefault="00000000" w:rsidRPr="00000000" w14:paraId="0000000A">
      <w:pPr>
        <w:pBdr>
          <w:bottom w:color="auto" w:space="10" w:sz="0" w:val="none"/>
        </w:pBdr>
        <w:spacing w:after="240" w:before="24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PCI DSS is an international security standard meant to ensure that organizations storing, accepting, processing, and transmitting credit card information do so in a secure environment.</w:t>
      </w:r>
    </w:p>
    <w:p w:rsidR="00000000" w:rsidDel="00000000" w:rsidP="00000000" w:rsidRDefault="00000000" w:rsidRPr="00000000" w14:paraId="0000000B">
      <w:pPr>
        <w:pBdr>
          <w:bottom w:color="auto" w:space="10" w:sz="0" w:val="none"/>
        </w:pBdr>
        <w:spacing w:after="240" w:before="24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Botium Toys needs to adhere to PCI DSS because they store, accept, process, and transmit credit card information in person and online.</w:t>
      </w:r>
    </w:p>
    <w:p w:rsidR="00000000" w:rsidDel="00000000" w:rsidP="00000000" w:rsidRDefault="00000000" w:rsidRPr="00000000" w14:paraId="0000000C">
      <w:pPr>
        <w:pBdr>
          <w:bottom w:color="auto" w:space="10" w:sz="0" w:val="none"/>
        </w:pBdr>
        <w:spacing w:after="240" w:before="240" w:line="36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_____ The Health Insurance Portability and Accountability Act (HIPAA)</w:t>
      </w:r>
    </w:p>
    <w:p w:rsidR="00000000" w:rsidDel="00000000" w:rsidP="00000000" w:rsidRDefault="00000000" w:rsidRPr="00000000" w14:paraId="0000000D">
      <w:pPr>
        <w:pBdr>
          <w:bottom w:color="auto" w:space="10" w:sz="0" w:val="none"/>
        </w:pBdr>
        <w:spacing w:after="240" w:before="24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HIPAA is a federal law established in 1996 to protect U.S. patients' health information. This law prohibits patient information from being shared without their consent. Organizations have a legal obligation to inform patients of a breach.</w:t>
      </w:r>
    </w:p>
    <w:p w:rsidR="00000000" w:rsidDel="00000000" w:rsidP="00000000" w:rsidRDefault="00000000" w:rsidRPr="00000000" w14:paraId="0000000E">
      <w:pPr>
        <w:pBdr>
          <w:bottom w:color="auto" w:space="10" w:sz="0" w:val="none"/>
        </w:pBdr>
        <w:spacing w:after="240" w:before="24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NA</w:t>
      </w:r>
    </w:p>
    <w:p w:rsidR="00000000" w:rsidDel="00000000" w:rsidP="00000000" w:rsidRDefault="00000000" w:rsidRPr="00000000" w14:paraId="0000000F">
      <w:pPr>
        <w:pBdr>
          <w:bottom w:color="auto" w:space="10" w:sz="0" w:val="none"/>
        </w:pBdr>
        <w:spacing w:after="240" w:before="240" w:line="360" w:lineRule="auto"/>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__</w:t>
      </w:r>
      <w:r w:rsidDel="00000000" w:rsidR="00000000" w:rsidRPr="00000000">
        <w:rPr>
          <w:rFonts w:ascii="Google Sans" w:cs="Google Sans" w:eastAsia="Google Sans" w:hAnsi="Google Sans"/>
          <w:b w:val="1"/>
          <w:sz w:val="24"/>
          <w:szCs w:val="24"/>
          <w:u w:val="single"/>
          <w:rtl w:val="0"/>
        </w:rPr>
        <w:t xml:space="preserve">X</w:t>
      </w:r>
      <w:r w:rsidDel="00000000" w:rsidR="00000000" w:rsidRPr="00000000">
        <w:rPr>
          <w:rFonts w:ascii="Google Sans" w:cs="Google Sans" w:eastAsia="Google Sans" w:hAnsi="Google Sans"/>
          <w:b w:val="1"/>
          <w:sz w:val="24"/>
          <w:szCs w:val="24"/>
          <w:rtl w:val="0"/>
        </w:rPr>
        <w:t xml:space="preserve">__ System and Organizations Controls (SOC type 1, SOC type 2)</w:t>
      </w:r>
    </w:p>
    <w:p w:rsidR="00000000" w:rsidDel="00000000" w:rsidP="00000000" w:rsidRDefault="00000000" w:rsidRPr="00000000" w14:paraId="00000010">
      <w:pPr>
        <w:pBdr>
          <w:bottom w:color="auto" w:space="10" w:sz="0" w:val="none"/>
        </w:pBdr>
        <w:spacing w:after="240" w:before="24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rsidR="00000000" w:rsidDel="00000000" w:rsidP="00000000" w:rsidRDefault="00000000" w:rsidRPr="00000000" w14:paraId="00000011">
      <w:pPr>
        <w:pBdr>
          <w:bottom w:color="auto" w:space="10" w:sz="0" w:val="none"/>
        </w:pBdr>
        <w:spacing w:after="240" w:before="24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Botium Toys needs to establish and enforce appropriate user access for internal and external (third-party vendor) personnel to mitigate risk and ensure data safety.</w:t>
      </w:r>
    </w:p>
    <w:p w:rsidR="00000000" w:rsidDel="00000000" w:rsidP="00000000" w:rsidRDefault="00000000" w:rsidRPr="00000000" w14:paraId="00000012">
      <w:pPr>
        <w:rPr>
          <w:rFonts w:ascii="Google Sans" w:cs="Google Sans" w:eastAsia="Google Sans" w:hAnsi="Google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