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Controls assessment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To review control categories, types, and the purposes of each, read the </w:t>
      </w:r>
      <w:hyperlink xmlns:r="http://schemas.openxmlformats.org/officeDocument/2006/relationships" r:id="docRId0">
        <w:r>
          <w:rPr>
            <w:rFonts w:ascii="Google Sans" w:hAnsi="Google Sans" w:cs="Google Sans" w:eastAsia="Google San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control categories</w:t>
        </w:r>
      </w:hyperlink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 document.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Current assets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Assets managed by the IT Department include: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On-premises equipment for in-office business needs 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Employee equipment: end-user devices (desktops/laptops, smartphones), remote workstations, headsets, cables, keyboards, mice, docking stations, surveillance cameras, etc.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Management of systems, software, and services: accounting, telecommunication, database, security, ecommerce, and inventory management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Internet access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Internal network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Vendor access management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Data center hosting services 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Data retention and storage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Badge readers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Legacy system maintenance: end-of-life systems that require human monitoring</w:t>
      </w:r>
      <w:r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25"/>
        <w:gridCol w:w="3660"/>
        <w:gridCol w:w="1755"/>
        <w:gridCol w:w="1620"/>
      </w:tblGrid>
      <w:tr>
        <w:trPr>
          <w:trHeight w:val="440" w:hRule="auto"/>
          <w:jc w:val="left"/>
        </w:trPr>
        <w:tc>
          <w:tcPr>
            <w:tcW w:w="936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Administrative Controls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Name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type and explanation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Needs to be implemented (X)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Least Privilege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Disaster recovery plans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policies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control policies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increase confidentiality and integrity of data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 management policies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reduce attack surface and limit overall impact from disgruntled/former employees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Separation of duties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ensure no one has so much access that they can abuse the system for personal gain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25"/>
        <w:gridCol w:w="3645"/>
        <w:gridCol w:w="1800"/>
        <w:gridCol w:w="1650"/>
      </w:tblGrid>
      <w:tr>
        <w:trPr>
          <w:trHeight w:val="440" w:hRule="auto"/>
          <w:jc w:val="left"/>
        </w:trPr>
        <w:tc>
          <w:tcPr>
            <w:tcW w:w="942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 Controls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Name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type and explanation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Needs to be implemented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(X)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Firewall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firewalls are already in place to filter unwanted/malicious traffic from entering internal network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Intrusion Detection System (IDS)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Detective; allows IT team to identify possible intrusions (e.g., anomalous traffic) quickly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Encryption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Deterrent; makes confidential information/data more secure (e.g., website payment transactions)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Backups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Corrective; supports ongoing productivity in the case of an event; aligns to the disaster recovery plan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management system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Corrective; password recovery, reset, lock out notifications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Antivirus (AV) software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Corrective; detect and quarantine known threats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Manual monitoring, maintenance, and intervention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Preventative/corrective; required for legacy systems to identify and mitigate potential threats, risks, and vulnerabilities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10"/>
        <w:gridCol w:w="3690"/>
        <w:gridCol w:w="1785"/>
        <w:gridCol w:w="1575"/>
        <w:gridCol w:w="30"/>
      </w:tblGrid>
      <w:tr>
        <w:trPr>
          <w:trHeight w:val="440" w:hRule="auto"/>
          <w:jc w:val="left"/>
        </w:trPr>
        <w:tc>
          <w:tcPr>
            <w:tcW w:w="9390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Physical Controls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Name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type and explanation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Needs to be implemented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(X)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Time-controlled safe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Deterrent; reduce attack surface/impact of physical threats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Adequate lighting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Deterrent; limit “hiding” places to deter threats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Closed-circuit television (CCTV) surveillance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Preventative/detective; can reduce risk of certain events; can be used after event for investigation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Locking cabinets (for network gear)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Signage indicating alarm service provider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Deterrent; makes the likelihood of a successful attack seem low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Locks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physical and digital assets are more secure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Fire detection and prevention (fire alarm, sprinkler system, etc.)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Detective/Preventative; detect fire in the toy store’s physical location to prevent damage to inventory, servers, etc.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document/d/1Ut_H5A9FHwuQEy6_qG6Lfy3zwF6GSJnj3DZTMaNRWEE/template/preview?usp=sharing&amp;resourcekey=0-i4dR5qZFqQyfzr8uk3OOmA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