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pPr>
    </w:p>
    <w:p>
      <w:pPr>
        <w:spacing w:after="200"/>
        <w:jc w:val="center"/>
      </w:pPr>
      <w:r>
        <w:rPr>
          <w:b/>
          <w:bCs/>
          <w:color w:val="1F2937"/>
          <w:sz w:val="44"/>
          <w:szCs w:val="44"/>
        </w:rPr>
        <w:t xml:space="preserve">BUSINESS REQUIREMENTS DOCUMENT</w:t>
      </w:r>
    </w:p>
    <w:p>
      <w:pPr>
        <w:spacing w:after="800"/>
        <w:jc w:val="center"/>
      </w:pPr>
      <w:r>
        <w:rPr>
          <w:b/>
          <w:bCs/>
          <w:color w:val="2563EB"/>
          <w:sz w:val="32"/>
          <w:szCs w:val="32"/>
        </w:rPr>
        <w:t xml:space="preserve">Supply Chain Copilot for Retail Enterprise</w:t>
      </w:r>
    </w:p>
    <w:p>
      <w:pPr>
        <w:spacing w:after="2000"/>
        <w:jc w:val="center"/>
      </w:pPr>
      <w:r>
        <w:rPr>
          <w:i/>
          <w:iCs/>
          <w:color w:val="6B7280"/>
          <w:sz w:val="22"/>
          <w:szCs w:val="22"/>
        </w:rPr>
        <w:t xml:space="preserve">AI-powered conversational and analytics platform for inventory, procurement, and supplier operations</w:t>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3600"/>
        <w:gridCol w:w="6300"/>
      </w:tblGrid>
      <w:tr>
        <w:trPr>
          <w:tblHeader/>
        </w:trPr>
        <w:tc>
          <w:tcPr>
            <w:tcW w:type="dxa" w:w="3600"/>
            <w:shd w:fill="1F2937" w:val="clear"/>
            <w:tcMar>
              <w:top w:type="dxa" w:w="100"/>
              <w:left w:type="dxa" w:w="120"/>
              <w:bottom w:type="dxa" w:w="100"/>
              <w:right w:type="dxa" w:w="120"/>
            </w:tcMar>
            <w:vAlign w:val="center"/>
          </w:tcPr>
          <w:p>
            <w:r>
              <w:rPr>
                <w:b/>
                <w:bCs/>
                <w:color w:val="FFFFFF"/>
                <w:sz w:val="19"/>
                <w:szCs w:val="19"/>
              </w:rPr>
              <w:t xml:space="preserve">Field</w:t>
            </w:r>
          </w:p>
        </w:tc>
        <w:tc>
          <w:tcPr>
            <w:tcW w:type="dxa" w:w="6300"/>
            <w:shd w:fill="1F2937" w:val="clear"/>
            <w:tcMar>
              <w:top w:type="dxa" w:w="100"/>
              <w:left w:type="dxa" w:w="120"/>
              <w:bottom w:type="dxa" w:w="100"/>
              <w:right w:type="dxa" w:w="120"/>
            </w:tcMar>
            <w:vAlign w:val="center"/>
          </w:tcPr>
          <w:p>
            <w:r>
              <w:rPr>
                <w:b/>
                <w:bCs/>
                <w:color w:val="FFFFFF"/>
                <w:sz w:val="19"/>
                <w:szCs w:val="19"/>
              </w:rPr>
              <w:t xml:space="preserve">Detail</w:t>
            </w:r>
          </w:p>
        </w:tc>
      </w:tr>
      <w:tr>
        <w:tc>
          <w:tcPr>
            <w:tcW w:type="dxa" w:w="3600"/>
            <w:shd w:fill="FFFFFF" w:val="clear"/>
            <w:tcMar>
              <w:top w:type="dxa" w:w="100"/>
              <w:left w:type="dxa" w:w="120"/>
              <w:bottom w:type="dxa" w:w="100"/>
              <w:right w:type="dxa" w:w="120"/>
            </w:tcMar>
            <w:vAlign w:val="center"/>
          </w:tcPr>
          <w:p>
            <w:r>
              <w:rPr>
                <w:b w:val="false"/>
                <w:bCs w:val="false"/>
                <w:color w:val="111111"/>
                <w:sz w:val="19"/>
                <w:szCs w:val="19"/>
              </w:rPr>
              <w:t xml:space="preserve">Document Version</w:t>
            </w:r>
          </w:p>
        </w:tc>
        <w:tc>
          <w:tcPr>
            <w:tcW w:type="dxa" w:w="6300"/>
            <w:shd w:fill="FFFFFF" w:val="clear"/>
            <w:tcMar>
              <w:top w:type="dxa" w:w="100"/>
              <w:left w:type="dxa" w:w="120"/>
              <w:bottom w:type="dxa" w:w="100"/>
              <w:right w:type="dxa" w:w="120"/>
            </w:tcMar>
            <w:vAlign w:val="center"/>
          </w:tcPr>
          <w:p>
            <w:r>
              <w:rPr>
                <w:b w:val="false"/>
                <w:bCs w:val="false"/>
                <w:color w:val="111111"/>
                <w:sz w:val="19"/>
                <w:szCs w:val="19"/>
              </w:rPr>
              <w:t xml:space="preserve">3.0 (Build-Ready Draft)</w:t>
            </w:r>
          </w:p>
        </w:tc>
      </w:tr>
      <w:tr>
        <w:tc>
          <w:tcPr>
            <w:tcW w:type="dxa" w:w="3600"/>
            <w:shd w:fill="FFFFFF" w:val="clear"/>
            <w:tcMar>
              <w:top w:type="dxa" w:w="100"/>
              <w:left w:type="dxa" w:w="120"/>
              <w:bottom w:type="dxa" w:w="100"/>
              <w:right w:type="dxa" w:w="120"/>
            </w:tcMar>
            <w:vAlign w:val="center"/>
          </w:tcPr>
          <w:p>
            <w:r>
              <w:rPr>
                <w:b w:val="false"/>
                <w:bCs w:val="false"/>
                <w:color w:val="111111"/>
                <w:sz w:val="19"/>
                <w:szCs w:val="19"/>
              </w:rPr>
              <w:t xml:space="preserve">Status</w:t>
            </w:r>
          </w:p>
        </w:tc>
        <w:tc>
          <w:tcPr>
            <w:tcW w:type="dxa" w:w="6300"/>
            <w:shd w:fill="FFFFFF" w:val="clear"/>
            <w:tcMar>
              <w:top w:type="dxa" w:w="100"/>
              <w:left w:type="dxa" w:w="120"/>
              <w:bottom w:type="dxa" w:w="100"/>
              <w:right w:type="dxa" w:w="120"/>
            </w:tcMar>
            <w:vAlign w:val="center"/>
          </w:tcPr>
          <w:p>
            <w:r>
              <w:rPr>
                <w:b w:val="false"/>
                <w:bCs w:val="false"/>
                <w:color w:val="111111"/>
                <w:sz w:val="19"/>
                <w:szCs w:val="19"/>
              </w:rPr>
              <w:t xml:space="preserve">Draft — pending stakeholder review</w:t>
            </w:r>
          </w:p>
        </w:tc>
      </w:tr>
      <w:tr>
        <w:tc>
          <w:tcPr>
            <w:tcW w:type="dxa" w:w="3600"/>
            <w:shd w:fill="FFFFFF" w:val="clear"/>
            <w:tcMar>
              <w:top w:type="dxa" w:w="100"/>
              <w:left w:type="dxa" w:w="120"/>
              <w:bottom w:type="dxa" w:w="100"/>
              <w:right w:type="dxa" w:w="120"/>
            </w:tcMar>
            <w:vAlign w:val="center"/>
          </w:tcPr>
          <w:p>
            <w:r>
              <w:rPr>
                <w:b w:val="false"/>
                <w:bCs w:val="false"/>
                <w:color w:val="111111"/>
                <w:sz w:val="19"/>
                <w:szCs w:val="19"/>
              </w:rPr>
              <w:t xml:space="preserve">Prepared For</w:t>
            </w:r>
          </w:p>
        </w:tc>
        <w:tc>
          <w:tcPr>
            <w:tcW w:type="dxa" w:w="6300"/>
            <w:shd w:fill="FFFFFF" w:val="clear"/>
            <w:tcMar>
              <w:top w:type="dxa" w:w="100"/>
              <w:left w:type="dxa" w:w="120"/>
              <w:bottom w:type="dxa" w:w="100"/>
              <w:right w:type="dxa" w:w="120"/>
            </w:tcMar>
            <w:vAlign w:val="center"/>
          </w:tcPr>
          <w:p>
            <w:r>
              <w:rPr>
                <w:b w:val="false"/>
                <w:bCs w:val="false"/>
                <w:color w:val="111111"/>
                <w:sz w:val="19"/>
                <w:szCs w:val="19"/>
              </w:rPr>
              <w:t xml:space="preserve">Supply Chain Copilot Project</w:t>
            </w:r>
          </w:p>
        </w:tc>
      </w:tr>
      <w:tr>
        <w:tc>
          <w:tcPr>
            <w:tcW w:type="dxa" w:w="3600"/>
            <w:shd w:fill="FFFFFF" w:val="clear"/>
            <w:tcMar>
              <w:top w:type="dxa" w:w="100"/>
              <w:left w:type="dxa" w:w="120"/>
              <w:bottom w:type="dxa" w:w="100"/>
              <w:right w:type="dxa" w:w="120"/>
            </w:tcMar>
            <w:vAlign w:val="center"/>
          </w:tcPr>
          <w:p>
            <w:r>
              <w:rPr>
                <w:b w:val="false"/>
                <w:bCs w:val="false"/>
                <w:color w:val="111111"/>
                <w:sz w:val="19"/>
                <w:szCs w:val="19"/>
              </w:rPr>
              <w:t xml:space="preserve">Date</w:t>
            </w:r>
          </w:p>
        </w:tc>
        <w:tc>
          <w:tcPr>
            <w:tcW w:type="dxa" w:w="6300"/>
            <w:shd w:fill="FFFFFF" w:val="clear"/>
            <w:tcMar>
              <w:top w:type="dxa" w:w="100"/>
              <w:left w:type="dxa" w:w="120"/>
              <w:bottom w:type="dxa" w:w="100"/>
              <w:right w:type="dxa" w:w="120"/>
            </w:tcMar>
            <w:vAlign w:val="center"/>
          </w:tcPr>
          <w:p>
            <w:r>
              <w:rPr>
                <w:b w:val="false"/>
                <w:bCs w:val="false"/>
                <w:color w:val="111111"/>
                <w:sz w:val="19"/>
                <w:szCs w:val="19"/>
              </w:rPr>
              <w:t xml:space="preserve">July 30, 2026</w:t>
            </w:r>
          </w:p>
        </w:tc>
      </w:tr>
      <w:tr>
        <w:tc>
          <w:tcPr>
            <w:tcW w:type="dxa" w:w="3600"/>
            <w:shd w:fill="FFFFFF" w:val="clear"/>
            <w:tcMar>
              <w:top w:type="dxa" w:w="100"/>
              <w:left w:type="dxa" w:w="120"/>
              <w:bottom w:type="dxa" w:w="100"/>
              <w:right w:type="dxa" w:w="120"/>
            </w:tcMar>
            <w:vAlign w:val="center"/>
          </w:tcPr>
          <w:p>
            <w:r>
              <w:rPr>
                <w:b w:val="false"/>
                <w:bCs w:val="false"/>
                <w:color w:val="111111"/>
                <w:sz w:val="19"/>
                <w:szCs w:val="19"/>
              </w:rPr>
              <w:t xml:space="preserve">Supersedes</w:t>
            </w:r>
          </w:p>
        </w:tc>
        <w:tc>
          <w:tcPr>
            <w:tcW w:type="dxa" w:w="6300"/>
            <w:shd w:fill="FFFFFF" w:val="clear"/>
            <w:tcMar>
              <w:top w:type="dxa" w:w="100"/>
              <w:left w:type="dxa" w:w="120"/>
              <w:bottom w:type="dxa" w:w="100"/>
              <w:right w:type="dxa" w:w="120"/>
            </w:tcMar>
            <w:vAlign w:val="center"/>
          </w:tcPr>
          <w:p>
            <w:r>
              <w:rPr>
                <w:b w:val="false"/>
                <w:bCs w:val="false"/>
                <w:color w:val="111111"/>
                <w:sz w:val="19"/>
                <w:szCs w:val="19"/>
              </w:rPr>
              <w:t xml:space="preserve">v2.0 Revised Draft</w:t>
            </w:r>
          </w:p>
        </w:tc>
      </w:tr>
    </w:tbl>
    <w:p>
      <w:pPr>
        <w:spacing w:before="1200"/>
      </w:pPr>
      <w:r>
        <w:rPr>
          <w:b/>
          <w:bCs/>
          <w:sz w:val="19"/>
          <w:szCs w:val="19"/>
        </w:rPr>
        <w:t xml:space="preserve">Note on this revision: </w:t>
      </w:r>
      <w:r>
        <w:rPr>
          <w:i/>
          <w:iCs/>
          <w:color w:val="6B7280"/>
          <w:sz w:val="19"/>
          <w:szCs w:val="19"/>
        </w:rPr>
        <w:t xml:space="preserve">This version adds an appendix of build-ready artifacts on top of v2.0: user stories for the demo role, a process flow for AI-assisted PO drafting, and Given/When/Then acceptance criteria for the three demo-scope modules (Inventory, Suppliers, Purchase Orders). Deeper additions suggested during review — full architecture diagrams, an ERD, wireframes, screen mockups, and expansion to a 35–45 page consulting-style document — are intentionally deferred; they don't serve the confirmed 1–2 day demo timeline (§4.4) and are better tackled after the demo, once real stakeholder feedback exists. Items that were not specified in the original brief and require a stakeholder decision remain flagged inline as “Assumption / open item.”</w:t>
      </w:r>
    </w:p>
    <w:p>
      <w:pPr>
        <w:sectPr>
          <w:pgSz w:w="12240" w:h="15840" w:orient="portrait"/>
          <w:pgMar w:top="1440" w:right="1440" w:bottom="1440" w:left="1440" w:header="708" w:footer="708" w:gutter="0"/>
          <w:pgNumType/>
          <w:docGrid w:linePitch="360"/>
        </w:sectPr>
      </w:pPr>
    </w:p>
    <w:p>
      <w:pPr>
        <w:pStyle w:val="Heading1"/>
        <w:spacing w:after="200" w:before="400"/>
      </w:pPr>
      <w:r>
        <w:t xml:space="preserve">Table of Contents</w:t>
      </w:r>
    </w:p>
    <w:sdt>
      <w:sdtPr>
        <w:alias w:val="Table of Contents"/>
      </w:sdtPr>
      <w:sdtContent>
        <w:p>
          <w:r>
            <w:fldChar w:fldCharType="begin" w:dirty="true"/>
            <w:instrText xml:space="preserve">TOC \h \o "1-2"</w:instrText>
            <w:fldChar w:fldCharType="separate"/>
          </w:r>
        </w:p>
        <w:p>
          <w:r>
            <w:fldChar w:fldCharType="end"/>
          </w:r>
        </w:p>
      </w:sdtContent>
    </w:sdt>
    <w:p>
      <w:r>
        <w:br w:type="page"/>
      </w:r>
    </w:p>
    <w:p>
      <w:pPr>
        <w:sectPr>
          <w:pgSz w:w="12240" w:h="15840" w:orient="portrait"/>
          <w:pgMar w:top="1440" w:right="1440" w:bottom="1440" w:left="1440" w:header="708" w:footer="708" w:gutter="0"/>
          <w:pgNumType/>
          <w:docGrid w:linePitch="360"/>
        </w:sectPr>
      </w:pPr>
    </w:p>
    <w:p>
      <w:pPr>
        <w:pStyle w:val="Heading1"/>
        <w:spacing w:after="200" w:before="400"/>
      </w:pPr>
      <w:r>
        <w:t xml:space="preserve">1. Purpose &amp; Executive Summary</w:t>
      </w:r>
    </w:p>
    <w:p>
      <w:pPr>
        <w:spacing w:after="160"/>
      </w:pPr>
      <w:r>
        <w:t xml:space="preserve">Build an AI-powered Supply Chain Copilot that helps supply chain, warehouse, procurement, and operations teams monitor inventory, shipments, suppliers, and purchase orders through a conversational AI interface and an executive dashboard.</w:t>
      </w:r>
    </w:p>
    <w:p>
      <w:pPr>
        <w:spacing w:after="160"/>
      </w:pPr>
      <w:r>
        <w:t xml:space="preserve">The Copilot's core value is reducing the time between “something is wrong in the supply chain” and “the right person knows and can act,” by combining structured operational data with natural-language querying and AI-generated summaries, scorecards, and draft documents.</w:t>
      </w:r>
    </w:p>
    <w:p>
      <w:pPr>
        <w:spacing w:after="160"/>
      </w:pPr>
      <w:r>
        <w:t xml:space="preserve">Confirmed: this is a single retail enterprise deployment (not a multi-tenant platform), built as a demo/MVP using dummy CSV/Excel data rather than a live system integration.</w:t>
      </w:r>
    </w:p>
    <w:p>
      <w:pPr>
        <w:pStyle w:val="Heading1"/>
        <w:spacing w:after="200" w:before="400"/>
      </w:pPr>
      <w:r>
        <w:t xml:space="preserve">2. Business Objectives &amp; Success Metrics</w:t>
      </w:r>
    </w:p>
    <w:p>
      <w:pPr>
        <w:spacing w:after="160"/>
      </w:pPr>
      <w:r>
        <w:t xml:space="preserve">The original objectives were directional (“reduce stockouts,” “improve supplier performance”) but not measurable. Below, each is paired with a proposed KPI and target so the team can validate delivery against something concrete. Baselines and targets marked TBD need input from the business stakeholder.</w:t>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2600"/>
        <w:gridCol w:w="2600"/>
        <w:gridCol w:w="2200"/>
        <w:gridCol w:w="2500"/>
      </w:tblGrid>
      <w:tr>
        <w:trPr>
          <w:tblHeader/>
        </w:trPr>
        <w:tc>
          <w:tcPr>
            <w:tcW w:type="dxa" w:w="2600"/>
            <w:shd w:fill="1F2937" w:val="clear"/>
            <w:tcMar>
              <w:top w:type="dxa" w:w="100"/>
              <w:left w:type="dxa" w:w="120"/>
              <w:bottom w:type="dxa" w:w="100"/>
              <w:right w:type="dxa" w:w="120"/>
            </w:tcMar>
            <w:vAlign w:val="center"/>
          </w:tcPr>
          <w:p>
            <w:r>
              <w:rPr>
                <w:b/>
                <w:bCs/>
                <w:color w:val="FFFFFF"/>
                <w:sz w:val="19"/>
                <w:szCs w:val="19"/>
              </w:rPr>
              <w:t xml:space="preserve">Objective</w:t>
            </w:r>
          </w:p>
        </w:tc>
        <w:tc>
          <w:tcPr>
            <w:tcW w:type="dxa" w:w="2600"/>
            <w:shd w:fill="1F2937" w:val="clear"/>
            <w:tcMar>
              <w:top w:type="dxa" w:w="100"/>
              <w:left w:type="dxa" w:w="120"/>
              <w:bottom w:type="dxa" w:w="100"/>
              <w:right w:type="dxa" w:w="120"/>
            </w:tcMar>
            <w:vAlign w:val="center"/>
          </w:tcPr>
          <w:p>
            <w:r>
              <w:rPr>
                <w:b/>
                <w:bCs/>
                <w:color w:val="FFFFFF"/>
                <w:sz w:val="19"/>
                <w:szCs w:val="19"/>
              </w:rPr>
              <w:t xml:space="preserve">KPI</w:t>
            </w:r>
          </w:p>
        </w:tc>
        <w:tc>
          <w:tcPr>
            <w:tcW w:type="dxa" w:w="2200"/>
            <w:shd w:fill="1F2937" w:val="clear"/>
            <w:tcMar>
              <w:top w:type="dxa" w:w="100"/>
              <w:left w:type="dxa" w:w="120"/>
              <w:bottom w:type="dxa" w:w="100"/>
              <w:right w:type="dxa" w:w="120"/>
            </w:tcMar>
            <w:vAlign w:val="center"/>
          </w:tcPr>
          <w:p>
            <w:r>
              <w:rPr>
                <w:b/>
                <w:bCs/>
                <w:color w:val="FFFFFF"/>
                <w:sz w:val="19"/>
                <w:szCs w:val="19"/>
              </w:rPr>
              <w:t xml:space="preserve">Baseline</w:t>
            </w:r>
          </w:p>
        </w:tc>
        <w:tc>
          <w:tcPr>
            <w:tcW w:type="dxa" w:w="2500"/>
            <w:shd w:fill="1F2937" w:val="clear"/>
            <w:tcMar>
              <w:top w:type="dxa" w:w="100"/>
              <w:left w:type="dxa" w:w="120"/>
              <w:bottom w:type="dxa" w:w="100"/>
              <w:right w:type="dxa" w:w="120"/>
            </w:tcMar>
            <w:vAlign w:val="center"/>
          </w:tcPr>
          <w:p>
            <w:r>
              <w:rPr>
                <w:b/>
                <w:bCs/>
                <w:color w:val="FFFFFF"/>
                <w:sz w:val="19"/>
                <w:szCs w:val="19"/>
              </w:rPr>
              <w:t xml:space="preserve">Target (Year 1)</w:t>
            </w:r>
          </w:p>
        </w:tc>
      </w:tr>
      <w:tr>
        <w:tc>
          <w:tcPr>
            <w:tcW w:type="dxa" w:w="2600"/>
            <w:shd w:fill="FFFFFF" w:val="clear"/>
            <w:tcMar>
              <w:top w:type="dxa" w:w="100"/>
              <w:left w:type="dxa" w:w="120"/>
              <w:bottom w:type="dxa" w:w="100"/>
              <w:right w:type="dxa" w:w="120"/>
            </w:tcMar>
            <w:vAlign w:val="center"/>
          </w:tcPr>
          <w:p>
            <w:r>
              <w:rPr>
                <w:b w:val="false"/>
                <w:bCs w:val="false"/>
                <w:color w:val="111111"/>
                <w:sz w:val="19"/>
                <w:szCs w:val="19"/>
              </w:rPr>
              <w:t xml:space="preserve">Reduce stockouts</w:t>
            </w:r>
          </w:p>
        </w:tc>
        <w:tc>
          <w:tcPr>
            <w:tcW w:type="dxa" w:w="2600"/>
            <w:shd w:fill="FFFFFF" w:val="clear"/>
            <w:tcMar>
              <w:top w:type="dxa" w:w="100"/>
              <w:left w:type="dxa" w:w="120"/>
              <w:bottom w:type="dxa" w:w="100"/>
              <w:right w:type="dxa" w:w="120"/>
            </w:tcMar>
            <w:vAlign w:val="center"/>
          </w:tcPr>
          <w:p>
            <w:r>
              <w:rPr>
                <w:b w:val="false"/>
                <w:bCs w:val="false"/>
                <w:color w:val="111111"/>
                <w:sz w:val="19"/>
                <w:szCs w:val="19"/>
              </w:rPr>
              <w:t xml:space="preserve">% of SKUs experiencing a stockout event / month</w:t>
            </w:r>
          </w:p>
        </w:tc>
        <w:tc>
          <w:tcPr>
            <w:tcW w:type="dxa" w:w="2200"/>
            <w:shd w:fill="FFFFFF" w:val="clear"/>
            <w:tcMar>
              <w:top w:type="dxa" w:w="100"/>
              <w:left w:type="dxa" w:w="120"/>
              <w:bottom w:type="dxa" w:w="100"/>
              <w:right w:type="dxa" w:w="120"/>
            </w:tcMar>
            <w:vAlign w:val="center"/>
          </w:tcPr>
          <w:p>
            <w:r>
              <w:rPr>
                <w:b w:val="false"/>
                <w:bCs w:val="false"/>
                <w:color w:val="111111"/>
                <w:sz w:val="19"/>
                <w:szCs w:val="19"/>
              </w:rPr>
              <w:t xml:space="preserve">TBD — pull from current inventory system</w:t>
            </w:r>
          </w:p>
        </w:tc>
        <w:tc>
          <w:tcPr>
            <w:tcW w:type="dxa" w:w="2500"/>
            <w:shd w:fill="FFFFFF" w:val="clear"/>
            <w:tcMar>
              <w:top w:type="dxa" w:w="100"/>
              <w:left w:type="dxa" w:w="120"/>
              <w:bottom w:type="dxa" w:w="100"/>
              <w:right w:type="dxa" w:w="120"/>
            </w:tcMar>
            <w:vAlign w:val="center"/>
          </w:tcPr>
          <w:p>
            <w:r>
              <w:rPr>
                <w:b w:val="false"/>
                <w:bCs w:val="false"/>
                <w:color w:val="111111"/>
                <w:sz w:val="19"/>
                <w:szCs w:val="19"/>
              </w:rPr>
              <w:t xml:space="preserve">Reduce by 25%</w:t>
            </w:r>
          </w:p>
        </w:tc>
      </w:tr>
      <w:tr>
        <w:tc>
          <w:tcPr>
            <w:tcW w:type="dxa" w:w="2600"/>
            <w:shd w:fill="FFFFFF" w:val="clear"/>
            <w:tcMar>
              <w:top w:type="dxa" w:w="100"/>
              <w:left w:type="dxa" w:w="120"/>
              <w:bottom w:type="dxa" w:w="100"/>
              <w:right w:type="dxa" w:w="120"/>
            </w:tcMar>
            <w:vAlign w:val="center"/>
          </w:tcPr>
          <w:p>
            <w:r>
              <w:rPr>
                <w:b w:val="false"/>
                <w:bCs w:val="false"/>
                <w:color w:val="111111"/>
                <w:sz w:val="19"/>
                <w:szCs w:val="19"/>
              </w:rPr>
              <w:t xml:space="preserve">Improve supplier performance</w:t>
            </w:r>
          </w:p>
        </w:tc>
        <w:tc>
          <w:tcPr>
            <w:tcW w:type="dxa" w:w="2600"/>
            <w:shd w:fill="FFFFFF" w:val="clear"/>
            <w:tcMar>
              <w:top w:type="dxa" w:w="100"/>
              <w:left w:type="dxa" w:w="120"/>
              <w:bottom w:type="dxa" w:w="100"/>
              <w:right w:type="dxa" w:w="120"/>
            </w:tcMar>
            <w:vAlign w:val="center"/>
          </w:tcPr>
          <w:p>
            <w:r>
              <w:rPr>
                <w:b w:val="false"/>
                <w:bCs w:val="false"/>
                <w:color w:val="111111"/>
                <w:sz w:val="19"/>
                <w:szCs w:val="19"/>
              </w:rPr>
              <w:t xml:space="preserve">On-time-in-full (OTIF) delivery rate</w:t>
            </w:r>
          </w:p>
        </w:tc>
        <w:tc>
          <w:tcPr>
            <w:tcW w:type="dxa" w:w="2200"/>
            <w:shd w:fill="FFFFFF" w:val="clear"/>
            <w:tcMar>
              <w:top w:type="dxa" w:w="100"/>
              <w:left w:type="dxa" w:w="120"/>
              <w:bottom w:type="dxa" w:w="100"/>
              <w:right w:type="dxa" w:w="120"/>
            </w:tcMar>
            <w:vAlign w:val="center"/>
          </w:tcPr>
          <w:p>
            <w:r>
              <w:rPr>
                <w:b w:val="false"/>
                <w:bCs w:val="false"/>
                <w:color w:val="111111"/>
                <w:sz w:val="19"/>
                <w:szCs w:val="19"/>
              </w:rPr>
              <w:t xml:space="preserve">TBD</w:t>
            </w:r>
          </w:p>
        </w:tc>
        <w:tc>
          <w:tcPr>
            <w:tcW w:type="dxa" w:w="2500"/>
            <w:shd w:fill="FFFFFF" w:val="clear"/>
            <w:tcMar>
              <w:top w:type="dxa" w:w="100"/>
              <w:left w:type="dxa" w:w="120"/>
              <w:bottom w:type="dxa" w:w="100"/>
              <w:right w:type="dxa" w:w="120"/>
            </w:tcMar>
            <w:vAlign w:val="center"/>
          </w:tcPr>
          <w:p>
            <w:r>
              <w:rPr>
                <w:b w:val="false"/>
                <w:bCs w:val="false"/>
                <w:color w:val="111111"/>
                <w:sz w:val="19"/>
                <w:szCs w:val="19"/>
              </w:rPr>
              <w:t xml:space="preserve">Increase to 90%+</w:t>
            </w:r>
          </w:p>
        </w:tc>
      </w:tr>
      <w:tr>
        <w:tc>
          <w:tcPr>
            <w:tcW w:type="dxa" w:w="2600"/>
            <w:shd w:fill="FFFFFF" w:val="clear"/>
            <w:tcMar>
              <w:top w:type="dxa" w:w="100"/>
              <w:left w:type="dxa" w:w="120"/>
              <w:bottom w:type="dxa" w:w="100"/>
              <w:right w:type="dxa" w:w="120"/>
            </w:tcMar>
            <w:vAlign w:val="center"/>
          </w:tcPr>
          <w:p>
            <w:r>
              <w:rPr>
                <w:b w:val="false"/>
                <w:bCs w:val="false"/>
                <w:color w:val="111111"/>
                <w:sz w:val="19"/>
                <w:szCs w:val="19"/>
              </w:rPr>
              <w:t xml:space="preserve">Generate AI reports</w:t>
            </w:r>
          </w:p>
        </w:tc>
        <w:tc>
          <w:tcPr>
            <w:tcW w:type="dxa" w:w="2600"/>
            <w:shd w:fill="FFFFFF" w:val="clear"/>
            <w:tcMar>
              <w:top w:type="dxa" w:w="100"/>
              <w:left w:type="dxa" w:w="120"/>
              <w:bottom w:type="dxa" w:w="100"/>
              <w:right w:type="dxa" w:w="120"/>
            </w:tcMar>
            <w:vAlign w:val="center"/>
          </w:tcPr>
          <w:p>
            <w:r>
              <w:rPr>
                <w:b w:val="false"/>
                <w:bCs w:val="false"/>
                <w:color w:val="111111"/>
                <w:sz w:val="19"/>
                <w:szCs w:val="19"/>
              </w:rPr>
              <w:t xml:space="preserve">Manager hours spent building manual reports / week</w:t>
            </w:r>
          </w:p>
        </w:tc>
        <w:tc>
          <w:tcPr>
            <w:tcW w:type="dxa" w:w="2200"/>
            <w:shd w:fill="FFFFFF" w:val="clear"/>
            <w:tcMar>
              <w:top w:type="dxa" w:w="100"/>
              <w:left w:type="dxa" w:w="120"/>
              <w:bottom w:type="dxa" w:w="100"/>
              <w:right w:type="dxa" w:w="120"/>
            </w:tcMar>
            <w:vAlign w:val="center"/>
          </w:tcPr>
          <w:p>
            <w:r>
              <w:rPr>
                <w:b w:val="false"/>
                <w:bCs w:val="false"/>
                <w:color w:val="111111"/>
                <w:sz w:val="19"/>
                <w:szCs w:val="19"/>
              </w:rPr>
              <w:t xml:space="preserve">TBD</w:t>
            </w:r>
          </w:p>
        </w:tc>
        <w:tc>
          <w:tcPr>
            <w:tcW w:type="dxa" w:w="2500"/>
            <w:shd w:fill="FFFFFF" w:val="clear"/>
            <w:tcMar>
              <w:top w:type="dxa" w:w="100"/>
              <w:left w:type="dxa" w:w="120"/>
              <w:bottom w:type="dxa" w:w="100"/>
              <w:right w:type="dxa" w:w="120"/>
            </w:tcMar>
            <w:vAlign w:val="center"/>
          </w:tcPr>
          <w:p>
            <w:r>
              <w:rPr>
                <w:b w:val="false"/>
                <w:bCs w:val="false"/>
                <w:color w:val="111111"/>
                <w:sz w:val="19"/>
                <w:szCs w:val="19"/>
              </w:rPr>
              <w:t xml:space="preserve">Reduce by 70%</w:t>
            </w:r>
          </w:p>
        </w:tc>
      </w:tr>
      <w:tr>
        <w:tc>
          <w:tcPr>
            <w:tcW w:type="dxa" w:w="2600"/>
            <w:shd w:fill="FFFFFF" w:val="clear"/>
            <w:tcMar>
              <w:top w:type="dxa" w:w="100"/>
              <w:left w:type="dxa" w:w="120"/>
              <w:bottom w:type="dxa" w:w="100"/>
              <w:right w:type="dxa" w:w="120"/>
            </w:tcMar>
            <w:vAlign w:val="center"/>
          </w:tcPr>
          <w:p>
            <w:r>
              <w:rPr>
                <w:b w:val="false"/>
                <w:bCs w:val="false"/>
                <w:color w:val="111111"/>
                <w:sz w:val="19"/>
                <w:szCs w:val="19"/>
              </w:rPr>
              <w:t xml:space="preserve">Provide natural-language analytics</w:t>
            </w:r>
          </w:p>
        </w:tc>
        <w:tc>
          <w:tcPr>
            <w:tcW w:type="dxa" w:w="2600"/>
            <w:shd w:fill="FFFFFF" w:val="clear"/>
            <w:tcMar>
              <w:top w:type="dxa" w:w="100"/>
              <w:left w:type="dxa" w:w="120"/>
              <w:bottom w:type="dxa" w:w="100"/>
              <w:right w:type="dxa" w:w="120"/>
            </w:tcMar>
            <w:vAlign w:val="center"/>
          </w:tcPr>
          <w:p>
            <w:r>
              <w:rPr>
                <w:b w:val="false"/>
                <w:bCs w:val="false"/>
                <w:color w:val="111111"/>
                <w:sz w:val="19"/>
                <w:szCs w:val="19"/>
              </w:rPr>
              <w:t xml:space="preserve">% of operational questions answered via Copilot vs. spreadsheet/BI tool</w:t>
            </w:r>
          </w:p>
        </w:tc>
        <w:tc>
          <w:tcPr>
            <w:tcW w:type="dxa" w:w="2200"/>
            <w:shd w:fill="FFFFFF" w:val="clear"/>
            <w:tcMar>
              <w:top w:type="dxa" w:w="100"/>
              <w:left w:type="dxa" w:w="120"/>
              <w:bottom w:type="dxa" w:w="100"/>
              <w:right w:type="dxa" w:w="120"/>
            </w:tcMar>
            <w:vAlign w:val="center"/>
          </w:tcPr>
          <w:p>
            <w:r>
              <w:rPr>
                <w:b w:val="false"/>
                <w:bCs w:val="false"/>
                <w:color w:val="111111"/>
                <w:sz w:val="19"/>
                <w:szCs w:val="19"/>
              </w:rPr>
              <w:t xml:space="preserve">0% (no Copilot today)</w:t>
            </w:r>
          </w:p>
        </w:tc>
        <w:tc>
          <w:tcPr>
            <w:tcW w:type="dxa" w:w="2500"/>
            <w:shd w:fill="FFFFFF" w:val="clear"/>
            <w:tcMar>
              <w:top w:type="dxa" w:w="100"/>
              <w:left w:type="dxa" w:w="120"/>
              <w:bottom w:type="dxa" w:w="100"/>
              <w:right w:type="dxa" w:w="120"/>
            </w:tcMar>
            <w:vAlign w:val="center"/>
          </w:tcPr>
          <w:p>
            <w:r>
              <w:rPr>
                <w:b w:val="false"/>
                <w:bCs w:val="false"/>
                <w:color w:val="111111"/>
                <w:sz w:val="19"/>
                <w:szCs w:val="19"/>
              </w:rPr>
              <w:t xml:space="preserve">50%+ of routine queries</w:t>
            </w:r>
          </w:p>
        </w:tc>
      </w:tr>
      <w:tr>
        <w:tc>
          <w:tcPr>
            <w:tcW w:type="dxa" w:w="2600"/>
            <w:shd w:fill="FFFFFF" w:val="clear"/>
            <w:tcMar>
              <w:top w:type="dxa" w:w="100"/>
              <w:left w:type="dxa" w:w="120"/>
              <w:bottom w:type="dxa" w:w="100"/>
              <w:right w:type="dxa" w:w="120"/>
            </w:tcMar>
            <w:vAlign w:val="center"/>
          </w:tcPr>
          <w:p>
            <w:r>
              <w:rPr>
                <w:b w:val="false"/>
                <w:bCs w:val="false"/>
                <w:color w:val="111111"/>
                <w:sz w:val="19"/>
                <w:szCs w:val="19"/>
              </w:rPr>
              <w:t xml:space="preserve">Automate repetitive workflows</w:t>
            </w:r>
          </w:p>
        </w:tc>
        <w:tc>
          <w:tcPr>
            <w:tcW w:type="dxa" w:w="2600"/>
            <w:shd w:fill="FFFFFF" w:val="clear"/>
            <w:tcMar>
              <w:top w:type="dxa" w:w="100"/>
              <w:left w:type="dxa" w:w="120"/>
              <w:bottom w:type="dxa" w:w="100"/>
              <w:right w:type="dxa" w:w="120"/>
            </w:tcMar>
            <w:vAlign w:val="center"/>
          </w:tcPr>
          <w:p>
            <w:r>
              <w:rPr>
                <w:b w:val="false"/>
                <w:bCs w:val="false"/>
                <w:color w:val="111111"/>
                <w:sz w:val="19"/>
                <w:szCs w:val="19"/>
              </w:rPr>
              <w:t xml:space="preserve"># of PO drafts created manually vs. AI-assisted</w:t>
            </w:r>
          </w:p>
        </w:tc>
        <w:tc>
          <w:tcPr>
            <w:tcW w:type="dxa" w:w="2200"/>
            <w:shd w:fill="FFFFFF" w:val="clear"/>
            <w:tcMar>
              <w:top w:type="dxa" w:w="100"/>
              <w:left w:type="dxa" w:w="120"/>
              <w:bottom w:type="dxa" w:w="100"/>
              <w:right w:type="dxa" w:w="120"/>
            </w:tcMar>
            <w:vAlign w:val="center"/>
          </w:tcPr>
          <w:p>
            <w:r>
              <w:rPr>
                <w:b w:val="false"/>
                <w:bCs w:val="false"/>
                <w:color w:val="111111"/>
                <w:sz w:val="19"/>
                <w:szCs w:val="19"/>
              </w:rPr>
              <w:t xml:space="preserve">TBD</w:t>
            </w:r>
          </w:p>
        </w:tc>
        <w:tc>
          <w:tcPr>
            <w:tcW w:type="dxa" w:w="2500"/>
            <w:shd w:fill="FFFFFF" w:val="clear"/>
            <w:tcMar>
              <w:top w:type="dxa" w:w="100"/>
              <w:left w:type="dxa" w:w="120"/>
              <w:bottom w:type="dxa" w:w="100"/>
              <w:right w:type="dxa" w:w="120"/>
            </w:tcMar>
            <w:vAlign w:val="center"/>
          </w:tcPr>
          <w:p>
            <w:r>
              <w:rPr>
                <w:b w:val="false"/>
                <w:bCs w:val="false"/>
                <w:color w:val="111111"/>
                <w:sz w:val="19"/>
                <w:szCs w:val="19"/>
              </w:rPr>
              <w:t xml:space="preserve">60%+ AI-assisted, human-approved</w:t>
            </w:r>
          </w:p>
        </w:tc>
      </w:tr>
    </w:tbl>
    <w:p>
      <w:pPr>
        <w:pStyle w:val="Heading1"/>
        <w:spacing w:after="200" w:before="400"/>
      </w:pPr>
      <w:r>
        <w:t xml:space="preserve">3. Stakeholders &amp; Users</w:t>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2600"/>
        <w:gridCol w:w="4900"/>
        <w:gridCol w:w="2400"/>
      </w:tblGrid>
      <w:tr>
        <w:trPr>
          <w:tblHeader/>
        </w:trPr>
        <w:tc>
          <w:tcPr>
            <w:tcW w:type="dxa" w:w="2600"/>
            <w:shd w:fill="1F2937" w:val="clear"/>
            <w:tcMar>
              <w:top w:type="dxa" w:w="100"/>
              <w:left w:type="dxa" w:w="120"/>
              <w:bottom w:type="dxa" w:w="100"/>
              <w:right w:type="dxa" w:w="120"/>
            </w:tcMar>
            <w:vAlign w:val="center"/>
          </w:tcPr>
          <w:p>
            <w:r>
              <w:rPr>
                <w:b/>
                <w:bCs/>
                <w:color w:val="FFFFFF"/>
                <w:sz w:val="19"/>
                <w:szCs w:val="19"/>
              </w:rPr>
              <w:t xml:space="preserve">Persona</w:t>
            </w:r>
          </w:p>
        </w:tc>
        <w:tc>
          <w:tcPr>
            <w:tcW w:type="dxa" w:w="4900"/>
            <w:shd w:fill="1F2937" w:val="clear"/>
            <w:tcMar>
              <w:top w:type="dxa" w:w="100"/>
              <w:left w:type="dxa" w:w="120"/>
              <w:bottom w:type="dxa" w:w="100"/>
              <w:right w:type="dxa" w:w="120"/>
            </w:tcMar>
            <w:vAlign w:val="center"/>
          </w:tcPr>
          <w:p>
            <w:r>
              <w:rPr>
                <w:b/>
                <w:bCs/>
                <w:color w:val="FFFFFF"/>
                <w:sz w:val="19"/>
                <w:szCs w:val="19"/>
              </w:rPr>
              <w:t xml:space="preserve">Primary Goals</w:t>
            </w:r>
          </w:p>
        </w:tc>
        <w:tc>
          <w:tcPr>
            <w:tcW w:type="dxa" w:w="2400"/>
            <w:shd w:fill="1F2937" w:val="clear"/>
            <w:tcMar>
              <w:top w:type="dxa" w:w="100"/>
              <w:left w:type="dxa" w:w="120"/>
              <w:bottom w:type="dxa" w:w="100"/>
              <w:right w:type="dxa" w:w="120"/>
            </w:tcMar>
            <w:vAlign w:val="center"/>
          </w:tcPr>
          <w:p>
            <w:r>
              <w:rPr>
                <w:b/>
                <w:bCs/>
                <w:color w:val="FFFFFF"/>
                <w:sz w:val="19"/>
                <w:szCs w:val="19"/>
              </w:rPr>
              <w:t xml:space="preserve">Access Level</w:t>
            </w:r>
          </w:p>
        </w:tc>
      </w:tr>
      <w:tr>
        <w:tc>
          <w:tcPr>
            <w:tcW w:type="dxa" w:w="2600"/>
            <w:shd w:fill="FFFFFF" w:val="clear"/>
            <w:tcMar>
              <w:top w:type="dxa" w:w="100"/>
              <w:left w:type="dxa" w:w="120"/>
              <w:bottom w:type="dxa" w:w="100"/>
              <w:right w:type="dxa" w:w="120"/>
            </w:tcMar>
            <w:vAlign w:val="center"/>
          </w:tcPr>
          <w:p>
            <w:r>
              <w:rPr>
                <w:b w:val="false"/>
                <w:bCs w:val="false"/>
                <w:color w:val="111111"/>
                <w:sz w:val="19"/>
                <w:szCs w:val="19"/>
              </w:rPr>
              <w:t xml:space="preserve">Supply Chain Manager</w:t>
            </w:r>
          </w:p>
        </w:tc>
        <w:tc>
          <w:tcPr>
            <w:tcW w:type="dxa" w:w="4900"/>
            <w:shd w:fill="FFFFFF" w:val="clear"/>
            <w:tcMar>
              <w:top w:type="dxa" w:w="100"/>
              <w:left w:type="dxa" w:w="120"/>
              <w:bottom w:type="dxa" w:w="100"/>
              <w:right w:type="dxa" w:w="120"/>
            </w:tcMar>
            <w:vAlign w:val="center"/>
          </w:tcPr>
          <w:p>
            <w:r>
              <w:rPr>
                <w:b w:val="false"/>
                <w:bCs w:val="false"/>
                <w:color w:val="111111"/>
                <w:sz w:val="19"/>
                <w:szCs w:val="19"/>
              </w:rPr>
              <w:t xml:space="preserve">Monitor stock levels, flag shortages, plan replenishment</w:t>
            </w:r>
          </w:p>
        </w:tc>
        <w:tc>
          <w:tcPr>
            <w:tcW w:type="dxa" w:w="2400"/>
            <w:shd w:fill="FFFFFF" w:val="clear"/>
            <w:tcMar>
              <w:top w:type="dxa" w:w="100"/>
              <w:left w:type="dxa" w:w="120"/>
              <w:bottom w:type="dxa" w:w="100"/>
              <w:right w:type="dxa" w:w="120"/>
            </w:tcMar>
            <w:vAlign w:val="center"/>
          </w:tcPr>
          <w:p>
            <w:r>
              <w:rPr>
                <w:b w:val="false"/>
                <w:bCs w:val="false"/>
                <w:color w:val="111111"/>
                <w:sz w:val="19"/>
                <w:szCs w:val="19"/>
              </w:rPr>
              <w:t xml:space="preserve">Full read/write on inventory &amp; reports</w:t>
            </w:r>
          </w:p>
        </w:tc>
      </w:tr>
      <w:tr>
        <w:tc>
          <w:tcPr>
            <w:tcW w:type="dxa" w:w="2600"/>
            <w:shd w:fill="FFFFFF" w:val="clear"/>
            <w:tcMar>
              <w:top w:type="dxa" w:w="100"/>
              <w:left w:type="dxa" w:w="120"/>
              <w:bottom w:type="dxa" w:w="100"/>
              <w:right w:type="dxa" w:w="120"/>
            </w:tcMar>
            <w:vAlign w:val="center"/>
          </w:tcPr>
          <w:p>
            <w:r>
              <w:rPr>
                <w:b w:val="false"/>
                <w:bCs w:val="false"/>
                <w:color w:val="111111"/>
                <w:sz w:val="19"/>
                <w:szCs w:val="19"/>
              </w:rPr>
              <w:t xml:space="preserve">Warehouse Manager</w:t>
            </w:r>
          </w:p>
        </w:tc>
        <w:tc>
          <w:tcPr>
            <w:tcW w:type="dxa" w:w="4900"/>
            <w:shd w:fill="FFFFFF" w:val="clear"/>
            <w:tcMar>
              <w:top w:type="dxa" w:w="100"/>
              <w:left w:type="dxa" w:w="120"/>
              <w:bottom w:type="dxa" w:w="100"/>
              <w:right w:type="dxa" w:w="120"/>
            </w:tcMar>
            <w:vAlign w:val="center"/>
          </w:tcPr>
          <w:p>
            <w:r>
              <w:rPr>
                <w:b w:val="false"/>
                <w:bCs w:val="false"/>
                <w:color w:val="111111"/>
                <w:sz w:val="19"/>
                <w:szCs w:val="19"/>
              </w:rPr>
              <w:t xml:space="preserve">Track inbound/outbound, stock accuracy, warehouse KPIs</w:t>
            </w:r>
          </w:p>
        </w:tc>
        <w:tc>
          <w:tcPr>
            <w:tcW w:type="dxa" w:w="2400"/>
            <w:shd w:fill="FFFFFF" w:val="clear"/>
            <w:tcMar>
              <w:top w:type="dxa" w:w="100"/>
              <w:left w:type="dxa" w:w="120"/>
              <w:bottom w:type="dxa" w:w="100"/>
              <w:right w:type="dxa" w:w="120"/>
            </w:tcMar>
            <w:vAlign w:val="center"/>
          </w:tcPr>
          <w:p>
            <w:r>
              <w:rPr>
                <w:b w:val="false"/>
                <w:bCs w:val="false"/>
                <w:color w:val="111111"/>
                <w:sz w:val="19"/>
                <w:szCs w:val="19"/>
              </w:rPr>
              <w:t xml:space="preserve">Full read/write on warehouse module</w:t>
            </w:r>
          </w:p>
        </w:tc>
      </w:tr>
      <w:tr>
        <w:tc>
          <w:tcPr>
            <w:tcW w:type="dxa" w:w="2600"/>
            <w:shd w:fill="FFFFFF" w:val="clear"/>
            <w:tcMar>
              <w:top w:type="dxa" w:w="100"/>
              <w:left w:type="dxa" w:w="120"/>
              <w:bottom w:type="dxa" w:w="100"/>
              <w:right w:type="dxa" w:w="120"/>
            </w:tcMar>
            <w:vAlign w:val="center"/>
          </w:tcPr>
          <w:p>
            <w:r>
              <w:rPr>
                <w:b w:val="false"/>
                <w:bCs w:val="false"/>
                <w:color w:val="111111"/>
                <w:sz w:val="19"/>
                <w:szCs w:val="19"/>
              </w:rPr>
              <w:t xml:space="preserve">Procurement Manager</w:t>
            </w:r>
          </w:p>
        </w:tc>
        <w:tc>
          <w:tcPr>
            <w:tcW w:type="dxa" w:w="4900"/>
            <w:shd w:fill="FFFFFF" w:val="clear"/>
            <w:tcMar>
              <w:top w:type="dxa" w:w="100"/>
              <w:left w:type="dxa" w:w="120"/>
              <w:bottom w:type="dxa" w:w="100"/>
              <w:right w:type="dxa" w:w="120"/>
            </w:tcMar>
            <w:vAlign w:val="center"/>
          </w:tcPr>
          <w:p>
            <w:r>
              <w:rPr>
                <w:b w:val="false"/>
                <w:bCs w:val="false"/>
                <w:color w:val="111111"/>
                <w:sz w:val="19"/>
                <w:szCs w:val="19"/>
              </w:rPr>
              <w:t xml:space="preserve">Manage suppliers, generate &amp; approve purchase orders</w:t>
            </w:r>
          </w:p>
        </w:tc>
        <w:tc>
          <w:tcPr>
            <w:tcW w:type="dxa" w:w="2400"/>
            <w:shd w:fill="FFFFFF" w:val="clear"/>
            <w:tcMar>
              <w:top w:type="dxa" w:w="100"/>
              <w:left w:type="dxa" w:w="120"/>
              <w:bottom w:type="dxa" w:w="100"/>
              <w:right w:type="dxa" w:w="120"/>
            </w:tcMar>
            <w:vAlign w:val="center"/>
          </w:tcPr>
          <w:p>
            <w:r>
              <w:rPr>
                <w:b w:val="false"/>
                <w:bCs w:val="false"/>
                <w:color w:val="111111"/>
                <w:sz w:val="19"/>
                <w:szCs w:val="19"/>
              </w:rPr>
              <w:t xml:space="preserve">Full read/write on suppliers &amp; POs</w:t>
            </w:r>
          </w:p>
        </w:tc>
      </w:tr>
      <w:tr>
        <w:tc>
          <w:tcPr>
            <w:tcW w:type="dxa" w:w="2600"/>
            <w:shd w:fill="FFFFFF" w:val="clear"/>
            <w:tcMar>
              <w:top w:type="dxa" w:w="100"/>
              <w:left w:type="dxa" w:w="120"/>
              <w:bottom w:type="dxa" w:w="100"/>
              <w:right w:type="dxa" w:w="120"/>
            </w:tcMar>
            <w:vAlign w:val="center"/>
          </w:tcPr>
          <w:p>
            <w:r>
              <w:rPr>
                <w:b w:val="false"/>
                <w:bCs w:val="false"/>
                <w:color w:val="111111"/>
                <w:sz w:val="19"/>
                <w:szCs w:val="19"/>
              </w:rPr>
              <w:t xml:space="preserve">Operations Director</w:t>
            </w:r>
          </w:p>
        </w:tc>
        <w:tc>
          <w:tcPr>
            <w:tcW w:type="dxa" w:w="4900"/>
            <w:shd w:fill="FFFFFF" w:val="clear"/>
            <w:tcMar>
              <w:top w:type="dxa" w:w="100"/>
              <w:left w:type="dxa" w:w="120"/>
              <w:bottom w:type="dxa" w:w="100"/>
              <w:right w:type="dxa" w:w="120"/>
            </w:tcMar>
            <w:vAlign w:val="center"/>
          </w:tcPr>
          <w:p>
            <w:r>
              <w:rPr>
                <w:b w:val="false"/>
                <w:bCs w:val="false"/>
                <w:color w:val="111111"/>
                <w:sz w:val="19"/>
                <w:szCs w:val="19"/>
              </w:rPr>
              <w:t xml:space="preserve">Cross-functional visibility, exception management</w:t>
            </w:r>
          </w:p>
        </w:tc>
        <w:tc>
          <w:tcPr>
            <w:tcW w:type="dxa" w:w="2400"/>
            <w:shd w:fill="FFFFFF" w:val="clear"/>
            <w:tcMar>
              <w:top w:type="dxa" w:w="100"/>
              <w:left w:type="dxa" w:w="120"/>
              <w:bottom w:type="dxa" w:w="100"/>
              <w:right w:type="dxa" w:w="120"/>
            </w:tcMar>
            <w:vAlign w:val="center"/>
          </w:tcPr>
          <w:p>
            <w:r>
              <w:rPr>
                <w:b w:val="false"/>
                <w:bCs w:val="false"/>
                <w:color w:val="111111"/>
                <w:sz w:val="19"/>
                <w:szCs w:val="19"/>
              </w:rPr>
              <w:t xml:space="preserve">Read on all modules, approve escalations</w:t>
            </w:r>
          </w:p>
        </w:tc>
      </w:tr>
      <w:tr>
        <w:tc>
          <w:tcPr>
            <w:tcW w:type="dxa" w:w="2600"/>
            <w:shd w:fill="FFFFFF" w:val="clear"/>
            <w:tcMar>
              <w:top w:type="dxa" w:w="100"/>
              <w:left w:type="dxa" w:w="120"/>
              <w:bottom w:type="dxa" w:w="100"/>
              <w:right w:type="dxa" w:w="120"/>
            </w:tcMar>
            <w:vAlign w:val="center"/>
          </w:tcPr>
          <w:p>
            <w:r>
              <w:rPr>
                <w:b w:val="false"/>
                <w:bCs w:val="false"/>
                <w:color w:val="111111"/>
                <w:sz w:val="19"/>
                <w:szCs w:val="19"/>
              </w:rPr>
              <w:t xml:space="preserve">Executive / CEO</w:t>
            </w:r>
          </w:p>
        </w:tc>
        <w:tc>
          <w:tcPr>
            <w:tcW w:type="dxa" w:w="4900"/>
            <w:shd w:fill="FFFFFF" w:val="clear"/>
            <w:tcMar>
              <w:top w:type="dxa" w:w="100"/>
              <w:left w:type="dxa" w:w="120"/>
              <w:bottom w:type="dxa" w:w="100"/>
              <w:right w:type="dxa" w:w="120"/>
            </w:tcMar>
            <w:vAlign w:val="center"/>
          </w:tcPr>
          <w:p>
            <w:r>
              <w:rPr>
                <w:b w:val="false"/>
                <w:bCs w:val="false"/>
                <w:color w:val="111111"/>
                <w:sz w:val="19"/>
                <w:szCs w:val="19"/>
              </w:rPr>
              <w:t xml:space="preserve">High-level KPIs and trends only</w:t>
            </w:r>
          </w:p>
        </w:tc>
        <w:tc>
          <w:tcPr>
            <w:tcW w:type="dxa" w:w="2400"/>
            <w:shd w:fill="FFFFFF" w:val="clear"/>
            <w:tcMar>
              <w:top w:type="dxa" w:w="100"/>
              <w:left w:type="dxa" w:w="120"/>
              <w:bottom w:type="dxa" w:w="100"/>
              <w:right w:type="dxa" w:w="120"/>
            </w:tcMar>
            <w:vAlign w:val="center"/>
          </w:tcPr>
          <w:p>
            <w:r>
              <w:rPr>
                <w:b w:val="false"/>
                <w:bCs w:val="false"/>
                <w:color w:val="111111"/>
                <w:sz w:val="19"/>
                <w:szCs w:val="19"/>
              </w:rPr>
              <w:t xml:space="preserve">Read-only, dashboard &amp; summary reports</w:t>
            </w:r>
          </w:p>
        </w:tc>
      </w:tr>
    </w:tbl>
    <w:p>
      <w:pPr>
        <w:pStyle w:val="Heading1"/>
        <w:spacing w:after="200" w:before="400"/>
      </w:pPr>
      <w:r>
        <w:t xml:space="preserve">4. Scope</w:t>
      </w:r>
    </w:p>
    <w:p>
      <w:pPr>
        <w:pStyle w:val="Heading2"/>
        <w:spacing w:after="120" w:before="260"/>
      </w:pPr>
      <w:r>
        <w:t xml:space="preserve">4.1 In Scope — MVP (Phase 1)</w:t>
      </w:r>
    </w:p>
    <w:p>
      <w:pPr>
        <w:pStyle w:val="ListParagraph"/>
        <w:numPr>
          <w:ilvl w:val="0"/>
          <w:numId w:val="2"/>
        </w:numPr>
        <w:spacing w:after="80"/>
      </w:pPr>
      <w:r>
        <w:rPr>
          <w:b/>
          <w:bCs/>
        </w:rPr>
        <w:t xml:space="preserve">Auth: </w:t>
      </w:r>
      <w:r>
        <w:t xml:space="preserve">Secure login with role-based access control for the five personas above</w:t>
      </w:r>
    </w:p>
    <w:p>
      <w:pPr>
        <w:pStyle w:val="ListParagraph"/>
        <w:numPr>
          <w:ilvl w:val="0"/>
          <w:numId w:val="2"/>
        </w:numPr>
        <w:spacing w:after="80"/>
      </w:pPr>
      <w:r>
        <w:rPr>
          <w:b/>
          <w:bCs/>
        </w:rPr>
        <w:t xml:space="preserve">Data entry: </w:t>
      </w:r>
      <w:r>
        <w:t xml:space="preserve">Manual entry and CSV/Excel import for inventory, shipments, suppliers, and purchase orders (no live ERP connection in MVP)</w:t>
      </w:r>
    </w:p>
    <w:p>
      <w:pPr>
        <w:pStyle w:val="ListParagraph"/>
        <w:numPr>
          <w:ilvl w:val="0"/>
          <w:numId w:val="2"/>
        </w:numPr>
        <w:spacing w:after="80"/>
      </w:pPr>
      <w:r>
        <w:rPr>
          <w:b/>
          <w:bCs/>
        </w:rPr>
        <w:t xml:space="preserve">Dashboard: </w:t>
      </w:r>
      <w:r>
        <w:t xml:space="preserve">KPI dashboard: stock health, open POs, delayed shipments, supplier OTIF</w:t>
      </w:r>
    </w:p>
    <w:p>
      <w:pPr>
        <w:pStyle w:val="ListParagraph"/>
        <w:numPr>
          <w:ilvl w:val="0"/>
          <w:numId w:val="2"/>
        </w:numPr>
        <w:spacing w:after="80"/>
      </w:pPr>
      <w:r>
        <w:rPr>
          <w:b/>
          <w:bCs/>
        </w:rPr>
        <w:t xml:space="preserve">Inventory: </w:t>
      </w:r>
      <w:r>
        <w:t xml:space="preserve">Inventory CRUD, low-stock flags, stock status views</w:t>
      </w:r>
    </w:p>
    <w:p>
      <w:pPr>
        <w:pStyle w:val="ListParagraph"/>
        <w:numPr>
          <w:ilvl w:val="0"/>
          <w:numId w:val="2"/>
        </w:numPr>
        <w:spacing w:after="80"/>
      </w:pPr>
      <w:r>
        <w:rPr>
          <w:b/>
          <w:bCs/>
        </w:rPr>
        <w:t xml:space="preserve">Shipments: </w:t>
      </w:r>
      <w:r>
        <w:t xml:space="preserve">Shipment tracking with delay indicators (manually updated or CSV-refreshed status)</w:t>
      </w:r>
    </w:p>
    <w:p>
      <w:pPr>
        <w:pStyle w:val="ListParagraph"/>
        <w:numPr>
          <w:ilvl w:val="0"/>
          <w:numId w:val="2"/>
        </w:numPr>
        <w:spacing w:after="80"/>
      </w:pPr>
      <w:r>
        <w:rPr>
          <w:b/>
          <w:bCs/>
        </w:rPr>
        <w:t xml:space="preserve">Suppliers: </w:t>
      </w:r>
      <w:r>
        <w:t xml:space="preserve">Supplier records with a scoring model (see §6) and AI-generated scorecards</w:t>
      </w:r>
    </w:p>
    <w:p>
      <w:pPr>
        <w:pStyle w:val="ListParagraph"/>
        <w:numPr>
          <w:ilvl w:val="0"/>
          <w:numId w:val="2"/>
        </w:numPr>
        <w:spacing w:after="80"/>
      </w:pPr>
      <w:r>
        <w:rPr>
          <w:b/>
          <w:bCs/>
        </w:rPr>
        <w:t xml:space="preserve">Purchase Orders: </w:t>
      </w:r>
      <w:r>
        <w:t xml:space="preserve">AI-assisted PO draft generation, always routed to human approval before submission</w:t>
      </w:r>
    </w:p>
    <w:p>
      <w:pPr>
        <w:pStyle w:val="ListParagraph"/>
        <w:numPr>
          <w:ilvl w:val="0"/>
          <w:numId w:val="2"/>
        </w:numPr>
        <w:spacing w:after="80"/>
      </w:pPr>
      <w:r>
        <w:rPr>
          <w:b/>
          <w:bCs/>
        </w:rPr>
        <w:t xml:space="preserve">AI Copilot: </w:t>
      </w:r>
      <w:r>
        <w:t xml:space="preserve">Conversational chat scoped to the enterprise's own data, with source citations on numeric answers</w:t>
      </w:r>
    </w:p>
    <w:p>
      <w:pPr>
        <w:pStyle w:val="ListParagraph"/>
        <w:numPr>
          <w:ilvl w:val="0"/>
          <w:numId w:val="2"/>
        </w:numPr>
        <w:spacing w:after="80"/>
      </w:pPr>
      <w:r>
        <w:rPr>
          <w:b/>
          <w:bCs/>
        </w:rPr>
        <w:t xml:space="preserve">Reporting: </w:t>
      </w:r>
      <w:r>
        <w:t xml:space="preserve">PDF/Excel export for reports; audit log of all AI-initiated actions</w:t>
      </w:r>
    </w:p>
    <w:p>
      <w:pPr>
        <w:pStyle w:val="Heading2"/>
        <w:spacing w:after="120" w:before="260"/>
      </w:pPr>
      <w:r>
        <w:t xml:space="preserve">4.2 Out of Scope for MVP (Phase 2+)</w:t>
      </w:r>
    </w:p>
    <w:p>
      <w:pPr>
        <w:pStyle w:val="ListParagraph"/>
        <w:numPr>
          <w:ilvl w:val="0"/>
          <w:numId w:val="2"/>
        </w:numPr>
        <w:spacing w:after="80"/>
      </w:pPr>
      <w:r>
        <w:t xml:space="preserve">Live ERP integration (SAP / Oracle / Dynamics)</w:t>
      </w:r>
    </w:p>
    <w:p>
      <w:pPr>
        <w:pStyle w:val="ListParagraph"/>
        <w:numPr>
          <w:ilvl w:val="0"/>
          <w:numId w:val="2"/>
        </w:numPr>
        <w:spacing w:after="80"/>
      </w:pPr>
      <w:r>
        <w:t xml:space="preserve">Warehouse Management System (WMS) integration</w:t>
      </w:r>
    </w:p>
    <w:p>
      <w:pPr>
        <w:pStyle w:val="ListParagraph"/>
        <w:numPr>
          <w:ilvl w:val="0"/>
          <w:numId w:val="2"/>
        </w:numPr>
        <w:spacing w:after="80"/>
      </w:pPr>
      <w:r>
        <w:t xml:space="preserve">Direct supplier API/EDI connections</w:t>
      </w:r>
    </w:p>
    <w:p>
      <w:pPr>
        <w:pStyle w:val="ListParagraph"/>
        <w:numPr>
          <w:ilvl w:val="0"/>
          <w:numId w:val="2"/>
        </w:numPr>
        <w:spacing w:after="80"/>
      </w:pPr>
      <w:r>
        <w:t xml:space="preserve">Automated email/Teams/Slack notifications (Phase 1 ships in-app alerts only)</w:t>
      </w:r>
    </w:p>
    <w:p>
      <w:pPr>
        <w:pStyle w:val="ListParagraph"/>
        <w:numPr>
          <w:ilvl w:val="0"/>
          <w:numId w:val="2"/>
        </w:numPr>
        <w:spacing w:after="80"/>
      </w:pPr>
      <w:r>
        <w:t xml:space="preserve">BI platform connectors (Power BI, Tableau, Looker)</w:t>
      </w:r>
    </w:p>
    <w:p>
      <w:pPr>
        <w:pStyle w:val="ListParagraph"/>
        <w:numPr>
          <w:ilvl w:val="0"/>
          <w:numId w:val="2"/>
        </w:numPr>
        <w:spacing w:after="80"/>
      </w:pPr>
      <w:r>
        <w:t xml:space="preserve">Predictive/forecasting models for shortage prediction beyond rule-based thresholds (true ML forecasting is Phase 2)</w:t>
      </w:r>
    </w:p>
    <w:p>
      <w:pPr>
        <w:pStyle w:val="Heading2"/>
        <w:spacing w:after="120" w:before="260"/>
      </w:pPr>
      <w:r>
        <w:t xml:space="preserve">4.3 Assumptions</w:t>
      </w:r>
    </w:p>
    <w:p>
      <w:pPr>
        <w:pStyle w:val="ListParagraph"/>
        <w:numPr>
          <w:ilvl w:val="0"/>
          <w:numId w:val="2"/>
        </w:numPr>
        <w:spacing w:after="80"/>
      </w:pPr>
      <w:r>
        <w:t xml:space="preserve">Single-enterprise deployment; not a multi-tenant SaaS product — confirmed</w:t>
      </w:r>
    </w:p>
    <w:p>
      <w:pPr>
        <w:pStyle w:val="ListParagraph"/>
        <w:numPr>
          <w:ilvl w:val="0"/>
          <w:numId w:val="2"/>
        </w:numPr>
        <w:spacing w:after="80"/>
      </w:pPr>
      <w:r>
        <w:t xml:space="preserve">MVP/demo runs on dummy CSV/Excel data, not a live ERP or legacy system feed — confirmed</w:t>
      </w:r>
    </w:p>
    <w:p>
      <w:pPr>
        <w:pStyle w:val="ListParagraph"/>
        <w:numPr>
          <w:ilvl w:val="0"/>
          <w:numId w:val="2"/>
        </w:numPr>
        <w:spacing w:after="80"/>
      </w:pPr>
      <w:r>
        <w:t xml:space="preserve">AI provider is Gemini or DeepSeek — confirmed; final choice should be pinned before build starts (see §11 note)</w:t>
      </w:r>
    </w:p>
    <w:p>
      <w:pPr>
        <w:pStyle w:val="ListParagraph"/>
        <w:numPr>
          <w:ilvl w:val="0"/>
          <w:numId w:val="2"/>
        </w:numPr>
        <w:spacing w:after="80"/>
      </w:pPr>
      <w:r>
        <w:t xml:space="preserve">PO approval is single-tier (Procurement Manager approves directly, no dollar-threshold escalation) — recommended default, see §6.1</w:t>
      </w:r>
    </w:p>
    <w:p>
      <w:pPr>
        <w:pStyle w:val="Heading2"/>
        <w:spacing w:after="120" w:before="260"/>
      </w:pPr>
      <w:r>
        <w:t xml:space="preserve">4.4 Constraints</w:t>
      </w:r>
    </w:p>
    <w:p>
      <w:pPr>
        <w:pStyle w:val="ListParagraph"/>
        <w:numPr>
          <w:ilvl w:val="0"/>
          <w:numId w:val="2"/>
        </w:numPr>
        <w:spacing w:after="80"/>
      </w:pPr>
      <w:r>
        <w:t xml:space="preserve">Delivery timeline is 1–2 days — confirmed. This is a demo-scope build, not the full 8-module, 5-role MVP described in §4.1. See §4.5 for what's realistic in that window.</w:t>
      </w:r>
    </w:p>
    <w:p>
      <w:pPr>
        <w:pStyle w:val="ListParagraph"/>
        <w:numPr>
          <w:ilvl w:val="0"/>
          <w:numId w:val="2"/>
        </w:numPr>
        <w:spacing w:after="80"/>
      </w:pPr>
      <w:r>
        <w:t xml:space="preserve">Target scale is very high (1M+ users) — confirmed intent, but the number needs clarification: does this mean 1M+ internal staff at this one retail company, or is customer-facing/multi-company use anticipated later? See §8.1 for the architecture implication.</w:t>
      </w:r>
    </w:p>
    <w:p>
      <w:pPr>
        <w:pStyle w:val="ListParagraph"/>
        <w:numPr>
          <w:ilvl w:val="0"/>
          <w:numId w:val="2"/>
        </w:numPr>
        <w:spacing w:after="80"/>
      </w:pPr>
      <w:r>
        <w:t xml:space="preserve">No confirmed data volume (# of SKUs, suppliers, POs/month) for the underlying dummy dataset — low stakes for a demo, but worth deciding so the sample data looks realistic</w:t>
      </w:r>
    </w:p>
    <w:p>
      <w:pPr>
        <w:pStyle w:val="Heading2"/>
        <w:spacing w:after="120" w:before="260"/>
      </w:pPr>
      <w:r>
        <w:t xml:space="preserve">4.5 Demo Build Scope (1–2 Days)</w:t>
      </w:r>
    </w:p>
    <w:p>
      <w:pPr>
        <w:spacing w:after="160"/>
      </w:pPr>
      <w:r>
        <w:t xml:space="preserve">The 8-module, 5-role MVP scoped in §4.1 is a multi-week build once you include RBAC across five personas, PO approval workflows, audit logging, and export. For a 1–2 day demo, recommend narrowing to a slice that still tells the full story end-to-end:</w:t>
      </w:r>
    </w:p>
    <w:p>
      <w:pPr>
        <w:pStyle w:val="ListParagraph"/>
        <w:numPr>
          <w:ilvl w:val="0"/>
          <w:numId w:val="2"/>
        </w:numPr>
        <w:spacing w:after="80"/>
      </w:pPr>
      <w:r>
        <w:rPr>
          <w:b/>
          <w:bCs/>
        </w:rPr>
        <w:t xml:space="preserve">Roles: </w:t>
      </w:r>
      <w:r>
        <w:t xml:space="preserve">One role for the demo walkthrough (e.g., Procurement/Supply Chain Manager combined) rather than building and testing all 5 RBAC roles</w:t>
      </w:r>
    </w:p>
    <w:p>
      <w:pPr>
        <w:pStyle w:val="ListParagraph"/>
        <w:numPr>
          <w:ilvl w:val="0"/>
          <w:numId w:val="2"/>
        </w:numPr>
        <w:spacing w:after="80"/>
      </w:pPr>
      <w:r>
        <w:rPr>
          <w:b/>
          <w:bCs/>
        </w:rPr>
        <w:t xml:space="preserve">Modules: </w:t>
      </w:r>
      <w:r>
        <w:t xml:space="preserve">Inventory + Suppliers + Purchase Orders as the three modules that carry the AI story; drop Warehouse Overview and Shipment Tracking to a “nice to have if time allows”</w:t>
      </w:r>
    </w:p>
    <w:p>
      <w:pPr>
        <w:pStyle w:val="ListParagraph"/>
        <w:numPr>
          <w:ilvl w:val="0"/>
          <w:numId w:val="2"/>
        </w:numPr>
        <w:spacing w:after="80"/>
      </w:pPr>
      <w:r>
        <w:rPr>
          <w:b/>
          <w:bCs/>
        </w:rPr>
        <w:t xml:space="preserve">Data: </w:t>
      </w:r>
      <w:r>
        <w:t xml:space="preserve">Load once from a CSV/Excel seed file into Postgres/Supabase; no in-app import UI needed for a demo</w:t>
      </w:r>
    </w:p>
    <w:p>
      <w:pPr>
        <w:pStyle w:val="ListParagraph"/>
        <w:numPr>
          <w:ilvl w:val="0"/>
          <w:numId w:val="2"/>
        </w:numPr>
        <w:spacing w:after="80"/>
      </w:pPr>
      <w:r>
        <w:rPr>
          <w:b/>
          <w:bCs/>
        </w:rPr>
        <w:t xml:space="preserve">AI Copilot: </w:t>
      </w:r>
      <w:r>
        <w:t xml:space="preserve">Low-stock detection, supplier scorecard narration, and AI-assisted PO drafting — these are the highest-impact, most demoable AI use cases</w:t>
      </w:r>
    </w:p>
    <w:p>
      <w:pPr>
        <w:pStyle w:val="ListParagraph"/>
        <w:numPr>
          <w:ilvl w:val="0"/>
          <w:numId w:val="2"/>
        </w:numPr>
        <w:spacing w:after="80"/>
      </w:pPr>
      <w:r>
        <w:rPr>
          <w:b/>
          <w:bCs/>
        </w:rPr>
        <w:t xml:space="preserve">Dashboard: </w:t>
      </w:r>
      <w:r>
        <w:t xml:space="preserve">Dashboard KPI cards + one chat view; skip PDF/Excel export and audit-log UI for the demo (log to console/DB is enough to show the concept)</w:t>
      </w:r>
    </w:p>
    <w:p>
      <w:pPr>
        <w:pBdr>
          <w:left w:val="single" w:color="2563EB" w:sz="12" w:space="8"/>
        </w:pBdr>
        <w:spacing w:after="160"/>
        <w:ind w:left="100"/>
      </w:pPr>
      <w:r>
        <w:rPr>
          <w:b/>
          <w:bCs/>
          <w:i/>
          <w:iCs/>
          <w:color w:val="6B7280"/>
          <w:sz w:val="20"/>
          <w:szCs w:val="20"/>
        </w:rPr>
        <w:t xml:space="preserve">Assumption / open item: </w:t>
      </w:r>
      <w:r>
        <w:rPr>
          <w:i/>
          <w:iCs/>
          <w:color w:val="6B7280"/>
          <w:sz w:val="20"/>
          <w:szCs w:val="20"/>
        </w:rPr>
        <w:t xml:space="preserve">This demo-scope list is my recommendation, not a directive — confirm which 2–3 AI use cases matter most for whoever is watching the demo, since that should drive what gets the polish in 1–2 days.</w:t>
      </w:r>
    </w:p>
    <w:p>
      <w:pPr>
        <w:pStyle w:val="Heading1"/>
        <w:spacing w:after="200" w:before="400"/>
      </w:pPr>
      <w:r>
        <w:t xml:space="preserve">5. Core Modules</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3200"/>
        <w:gridCol w:w="6300"/>
      </w:tblGrid>
      <w:tr>
        <w:trPr>
          <w:tblHeader/>
        </w:trPr>
        <w:tc>
          <w:tcPr>
            <w:tcW w:type="dxa" w:w="3200"/>
            <w:shd w:fill="1F2937" w:val="clear"/>
            <w:tcMar>
              <w:top w:type="dxa" w:w="100"/>
              <w:left w:type="dxa" w:w="120"/>
              <w:bottom w:type="dxa" w:w="100"/>
              <w:right w:type="dxa" w:w="120"/>
            </w:tcMar>
            <w:vAlign w:val="center"/>
          </w:tcPr>
          <w:p>
            <w:r>
              <w:rPr>
                <w:b/>
                <w:bCs/>
                <w:color w:val="FFFFFF"/>
                <w:sz w:val="19"/>
                <w:szCs w:val="19"/>
              </w:rPr>
              <w:t xml:space="preserve">Module</w:t>
            </w:r>
          </w:p>
        </w:tc>
        <w:tc>
          <w:tcPr>
            <w:tcW w:type="dxa" w:w="6300"/>
            <w:shd w:fill="1F2937" w:val="clear"/>
            <w:tcMar>
              <w:top w:type="dxa" w:w="100"/>
              <w:left w:type="dxa" w:w="120"/>
              <w:bottom w:type="dxa" w:w="100"/>
              <w:right w:type="dxa" w:w="120"/>
            </w:tcMar>
            <w:vAlign w:val="center"/>
          </w:tcPr>
          <w:p>
            <w:r>
              <w:rPr>
                <w:b/>
                <w:bCs/>
                <w:color w:val="FFFFFF"/>
                <w:sz w:val="19"/>
                <w:szCs w:val="19"/>
              </w:rPr>
              <w:t xml:space="preserve">Description</w:t>
            </w:r>
          </w:p>
        </w:tc>
      </w:tr>
      <w:tr>
        <w:tc>
          <w:tcPr>
            <w:tcW w:type="dxa" w:w="3200"/>
            <w:shd w:fill="FFFFFF" w:val="clear"/>
            <w:tcMar>
              <w:top w:type="dxa" w:w="100"/>
              <w:left w:type="dxa" w:w="120"/>
              <w:bottom w:type="dxa" w:w="100"/>
              <w:right w:type="dxa" w:w="120"/>
            </w:tcMar>
            <w:vAlign w:val="center"/>
          </w:tcPr>
          <w:p>
            <w:r>
              <w:rPr>
                <w:b w:val="false"/>
                <w:bCs w:val="false"/>
                <w:color w:val="111111"/>
                <w:sz w:val="19"/>
                <w:szCs w:val="19"/>
              </w:rPr>
              <w:t xml:space="preserve">AI Copilot Chat</w:t>
            </w:r>
          </w:p>
        </w:tc>
        <w:tc>
          <w:tcPr>
            <w:tcW w:type="dxa" w:w="6300"/>
            <w:shd w:fill="FFFFFF" w:val="clear"/>
            <w:tcMar>
              <w:top w:type="dxa" w:w="100"/>
              <w:left w:type="dxa" w:w="120"/>
              <w:bottom w:type="dxa" w:w="100"/>
              <w:right w:type="dxa" w:w="120"/>
            </w:tcMar>
            <w:vAlign w:val="center"/>
          </w:tcPr>
          <w:p>
            <w:r>
              <w:rPr>
                <w:b w:val="false"/>
                <w:bCs w:val="false"/>
                <w:color w:val="111111"/>
                <w:sz w:val="19"/>
                <w:szCs w:val="19"/>
              </w:rPr>
              <w:t xml:space="preserve">Conversational interface over enterprise data; answers questions, drafts documents, and surfaces summaries with source citations.</w:t>
            </w:r>
          </w:p>
        </w:tc>
      </w:tr>
      <w:tr>
        <w:tc>
          <w:tcPr>
            <w:tcW w:type="dxa" w:w="3200"/>
            <w:shd w:fill="FFFFFF" w:val="clear"/>
            <w:tcMar>
              <w:top w:type="dxa" w:w="100"/>
              <w:left w:type="dxa" w:w="120"/>
              <w:bottom w:type="dxa" w:w="100"/>
              <w:right w:type="dxa" w:w="120"/>
            </w:tcMar>
            <w:vAlign w:val="center"/>
          </w:tcPr>
          <w:p>
            <w:r>
              <w:rPr>
                <w:b w:val="false"/>
                <w:bCs w:val="false"/>
                <w:color w:val="111111"/>
                <w:sz w:val="19"/>
                <w:szCs w:val="19"/>
              </w:rPr>
              <w:t xml:space="preserve">Inventory Management</w:t>
            </w:r>
          </w:p>
        </w:tc>
        <w:tc>
          <w:tcPr>
            <w:tcW w:type="dxa" w:w="6300"/>
            <w:shd w:fill="FFFFFF" w:val="clear"/>
            <w:tcMar>
              <w:top w:type="dxa" w:w="100"/>
              <w:left w:type="dxa" w:w="120"/>
              <w:bottom w:type="dxa" w:w="100"/>
              <w:right w:type="dxa" w:w="120"/>
            </w:tcMar>
            <w:vAlign w:val="center"/>
          </w:tcPr>
          <w:p>
            <w:r>
              <w:rPr>
                <w:b w:val="false"/>
                <w:bCs w:val="false"/>
                <w:color w:val="111111"/>
                <w:sz w:val="19"/>
                <w:szCs w:val="19"/>
              </w:rPr>
              <w:t xml:space="preserve">CRUD for SKUs, stock levels, thresholds, and stock-status classification (healthy / low / critical).</w:t>
            </w:r>
          </w:p>
        </w:tc>
      </w:tr>
      <w:tr>
        <w:tc>
          <w:tcPr>
            <w:tcW w:type="dxa" w:w="3200"/>
            <w:shd w:fill="FFFFFF" w:val="clear"/>
            <w:tcMar>
              <w:top w:type="dxa" w:w="100"/>
              <w:left w:type="dxa" w:w="120"/>
              <w:bottom w:type="dxa" w:w="100"/>
              <w:right w:type="dxa" w:w="120"/>
            </w:tcMar>
            <w:vAlign w:val="center"/>
          </w:tcPr>
          <w:p>
            <w:r>
              <w:rPr>
                <w:b w:val="false"/>
                <w:bCs w:val="false"/>
                <w:color w:val="111111"/>
                <w:sz w:val="19"/>
                <w:szCs w:val="19"/>
              </w:rPr>
              <w:t xml:space="preserve">Warehouse Overview</w:t>
            </w:r>
          </w:p>
        </w:tc>
        <w:tc>
          <w:tcPr>
            <w:tcW w:type="dxa" w:w="6300"/>
            <w:shd w:fill="FFFFFF" w:val="clear"/>
            <w:tcMar>
              <w:top w:type="dxa" w:w="100"/>
              <w:left w:type="dxa" w:w="120"/>
              <w:bottom w:type="dxa" w:w="100"/>
              <w:right w:type="dxa" w:w="120"/>
            </w:tcMar>
            <w:vAlign w:val="center"/>
          </w:tcPr>
          <w:p>
            <w:r>
              <w:rPr>
                <w:b w:val="false"/>
                <w:bCs w:val="false"/>
                <w:color w:val="111111"/>
                <w:sz w:val="19"/>
                <w:szCs w:val="19"/>
              </w:rPr>
              <w:t xml:space="preserve">Warehouse-level view of stock, throughput, and operational KPIs.</w:t>
            </w:r>
          </w:p>
        </w:tc>
      </w:tr>
      <w:tr>
        <w:tc>
          <w:tcPr>
            <w:tcW w:type="dxa" w:w="3200"/>
            <w:shd w:fill="FFFFFF" w:val="clear"/>
            <w:tcMar>
              <w:top w:type="dxa" w:w="100"/>
              <w:left w:type="dxa" w:w="120"/>
              <w:bottom w:type="dxa" w:w="100"/>
              <w:right w:type="dxa" w:w="120"/>
            </w:tcMar>
            <w:vAlign w:val="center"/>
          </w:tcPr>
          <w:p>
            <w:r>
              <w:rPr>
                <w:b w:val="false"/>
                <w:bCs w:val="false"/>
                <w:color w:val="111111"/>
                <w:sz w:val="19"/>
                <w:szCs w:val="19"/>
              </w:rPr>
              <w:t xml:space="preserve">Shipment Tracking</w:t>
            </w:r>
          </w:p>
        </w:tc>
        <w:tc>
          <w:tcPr>
            <w:tcW w:type="dxa" w:w="6300"/>
            <w:shd w:fill="FFFFFF" w:val="clear"/>
            <w:tcMar>
              <w:top w:type="dxa" w:w="100"/>
              <w:left w:type="dxa" w:w="120"/>
              <w:bottom w:type="dxa" w:w="100"/>
              <w:right w:type="dxa" w:w="120"/>
            </w:tcMar>
            <w:vAlign w:val="center"/>
          </w:tcPr>
          <w:p>
            <w:r>
              <w:rPr>
                <w:b w:val="false"/>
                <w:bCs w:val="false"/>
                <w:color w:val="111111"/>
                <w:sz w:val="19"/>
                <w:szCs w:val="19"/>
              </w:rPr>
              <w:t xml:space="preserve">Inbound/outbound shipment status with delay flags and ETA tracking.</w:t>
            </w:r>
          </w:p>
        </w:tc>
      </w:tr>
      <w:tr>
        <w:tc>
          <w:tcPr>
            <w:tcW w:type="dxa" w:w="3200"/>
            <w:shd w:fill="FFFFFF" w:val="clear"/>
            <w:tcMar>
              <w:top w:type="dxa" w:w="100"/>
              <w:left w:type="dxa" w:w="120"/>
              <w:bottom w:type="dxa" w:w="100"/>
              <w:right w:type="dxa" w:w="120"/>
            </w:tcMar>
            <w:vAlign w:val="center"/>
          </w:tcPr>
          <w:p>
            <w:r>
              <w:rPr>
                <w:b w:val="false"/>
                <w:bCs w:val="false"/>
                <w:color w:val="111111"/>
                <w:sz w:val="19"/>
                <w:szCs w:val="19"/>
              </w:rPr>
              <w:t xml:space="preserve">Supplier Performance</w:t>
            </w:r>
          </w:p>
        </w:tc>
        <w:tc>
          <w:tcPr>
            <w:tcW w:type="dxa" w:w="6300"/>
            <w:shd w:fill="FFFFFF" w:val="clear"/>
            <w:tcMar>
              <w:top w:type="dxa" w:w="100"/>
              <w:left w:type="dxa" w:w="120"/>
              <w:bottom w:type="dxa" w:w="100"/>
              <w:right w:type="dxa" w:w="120"/>
            </w:tcMar>
            <w:vAlign w:val="center"/>
          </w:tcPr>
          <w:p>
            <w:r>
              <w:rPr>
                <w:b w:val="false"/>
                <w:bCs w:val="false"/>
                <w:color w:val="111111"/>
                <w:sz w:val="19"/>
                <w:szCs w:val="19"/>
              </w:rPr>
              <w:t xml:space="preserve">Supplier directory, scorecards, and OTIF / quality / cost scoring.</w:t>
            </w:r>
          </w:p>
        </w:tc>
      </w:tr>
      <w:tr>
        <w:tc>
          <w:tcPr>
            <w:tcW w:type="dxa" w:w="3200"/>
            <w:shd w:fill="FFFFFF" w:val="clear"/>
            <w:tcMar>
              <w:top w:type="dxa" w:w="100"/>
              <w:left w:type="dxa" w:w="120"/>
              <w:bottom w:type="dxa" w:w="100"/>
              <w:right w:type="dxa" w:w="120"/>
            </w:tcMar>
            <w:vAlign w:val="center"/>
          </w:tcPr>
          <w:p>
            <w:r>
              <w:rPr>
                <w:b w:val="false"/>
                <w:bCs w:val="false"/>
                <w:color w:val="111111"/>
                <w:sz w:val="19"/>
                <w:szCs w:val="19"/>
              </w:rPr>
              <w:t xml:space="preserve">Purchase Orders</w:t>
            </w:r>
          </w:p>
        </w:tc>
        <w:tc>
          <w:tcPr>
            <w:tcW w:type="dxa" w:w="6300"/>
            <w:shd w:fill="FFFFFF" w:val="clear"/>
            <w:tcMar>
              <w:top w:type="dxa" w:w="100"/>
              <w:left w:type="dxa" w:w="120"/>
              <w:bottom w:type="dxa" w:w="100"/>
              <w:right w:type="dxa" w:w="120"/>
            </w:tcMar>
            <w:vAlign w:val="center"/>
          </w:tcPr>
          <w:p>
            <w:r>
              <w:rPr>
                <w:b w:val="false"/>
                <w:bCs w:val="false"/>
                <w:color w:val="111111"/>
                <w:sz w:val="19"/>
                <w:szCs w:val="19"/>
              </w:rPr>
              <w:t xml:space="preserve">PO lifecycle: draft (AI-assisted), review, approval, and issue tracking.</w:t>
            </w:r>
          </w:p>
        </w:tc>
      </w:tr>
      <w:tr>
        <w:tc>
          <w:tcPr>
            <w:tcW w:type="dxa" w:w="3200"/>
            <w:shd w:fill="FFFFFF" w:val="clear"/>
            <w:tcMar>
              <w:top w:type="dxa" w:w="100"/>
              <w:left w:type="dxa" w:w="120"/>
              <w:bottom w:type="dxa" w:w="100"/>
              <w:right w:type="dxa" w:w="120"/>
            </w:tcMar>
            <w:vAlign w:val="center"/>
          </w:tcPr>
          <w:p>
            <w:r>
              <w:rPr>
                <w:b w:val="false"/>
                <w:bCs w:val="false"/>
                <w:color w:val="111111"/>
                <w:sz w:val="19"/>
                <w:szCs w:val="19"/>
              </w:rPr>
              <w:t xml:space="preserve">Reports &amp; Analytics</w:t>
            </w:r>
          </w:p>
        </w:tc>
        <w:tc>
          <w:tcPr>
            <w:tcW w:type="dxa" w:w="6300"/>
            <w:shd w:fill="FFFFFF" w:val="clear"/>
            <w:tcMar>
              <w:top w:type="dxa" w:w="100"/>
              <w:left w:type="dxa" w:w="120"/>
              <w:bottom w:type="dxa" w:w="100"/>
              <w:right w:type="dxa" w:w="120"/>
            </w:tcMar>
            <w:vAlign w:val="center"/>
          </w:tcPr>
          <w:p>
            <w:r>
              <w:rPr>
                <w:b w:val="false"/>
                <w:bCs w:val="false"/>
                <w:color w:val="111111"/>
                <w:sz w:val="19"/>
                <w:szCs w:val="19"/>
              </w:rPr>
              <w:t xml:space="preserve">Scheduled and on-demand reports, exportable to PDF/Excel.</w:t>
            </w:r>
          </w:p>
        </w:tc>
      </w:tr>
      <w:tr>
        <w:tc>
          <w:tcPr>
            <w:tcW w:type="dxa" w:w="3200"/>
            <w:shd w:fill="FFFFFF" w:val="clear"/>
            <w:tcMar>
              <w:top w:type="dxa" w:w="100"/>
              <w:left w:type="dxa" w:w="120"/>
              <w:bottom w:type="dxa" w:w="100"/>
              <w:right w:type="dxa" w:w="120"/>
            </w:tcMar>
            <w:vAlign w:val="center"/>
          </w:tcPr>
          <w:p>
            <w:r>
              <w:rPr>
                <w:b w:val="false"/>
                <w:bCs w:val="false"/>
                <w:color w:val="111111"/>
                <w:sz w:val="19"/>
                <w:szCs w:val="19"/>
              </w:rPr>
              <w:t xml:space="preserve">Alerts &amp; Notifications</w:t>
            </w:r>
          </w:p>
        </w:tc>
        <w:tc>
          <w:tcPr>
            <w:tcW w:type="dxa" w:w="6300"/>
            <w:shd w:fill="FFFFFF" w:val="clear"/>
            <w:tcMar>
              <w:top w:type="dxa" w:w="100"/>
              <w:left w:type="dxa" w:w="120"/>
              <w:bottom w:type="dxa" w:w="100"/>
              <w:right w:type="dxa" w:w="120"/>
            </w:tcMar>
            <w:vAlign w:val="center"/>
          </w:tcPr>
          <w:p>
            <w:r>
              <w:rPr>
                <w:b w:val="false"/>
                <w:bCs w:val="false"/>
                <w:color w:val="111111"/>
                <w:sz w:val="19"/>
                <w:szCs w:val="19"/>
              </w:rPr>
              <w:t xml:space="preserve">In-app alerts for low stock, delayed shipments, and supplier score drops.</w:t>
            </w:r>
          </w:p>
        </w:tc>
      </w:tr>
    </w:tbl>
    <w:p>
      <w:pPr>
        <w:pStyle w:val="Heading1"/>
        <w:spacing w:after="200" w:before="400"/>
      </w:pPr>
      <w:r>
        <w:t xml:space="preserve">6. Key AI Use Cases &amp; Guardrails</w:t>
      </w:r>
    </w:p>
    <w:p>
      <w:pPr>
        <w:spacing w:after="160"/>
      </w:pPr>
      <w:r>
        <w:t xml:space="preserve">Each AI use case below is paired with the guardrail needed given this system touches real inventory and procurement data. This is the most safety-critical part of the product and was not addressed in the original brief.</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3400"/>
        <w:gridCol w:w="6100"/>
      </w:tblGrid>
      <w:tr>
        <w:trPr>
          <w:tblHeader/>
        </w:trPr>
        <w:tc>
          <w:tcPr>
            <w:tcW w:type="dxa" w:w="3400"/>
            <w:shd w:fill="1F2937" w:val="clear"/>
            <w:tcMar>
              <w:top w:type="dxa" w:w="100"/>
              <w:left w:type="dxa" w:w="120"/>
              <w:bottom w:type="dxa" w:w="100"/>
              <w:right w:type="dxa" w:w="120"/>
            </w:tcMar>
            <w:vAlign w:val="center"/>
          </w:tcPr>
          <w:p>
            <w:r>
              <w:rPr>
                <w:b/>
                <w:bCs/>
                <w:color w:val="FFFFFF"/>
                <w:sz w:val="19"/>
                <w:szCs w:val="19"/>
              </w:rPr>
              <w:t xml:space="preserve">AI Use Case</w:t>
            </w:r>
          </w:p>
        </w:tc>
        <w:tc>
          <w:tcPr>
            <w:tcW w:type="dxa" w:w="6100"/>
            <w:shd w:fill="1F2937" w:val="clear"/>
            <w:tcMar>
              <w:top w:type="dxa" w:w="100"/>
              <w:left w:type="dxa" w:w="120"/>
              <w:bottom w:type="dxa" w:w="100"/>
              <w:right w:type="dxa" w:w="120"/>
            </w:tcMar>
            <w:vAlign w:val="center"/>
          </w:tcPr>
          <w:p>
            <w:r>
              <w:rPr>
                <w:b/>
                <w:bCs/>
                <w:color w:val="FFFFFF"/>
                <w:sz w:val="19"/>
                <w:szCs w:val="19"/>
              </w:rPr>
              <w:t xml:space="preserve">Guardrail / Validation Requirement</w:t>
            </w:r>
          </w:p>
        </w:tc>
      </w:tr>
      <w:tr>
        <w:tc>
          <w:tcPr>
            <w:tcW w:type="dxa" w:w="3400"/>
            <w:shd w:fill="FFFFFF" w:val="clear"/>
            <w:tcMar>
              <w:top w:type="dxa" w:w="100"/>
              <w:left w:type="dxa" w:w="120"/>
              <w:bottom w:type="dxa" w:w="100"/>
              <w:right w:type="dxa" w:w="120"/>
            </w:tcMar>
            <w:vAlign w:val="center"/>
          </w:tcPr>
          <w:p>
            <w:r>
              <w:rPr>
                <w:b w:val="false"/>
                <w:bCs w:val="false"/>
                <w:color w:val="111111"/>
                <w:sz w:val="19"/>
                <w:szCs w:val="19"/>
              </w:rPr>
              <w:t xml:space="preserve">Identify low-stock items</w:t>
            </w:r>
          </w:p>
        </w:tc>
        <w:tc>
          <w:tcPr>
            <w:tcW w:type="dxa" w:w="6100"/>
            <w:shd w:fill="FFFFFF" w:val="clear"/>
            <w:tcMar>
              <w:top w:type="dxa" w:w="100"/>
              <w:left w:type="dxa" w:w="120"/>
              <w:bottom w:type="dxa" w:w="100"/>
              <w:right w:type="dxa" w:w="120"/>
            </w:tcMar>
            <w:vAlign w:val="center"/>
          </w:tcPr>
          <w:p>
            <w:r>
              <w:rPr>
                <w:b w:val="false"/>
                <w:bCs w:val="false"/>
                <w:color w:val="111111"/>
                <w:sz w:val="19"/>
                <w:szCs w:val="19"/>
              </w:rPr>
              <w:t xml:space="preserve">Deterministic rule-based check against thresholds; AI summarizes, does not decide the threshold logic.</w:t>
            </w:r>
          </w:p>
        </w:tc>
      </w:tr>
      <w:tr>
        <w:tc>
          <w:tcPr>
            <w:tcW w:type="dxa" w:w="3400"/>
            <w:shd w:fill="FFFFFF" w:val="clear"/>
            <w:tcMar>
              <w:top w:type="dxa" w:w="100"/>
              <w:left w:type="dxa" w:w="120"/>
              <w:bottom w:type="dxa" w:w="100"/>
              <w:right w:type="dxa" w:w="120"/>
            </w:tcMar>
            <w:vAlign w:val="center"/>
          </w:tcPr>
          <w:p>
            <w:r>
              <w:rPr>
                <w:b w:val="false"/>
                <w:bCs w:val="false"/>
                <w:color w:val="111111"/>
                <w:sz w:val="19"/>
                <w:szCs w:val="19"/>
              </w:rPr>
              <w:t xml:space="preserve">Predict inventory shortages</w:t>
            </w:r>
          </w:p>
        </w:tc>
        <w:tc>
          <w:tcPr>
            <w:tcW w:type="dxa" w:w="6100"/>
            <w:shd w:fill="FFFFFF" w:val="clear"/>
            <w:tcMar>
              <w:top w:type="dxa" w:w="100"/>
              <w:left w:type="dxa" w:w="120"/>
              <w:bottom w:type="dxa" w:w="100"/>
              <w:right w:type="dxa" w:w="120"/>
            </w:tcMar>
            <w:vAlign w:val="center"/>
          </w:tcPr>
          <w:p>
            <w:r>
              <w:rPr>
                <w:b w:val="false"/>
                <w:bCs w:val="false"/>
                <w:color w:val="111111"/>
                <w:sz w:val="19"/>
                <w:szCs w:val="19"/>
              </w:rPr>
              <w:t xml:space="preserve">MVP uses simple trend/rule-based projection, clearly labeled as an estimate, not a guarantee; true ML forecasting deferred to Phase 2.</w:t>
            </w:r>
          </w:p>
        </w:tc>
      </w:tr>
      <w:tr>
        <w:tc>
          <w:tcPr>
            <w:tcW w:type="dxa" w:w="3400"/>
            <w:shd w:fill="FFFFFF" w:val="clear"/>
            <w:tcMar>
              <w:top w:type="dxa" w:w="100"/>
              <w:left w:type="dxa" w:w="120"/>
              <w:bottom w:type="dxa" w:w="100"/>
              <w:right w:type="dxa" w:w="120"/>
            </w:tcMar>
            <w:vAlign w:val="center"/>
          </w:tcPr>
          <w:p>
            <w:r>
              <w:rPr>
                <w:b w:val="false"/>
                <w:bCs w:val="false"/>
                <w:color w:val="111111"/>
                <w:sz w:val="19"/>
                <w:szCs w:val="19"/>
              </w:rPr>
              <w:t xml:space="preserve">Summarize delayed shipments</w:t>
            </w:r>
          </w:p>
        </w:tc>
        <w:tc>
          <w:tcPr>
            <w:tcW w:type="dxa" w:w="6100"/>
            <w:shd w:fill="FFFFFF" w:val="clear"/>
            <w:tcMar>
              <w:top w:type="dxa" w:w="100"/>
              <w:left w:type="dxa" w:w="120"/>
              <w:bottom w:type="dxa" w:w="100"/>
              <w:right w:type="dxa" w:w="120"/>
            </w:tcMar>
            <w:vAlign w:val="center"/>
          </w:tcPr>
          <w:p>
            <w:r>
              <w:rPr>
                <w:b w:val="false"/>
                <w:bCs w:val="false"/>
                <w:color w:val="111111"/>
                <w:sz w:val="19"/>
                <w:szCs w:val="19"/>
              </w:rPr>
              <w:t xml:space="preserve">Summary must cite the underlying shipment records; no invented dates or carriers.</w:t>
            </w:r>
          </w:p>
        </w:tc>
      </w:tr>
      <w:tr>
        <w:tc>
          <w:tcPr>
            <w:tcW w:type="dxa" w:w="3400"/>
            <w:shd w:fill="FFFFFF" w:val="clear"/>
            <w:tcMar>
              <w:top w:type="dxa" w:w="100"/>
              <w:left w:type="dxa" w:w="120"/>
              <w:bottom w:type="dxa" w:w="100"/>
              <w:right w:type="dxa" w:w="120"/>
            </w:tcMar>
            <w:vAlign w:val="center"/>
          </w:tcPr>
          <w:p>
            <w:r>
              <w:rPr>
                <w:b w:val="false"/>
                <w:bCs w:val="false"/>
                <w:color w:val="111111"/>
                <w:sz w:val="19"/>
                <w:szCs w:val="19"/>
              </w:rPr>
              <w:t xml:space="preserve">Generate supplier scorecards</w:t>
            </w:r>
          </w:p>
        </w:tc>
        <w:tc>
          <w:tcPr>
            <w:tcW w:type="dxa" w:w="6100"/>
            <w:shd w:fill="FFFFFF" w:val="clear"/>
            <w:tcMar>
              <w:top w:type="dxa" w:w="100"/>
              <w:left w:type="dxa" w:w="120"/>
              <w:bottom w:type="dxa" w:w="100"/>
              <w:right w:type="dxa" w:w="120"/>
            </w:tcMar>
            <w:vAlign w:val="center"/>
          </w:tcPr>
          <w:p>
            <w:r>
              <w:rPr>
                <w:b w:val="false"/>
                <w:bCs w:val="false"/>
                <w:color w:val="111111"/>
                <w:sz w:val="19"/>
                <w:szCs w:val="19"/>
              </w:rPr>
              <w:t xml:space="preserve">Score computed by a deterministic formula (see below); AI narrates the result, does not compute it independently.</w:t>
            </w:r>
          </w:p>
        </w:tc>
      </w:tr>
      <w:tr>
        <w:tc>
          <w:tcPr>
            <w:tcW w:type="dxa" w:w="3400"/>
            <w:shd w:fill="FFFFFF" w:val="clear"/>
            <w:tcMar>
              <w:top w:type="dxa" w:w="100"/>
              <w:left w:type="dxa" w:w="120"/>
              <w:bottom w:type="dxa" w:w="100"/>
              <w:right w:type="dxa" w:w="120"/>
            </w:tcMar>
            <w:vAlign w:val="center"/>
          </w:tcPr>
          <w:p>
            <w:r>
              <w:rPr>
                <w:b w:val="false"/>
                <w:bCs w:val="false"/>
                <w:color w:val="111111"/>
                <w:sz w:val="19"/>
                <w:szCs w:val="19"/>
              </w:rPr>
              <w:t xml:space="preserve">Draft purchase orders</w:t>
            </w:r>
          </w:p>
        </w:tc>
        <w:tc>
          <w:tcPr>
            <w:tcW w:type="dxa" w:w="6100"/>
            <w:shd w:fill="FFFFFF" w:val="clear"/>
            <w:tcMar>
              <w:top w:type="dxa" w:w="100"/>
              <w:left w:type="dxa" w:w="120"/>
              <w:bottom w:type="dxa" w:w="100"/>
              <w:right w:type="dxa" w:w="120"/>
            </w:tcMar>
            <w:vAlign w:val="center"/>
          </w:tcPr>
          <w:p>
            <w:r>
              <w:rPr>
                <w:b w:val="false"/>
                <w:bCs w:val="false"/>
                <w:color w:val="111111"/>
                <w:sz w:val="19"/>
                <w:szCs w:val="19"/>
              </w:rPr>
              <w:t xml:space="preserve">AI drafts only — never submits. Requires explicit human approval before a PO is issued. Draft must show line-item source data for review.</w:t>
            </w:r>
          </w:p>
        </w:tc>
      </w:tr>
      <w:tr>
        <w:tc>
          <w:tcPr>
            <w:tcW w:type="dxa" w:w="3400"/>
            <w:shd w:fill="FFFFFF" w:val="clear"/>
            <w:tcMar>
              <w:top w:type="dxa" w:w="100"/>
              <w:left w:type="dxa" w:w="120"/>
              <w:bottom w:type="dxa" w:w="100"/>
              <w:right w:type="dxa" w:w="120"/>
            </w:tcMar>
            <w:vAlign w:val="center"/>
          </w:tcPr>
          <w:p>
            <w:r>
              <w:rPr>
                <w:b w:val="false"/>
                <w:bCs w:val="false"/>
                <w:color w:val="111111"/>
                <w:sz w:val="19"/>
                <w:szCs w:val="19"/>
              </w:rPr>
              <w:t xml:space="preserve">Generate weekly/monthly reports</w:t>
            </w:r>
          </w:p>
        </w:tc>
        <w:tc>
          <w:tcPr>
            <w:tcW w:type="dxa" w:w="6100"/>
            <w:shd w:fill="FFFFFF" w:val="clear"/>
            <w:tcMar>
              <w:top w:type="dxa" w:w="100"/>
              <w:left w:type="dxa" w:w="120"/>
              <w:bottom w:type="dxa" w:w="100"/>
              <w:right w:type="dxa" w:w="120"/>
            </w:tcMar>
            <w:vAlign w:val="center"/>
          </w:tcPr>
          <w:p>
            <w:r>
              <w:rPr>
                <w:b w:val="false"/>
                <w:bCs w:val="false"/>
                <w:color w:val="111111"/>
                <w:sz w:val="19"/>
                <w:szCs w:val="19"/>
              </w:rPr>
              <w:t xml:space="preserve">All figures must trace to a queryable source record; AI does not fabricate summary statistics.</w:t>
            </w:r>
          </w:p>
        </w:tc>
      </w:tr>
      <w:tr>
        <w:tc>
          <w:tcPr>
            <w:tcW w:type="dxa" w:w="3400"/>
            <w:shd w:fill="FFFFFF" w:val="clear"/>
            <w:tcMar>
              <w:top w:type="dxa" w:w="100"/>
              <w:left w:type="dxa" w:w="120"/>
              <w:bottom w:type="dxa" w:w="100"/>
              <w:right w:type="dxa" w:w="120"/>
            </w:tcMar>
            <w:vAlign w:val="center"/>
          </w:tcPr>
          <w:p>
            <w:r>
              <w:rPr>
                <w:b w:val="false"/>
                <w:bCs w:val="false"/>
                <w:color w:val="111111"/>
                <w:sz w:val="19"/>
                <w:szCs w:val="19"/>
              </w:rPr>
              <w:t xml:space="preserve">Answer operational questions in natural language</w:t>
            </w:r>
          </w:p>
        </w:tc>
        <w:tc>
          <w:tcPr>
            <w:tcW w:type="dxa" w:w="6100"/>
            <w:shd w:fill="FFFFFF" w:val="clear"/>
            <w:tcMar>
              <w:top w:type="dxa" w:w="100"/>
              <w:left w:type="dxa" w:w="120"/>
              <w:bottom w:type="dxa" w:w="100"/>
              <w:right w:type="dxa" w:w="120"/>
            </w:tcMar>
            <w:vAlign w:val="center"/>
          </w:tcPr>
          <w:p>
            <w:r>
              <w:rPr>
                <w:b w:val="false"/>
                <w:bCs w:val="false"/>
                <w:color w:val="111111"/>
                <w:sz w:val="19"/>
                <w:szCs w:val="19"/>
              </w:rPr>
              <w:t xml:space="preserve">Answers involving numbers must cite the record(s) used. Out-of-scope or ambiguous questions should prompt for clarification rather than guess.</w:t>
            </w:r>
          </w:p>
        </w:tc>
      </w:tr>
    </w:tbl>
    <w:p>
      <w:pPr>
        <w:pBdr>
          <w:left w:val="single" w:color="2563EB" w:sz="12" w:space="8"/>
        </w:pBdr>
        <w:spacing w:after="160"/>
        <w:ind w:left="100"/>
      </w:pPr>
      <w:r>
        <w:rPr>
          <w:b/>
          <w:bCs/>
          <w:i/>
          <w:iCs/>
          <w:color w:val="6B7280"/>
          <w:sz w:val="20"/>
          <w:szCs w:val="20"/>
        </w:rPr>
        <w:t xml:space="preserve">Assumption / open item: </w:t>
      </w:r>
      <w:r>
        <w:rPr>
          <w:i/>
          <w:iCs/>
          <w:color w:val="6B7280"/>
          <w:sz w:val="20"/>
          <w:szCs w:val="20"/>
        </w:rPr>
        <w:t xml:space="preserve">Recommended supplier scoring formula (weights are a starting proposal, not finalized): On-Time Delivery 40%, Order Accuracy 30%, Quality/Returns 20%, Responsiveness 10%. Confirm weighting with Procurement before build.</w:t>
      </w:r>
    </w:p>
    <w:p>
      <w:pPr>
        <w:pStyle w:val="Heading2"/>
        <w:spacing w:after="120" w:before="260"/>
      </w:pPr>
      <w:r>
        <w:t xml:space="preserve">6.1 Purchase Order Approval — Recommendation</w:t>
      </w:r>
    </w:p>
    <w:p>
      <w:pPr>
        <w:spacing w:after="160"/>
      </w:pPr>
      <w:r>
        <w:t xml:space="preserve">Confirmed as single-tier: the Procurement Manager reviews an AI-drafted PO and approves it directly, with no dollar-threshold escalation to the Operations Director. This is the simplest workflow to build and is the right default for a demo. It's also a safe long-term default for a single retail company unless Finance later requires a control for large orders — that escalation step can be added later without a data-model change, since the approval action is already logged with a user and timestamp.</w:t>
      </w:r>
    </w:p>
    <w:p>
      <w:pPr>
        <w:pStyle w:val="Heading1"/>
        <w:spacing w:after="200" w:before="400"/>
      </w:pPr>
      <w:r>
        <w:t xml:space="preserve">7. Functional Requirements</w:t>
      </w:r>
    </w:p>
    <w:p>
      <w:pPr>
        <w:pStyle w:val="Heading2"/>
        <w:spacing w:after="120" w:before="260"/>
      </w:pPr>
      <w:r>
        <w:t xml:space="preserve">7.1 Authentication &amp; Access</w:t>
      </w:r>
    </w:p>
    <w:p>
      <w:pPr>
        <w:pStyle w:val="ListParagraph"/>
        <w:numPr>
          <w:ilvl w:val="0"/>
          <w:numId w:val="3"/>
        </w:numPr>
        <w:spacing w:after="80"/>
      </w:pPr>
      <w:r>
        <w:t xml:space="preserve">Users authenticate via secure login; passwords hashed and never stored in plaintext.</w:t>
      </w:r>
    </w:p>
    <w:p>
      <w:pPr>
        <w:pStyle w:val="ListParagraph"/>
        <w:numPr>
          <w:ilvl w:val="0"/>
          <w:numId w:val="3"/>
        </w:numPr>
        <w:spacing w:after="80"/>
      </w:pPr>
      <w:r>
        <w:t xml:space="preserve">Role-based access control enforces the permission matrix in §9.</w:t>
      </w:r>
    </w:p>
    <w:p>
      <w:pPr>
        <w:pStyle w:val="ListParagraph"/>
        <w:numPr>
          <w:ilvl w:val="0"/>
          <w:numId w:val="3"/>
        </w:numPr>
        <w:spacing w:after="80"/>
      </w:pPr>
      <w:r>
        <w:t xml:space="preserve">Session timeout and re-authentication for sensitive actions (e.g., approving a PO).</w:t>
      </w:r>
    </w:p>
    <w:p>
      <w:pPr>
        <w:pStyle w:val="Heading2"/>
        <w:spacing w:after="120" w:before="260"/>
      </w:pPr>
      <w:r>
        <w:t xml:space="preserve">7.2 Dashboard</w:t>
      </w:r>
    </w:p>
    <w:p>
      <w:pPr>
        <w:pStyle w:val="ListParagraph"/>
        <w:numPr>
          <w:ilvl w:val="0"/>
          <w:numId w:val="3"/>
        </w:numPr>
        <w:spacing w:after="80"/>
      </w:pPr>
      <w:r>
        <w:t xml:space="preserve">KPI cards for stock health, open POs, delayed shipments, and supplier OTIF, scoped to the logged-in user's role.</w:t>
      </w:r>
    </w:p>
    <w:p>
      <w:pPr>
        <w:pStyle w:val="ListParagraph"/>
        <w:numPr>
          <w:ilvl w:val="0"/>
          <w:numId w:val="3"/>
        </w:numPr>
        <w:spacing w:after="80"/>
      </w:pPr>
      <w:r>
        <w:t xml:space="preserve">Executive role sees an aggregated, read-only view with no edit controls rendered.</w:t>
      </w:r>
    </w:p>
    <w:p>
      <w:pPr>
        <w:pStyle w:val="Heading2"/>
        <w:spacing w:after="120" w:before="260"/>
      </w:pPr>
      <w:r>
        <w:t xml:space="preserve">7.3 Inventory</w:t>
      </w:r>
    </w:p>
    <w:p>
      <w:pPr>
        <w:pStyle w:val="ListParagraph"/>
        <w:numPr>
          <w:ilvl w:val="0"/>
          <w:numId w:val="3"/>
        </w:numPr>
        <w:spacing w:after="80"/>
      </w:pPr>
      <w:r>
        <w:t xml:space="preserve">Full CRUD on SKU records: name, SKU code, quantity on hand, reorder threshold, unit cost.</w:t>
      </w:r>
    </w:p>
    <w:p>
      <w:pPr>
        <w:pStyle w:val="ListParagraph"/>
        <w:numPr>
          <w:ilvl w:val="0"/>
          <w:numId w:val="3"/>
        </w:numPr>
        <w:spacing w:after="80"/>
      </w:pPr>
      <w:r>
        <w:t xml:space="preserve">Automatic status classification (healthy / low / critical) based on threshold rules.</w:t>
      </w:r>
    </w:p>
    <w:p>
      <w:pPr>
        <w:pStyle w:val="Heading2"/>
        <w:spacing w:after="120" w:before="260"/>
      </w:pPr>
      <w:r>
        <w:t xml:space="preserve">7.4 Shipments</w:t>
      </w:r>
    </w:p>
    <w:p>
      <w:pPr>
        <w:pStyle w:val="ListParagraph"/>
        <w:numPr>
          <w:ilvl w:val="0"/>
          <w:numId w:val="3"/>
        </w:numPr>
        <w:spacing w:after="80"/>
      </w:pPr>
      <w:r>
        <w:t xml:space="preserve">Shipment records with status, expected vs. actual delivery date, and computed delay indicator.</w:t>
      </w:r>
    </w:p>
    <w:p>
      <w:pPr>
        <w:pStyle w:val="Heading2"/>
        <w:spacing w:after="120" w:before="260"/>
      </w:pPr>
      <w:r>
        <w:t xml:space="preserve">7.5 Suppliers &amp; Purchase Orders</w:t>
      </w:r>
    </w:p>
    <w:p>
      <w:pPr>
        <w:pStyle w:val="ListParagraph"/>
        <w:numPr>
          <w:ilvl w:val="0"/>
          <w:numId w:val="3"/>
        </w:numPr>
        <w:spacing w:after="80"/>
      </w:pPr>
      <w:r>
        <w:t xml:space="preserve">Supplier profiles with contact info, contract terms, and computed scorecard.</w:t>
      </w:r>
    </w:p>
    <w:p>
      <w:pPr>
        <w:pStyle w:val="ListParagraph"/>
        <w:numPr>
          <w:ilvl w:val="0"/>
          <w:numId w:val="3"/>
        </w:numPr>
        <w:spacing w:after="80"/>
      </w:pPr>
      <w:r>
        <w:t xml:space="preserve">PO draft generation from the AI Copilot, editable before submission.</w:t>
      </w:r>
    </w:p>
    <w:p>
      <w:pPr>
        <w:pStyle w:val="ListParagraph"/>
        <w:numPr>
          <w:ilvl w:val="0"/>
          <w:numId w:val="3"/>
        </w:numPr>
        <w:spacing w:after="80"/>
      </w:pPr>
      <w:r>
        <w:t xml:space="preserve">PO approval workflow requiring a designated approver role.</w:t>
      </w:r>
    </w:p>
    <w:p>
      <w:pPr>
        <w:pStyle w:val="Heading2"/>
        <w:spacing w:after="120" w:before="260"/>
      </w:pPr>
      <w:r>
        <w:t xml:space="preserve">7.6 AI Copilot Chat</w:t>
      </w:r>
    </w:p>
    <w:p>
      <w:pPr>
        <w:pStyle w:val="ListParagraph"/>
        <w:numPr>
          <w:ilvl w:val="0"/>
          <w:numId w:val="3"/>
        </w:numPr>
        <w:spacing w:after="80"/>
      </w:pPr>
      <w:r>
        <w:t xml:space="preserve">Chat interface scoped to the authenticated user's data-access level — a Warehouse Manager cannot query supplier contract terms via chat if that data is outside their role.</w:t>
      </w:r>
    </w:p>
    <w:p>
      <w:pPr>
        <w:pStyle w:val="ListParagraph"/>
        <w:numPr>
          <w:ilvl w:val="0"/>
          <w:numId w:val="3"/>
        </w:numPr>
        <w:spacing w:after="80"/>
      </w:pPr>
      <w:r>
        <w:t xml:space="preserve">Numeric answers include a reference to the source record(s).</w:t>
      </w:r>
    </w:p>
    <w:p>
      <w:pPr>
        <w:pStyle w:val="ListParagraph"/>
        <w:numPr>
          <w:ilvl w:val="0"/>
          <w:numId w:val="3"/>
        </w:numPr>
        <w:spacing w:after="80"/>
      </w:pPr>
      <w:r>
        <w:t xml:space="preserve">All AI-initiated actions (PO drafts, report generation) are written to an audit log with timestamp, user, and prompt/output summary.</w:t>
      </w:r>
    </w:p>
    <w:p>
      <w:pPr>
        <w:pStyle w:val="Heading2"/>
        <w:spacing w:after="120" w:before="260"/>
      </w:pPr>
      <w:r>
        <w:t xml:space="preserve">7.7 Reporting &amp; Export</w:t>
      </w:r>
    </w:p>
    <w:p>
      <w:pPr>
        <w:pStyle w:val="ListParagraph"/>
        <w:numPr>
          <w:ilvl w:val="0"/>
          <w:numId w:val="3"/>
        </w:numPr>
        <w:spacing w:after="80"/>
      </w:pPr>
      <w:r>
        <w:t xml:space="preserve">Reports exportable to PDF and Excel.</w:t>
      </w:r>
    </w:p>
    <w:p>
      <w:pPr>
        <w:pStyle w:val="ListParagraph"/>
        <w:numPr>
          <w:ilvl w:val="0"/>
          <w:numId w:val="3"/>
        </w:numPr>
        <w:spacing w:after="80"/>
      </w:pPr>
      <w:r>
        <w:t xml:space="preserve">Scheduled report generation (e.g., weekly summary) — delivery channel TBD (in-app only for MVP; email/Slack is Phase 2).</w:t>
      </w:r>
    </w:p>
    <w:p>
      <w:pPr>
        <w:pStyle w:val="Heading1"/>
        <w:spacing w:after="200" w:before="400"/>
      </w:pPr>
      <w:r>
        <w:t xml:space="preserve">8. Non-Functional Requirements</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2000"/>
        <w:gridCol w:w="4200"/>
        <w:gridCol w:w="3100"/>
      </w:tblGrid>
      <w:tr>
        <w:trPr>
          <w:tblHeader/>
        </w:trPr>
        <w:tc>
          <w:tcPr>
            <w:tcW w:type="dxa" w:w="2000"/>
            <w:shd w:fill="1F2937" w:val="clear"/>
            <w:tcMar>
              <w:top w:type="dxa" w:w="100"/>
              <w:left w:type="dxa" w:w="120"/>
              <w:bottom w:type="dxa" w:w="100"/>
              <w:right w:type="dxa" w:w="120"/>
            </w:tcMar>
            <w:vAlign w:val="center"/>
          </w:tcPr>
          <w:p>
            <w:r>
              <w:rPr>
                <w:b/>
                <w:bCs/>
                <w:color w:val="FFFFFF"/>
                <w:sz w:val="19"/>
                <w:szCs w:val="19"/>
              </w:rPr>
              <w:t xml:space="preserve">Category</w:t>
            </w:r>
          </w:p>
        </w:tc>
        <w:tc>
          <w:tcPr>
            <w:tcW w:type="dxa" w:w="4200"/>
            <w:shd w:fill="1F2937" w:val="clear"/>
            <w:tcMar>
              <w:top w:type="dxa" w:w="100"/>
              <w:left w:type="dxa" w:w="120"/>
              <w:bottom w:type="dxa" w:w="100"/>
              <w:right w:type="dxa" w:w="120"/>
            </w:tcMar>
            <w:vAlign w:val="center"/>
          </w:tcPr>
          <w:p>
            <w:r>
              <w:rPr>
                <w:b/>
                <w:bCs/>
                <w:color w:val="FFFFFF"/>
                <w:sz w:val="19"/>
                <w:szCs w:val="19"/>
              </w:rPr>
              <w:t xml:space="preserve">Requirement</w:t>
            </w:r>
          </w:p>
        </w:tc>
        <w:tc>
          <w:tcPr>
            <w:tcW w:type="dxa" w:w="3100"/>
            <w:shd w:fill="1F2937" w:val="clear"/>
            <w:tcMar>
              <w:top w:type="dxa" w:w="100"/>
              <w:left w:type="dxa" w:w="120"/>
              <w:bottom w:type="dxa" w:w="100"/>
              <w:right w:type="dxa" w:w="120"/>
            </w:tcMar>
            <w:vAlign w:val="center"/>
          </w:tcPr>
          <w:p>
            <w:r>
              <w:rPr>
                <w:b/>
                <w:bCs/>
                <w:color w:val="FFFFFF"/>
                <w:sz w:val="19"/>
                <w:szCs w:val="19"/>
              </w:rPr>
              <w:t xml:space="preserve">Target / Metric</w:t>
            </w:r>
          </w:p>
        </w:tc>
      </w:tr>
      <w:tr>
        <w:tc>
          <w:tcPr>
            <w:tcW w:type="dxa" w:w="2000"/>
            <w:shd w:fill="FFFFFF" w:val="clear"/>
            <w:tcMar>
              <w:top w:type="dxa" w:w="100"/>
              <w:left w:type="dxa" w:w="120"/>
              <w:bottom w:type="dxa" w:w="100"/>
              <w:right w:type="dxa" w:w="120"/>
            </w:tcMar>
            <w:vAlign w:val="center"/>
          </w:tcPr>
          <w:p>
            <w:r>
              <w:rPr>
                <w:b w:val="false"/>
                <w:bCs w:val="false"/>
                <w:color w:val="111111"/>
                <w:sz w:val="19"/>
                <w:szCs w:val="19"/>
              </w:rPr>
              <w:t xml:space="preserve">Performance</w:t>
            </w:r>
          </w:p>
        </w:tc>
        <w:tc>
          <w:tcPr>
            <w:tcW w:type="dxa" w:w="4200"/>
            <w:shd w:fill="FFFFFF" w:val="clear"/>
            <w:tcMar>
              <w:top w:type="dxa" w:w="100"/>
              <w:left w:type="dxa" w:w="120"/>
              <w:bottom w:type="dxa" w:w="100"/>
              <w:right w:type="dxa" w:w="120"/>
            </w:tcMar>
            <w:vAlign w:val="center"/>
          </w:tcPr>
          <w:p>
            <w:r>
              <w:rPr>
                <w:b w:val="false"/>
                <w:bCs w:val="false"/>
                <w:color w:val="111111"/>
                <w:sz w:val="19"/>
                <w:szCs w:val="19"/>
              </w:rPr>
              <w:t xml:space="preserve">Dashboard initial load time</w:t>
            </w:r>
          </w:p>
        </w:tc>
        <w:tc>
          <w:tcPr>
            <w:tcW w:type="dxa" w:w="3100"/>
            <w:shd w:fill="FFFFFF" w:val="clear"/>
            <w:tcMar>
              <w:top w:type="dxa" w:w="100"/>
              <w:left w:type="dxa" w:w="120"/>
              <w:bottom w:type="dxa" w:w="100"/>
              <w:right w:type="dxa" w:w="120"/>
            </w:tcMar>
            <w:vAlign w:val="center"/>
          </w:tcPr>
          <w:p>
            <w:r>
              <w:rPr>
                <w:b w:val="false"/>
                <w:bCs w:val="false"/>
                <w:color w:val="111111"/>
                <w:sz w:val="19"/>
                <w:szCs w:val="19"/>
              </w:rPr>
              <w:t xml:space="preserve">&lt; 2s on standard broadband</w:t>
            </w:r>
          </w:p>
        </w:tc>
      </w:tr>
      <w:tr>
        <w:tc>
          <w:tcPr>
            <w:tcW w:type="dxa" w:w="2000"/>
            <w:shd w:fill="FFFFFF" w:val="clear"/>
            <w:tcMar>
              <w:top w:type="dxa" w:w="100"/>
              <w:left w:type="dxa" w:w="120"/>
              <w:bottom w:type="dxa" w:w="100"/>
              <w:right w:type="dxa" w:w="120"/>
            </w:tcMar>
            <w:vAlign w:val="center"/>
          </w:tcPr>
          <w:p>
            <w:r>
              <w:rPr>
                <w:b w:val="false"/>
                <w:bCs w:val="false"/>
                <w:color w:val="111111"/>
                <w:sz w:val="19"/>
                <w:szCs w:val="19"/>
              </w:rPr>
              <w:t xml:space="preserve">Performance</w:t>
            </w:r>
          </w:p>
        </w:tc>
        <w:tc>
          <w:tcPr>
            <w:tcW w:type="dxa" w:w="4200"/>
            <w:shd w:fill="FFFFFF" w:val="clear"/>
            <w:tcMar>
              <w:top w:type="dxa" w:w="100"/>
              <w:left w:type="dxa" w:w="120"/>
              <w:bottom w:type="dxa" w:w="100"/>
              <w:right w:type="dxa" w:w="120"/>
            </w:tcMar>
            <w:vAlign w:val="center"/>
          </w:tcPr>
          <w:p>
            <w:r>
              <w:rPr>
                <w:b w:val="false"/>
                <w:bCs w:val="false"/>
                <w:color w:val="111111"/>
                <w:sz w:val="19"/>
                <w:szCs w:val="19"/>
              </w:rPr>
              <w:t xml:space="preserve">AI Copilot chat response time</w:t>
            </w:r>
          </w:p>
        </w:tc>
        <w:tc>
          <w:tcPr>
            <w:tcW w:type="dxa" w:w="3100"/>
            <w:shd w:fill="FFFFFF" w:val="clear"/>
            <w:tcMar>
              <w:top w:type="dxa" w:w="100"/>
              <w:left w:type="dxa" w:w="120"/>
              <w:bottom w:type="dxa" w:w="100"/>
              <w:right w:type="dxa" w:w="120"/>
            </w:tcMar>
            <w:vAlign w:val="center"/>
          </w:tcPr>
          <w:p>
            <w:r>
              <w:rPr>
                <w:b w:val="false"/>
                <w:bCs w:val="false"/>
                <w:color w:val="111111"/>
                <w:sz w:val="19"/>
                <w:szCs w:val="19"/>
              </w:rPr>
              <w:t xml:space="preserve">&lt; 5s for typical queries; longer queries show a loading state</w:t>
            </w:r>
          </w:p>
        </w:tc>
      </w:tr>
      <w:tr>
        <w:tc>
          <w:tcPr>
            <w:tcW w:type="dxa" w:w="2000"/>
            <w:shd w:fill="FFFFFF" w:val="clear"/>
            <w:tcMar>
              <w:top w:type="dxa" w:w="100"/>
              <w:left w:type="dxa" w:w="120"/>
              <w:bottom w:type="dxa" w:w="100"/>
              <w:right w:type="dxa" w:w="120"/>
            </w:tcMar>
            <w:vAlign w:val="center"/>
          </w:tcPr>
          <w:p>
            <w:r>
              <w:rPr>
                <w:b w:val="false"/>
                <w:bCs w:val="false"/>
                <w:color w:val="111111"/>
                <w:sz w:val="19"/>
                <w:szCs w:val="19"/>
              </w:rPr>
              <w:t xml:space="preserve">Availability</w:t>
            </w:r>
          </w:p>
        </w:tc>
        <w:tc>
          <w:tcPr>
            <w:tcW w:type="dxa" w:w="4200"/>
            <w:shd w:fill="FFFFFF" w:val="clear"/>
            <w:tcMar>
              <w:top w:type="dxa" w:w="100"/>
              <w:left w:type="dxa" w:w="120"/>
              <w:bottom w:type="dxa" w:w="100"/>
              <w:right w:type="dxa" w:w="120"/>
            </w:tcMar>
            <w:vAlign w:val="center"/>
          </w:tcPr>
          <w:p>
            <w:r>
              <w:rPr>
                <w:b w:val="false"/>
                <w:bCs w:val="false"/>
                <w:color w:val="111111"/>
                <w:sz w:val="19"/>
                <w:szCs w:val="19"/>
              </w:rPr>
              <w:t xml:space="preserve">Application uptime</w:t>
            </w:r>
          </w:p>
        </w:tc>
        <w:tc>
          <w:tcPr>
            <w:tcW w:type="dxa" w:w="3100"/>
            <w:shd w:fill="FFFFFF" w:val="clear"/>
            <w:tcMar>
              <w:top w:type="dxa" w:w="100"/>
              <w:left w:type="dxa" w:w="120"/>
              <w:bottom w:type="dxa" w:w="100"/>
              <w:right w:type="dxa" w:w="120"/>
            </w:tcMar>
            <w:vAlign w:val="center"/>
          </w:tcPr>
          <w:p>
            <w:r>
              <w:rPr>
                <w:b w:val="false"/>
                <w:bCs w:val="false"/>
                <w:color w:val="111111"/>
                <w:sz w:val="19"/>
                <w:szCs w:val="19"/>
              </w:rPr>
              <w:t xml:space="preserve">99.5% (single-enterprise deployment, not enterprise-SLA multi-region)</w:t>
            </w:r>
          </w:p>
        </w:tc>
      </w:tr>
      <w:tr>
        <w:tc>
          <w:tcPr>
            <w:tcW w:type="dxa" w:w="2000"/>
            <w:shd w:fill="FFFFFF" w:val="clear"/>
            <w:tcMar>
              <w:top w:type="dxa" w:w="100"/>
              <w:left w:type="dxa" w:w="120"/>
              <w:bottom w:type="dxa" w:w="100"/>
              <w:right w:type="dxa" w:w="120"/>
            </w:tcMar>
            <w:vAlign w:val="center"/>
          </w:tcPr>
          <w:p>
            <w:r>
              <w:rPr>
                <w:b w:val="false"/>
                <w:bCs w:val="false"/>
                <w:color w:val="111111"/>
                <w:sz w:val="19"/>
                <w:szCs w:val="19"/>
              </w:rPr>
              <w:t xml:space="preserve">Security</w:t>
            </w:r>
          </w:p>
        </w:tc>
        <w:tc>
          <w:tcPr>
            <w:tcW w:type="dxa" w:w="4200"/>
            <w:shd w:fill="FFFFFF" w:val="clear"/>
            <w:tcMar>
              <w:top w:type="dxa" w:w="100"/>
              <w:left w:type="dxa" w:w="120"/>
              <w:bottom w:type="dxa" w:w="100"/>
              <w:right w:type="dxa" w:w="120"/>
            </w:tcMar>
            <w:vAlign w:val="center"/>
          </w:tcPr>
          <w:p>
            <w:r>
              <w:rPr>
                <w:b w:val="false"/>
                <w:bCs w:val="false"/>
                <w:color w:val="111111"/>
                <w:sz w:val="19"/>
                <w:szCs w:val="19"/>
              </w:rPr>
              <w:t xml:space="preserve">Data in transit / at rest</w:t>
            </w:r>
          </w:p>
        </w:tc>
        <w:tc>
          <w:tcPr>
            <w:tcW w:type="dxa" w:w="3100"/>
            <w:shd w:fill="FFFFFF" w:val="clear"/>
            <w:tcMar>
              <w:top w:type="dxa" w:w="100"/>
              <w:left w:type="dxa" w:w="120"/>
              <w:bottom w:type="dxa" w:w="100"/>
              <w:right w:type="dxa" w:w="120"/>
            </w:tcMar>
            <w:vAlign w:val="center"/>
          </w:tcPr>
          <w:p>
            <w:r>
              <w:rPr>
                <w:b w:val="false"/>
                <w:bCs w:val="false"/>
                <w:color w:val="111111"/>
                <w:sz w:val="19"/>
                <w:szCs w:val="19"/>
              </w:rPr>
              <w:t xml:space="preserve">TLS 1.2+ in transit; encryption at rest for the database</w:t>
            </w:r>
          </w:p>
        </w:tc>
      </w:tr>
      <w:tr>
        <w:tc>
          <w:tcPr>
            <w:tcW w:type="dxa" w:w="2000"/>
            <w:shd w:fill="FFFFFF" w:val="clear"/>
            <w:tcMar>
              <w:top w:type="dxa" w:w="100"/>
              <w:left w:type="dxa" w:w="120"/>
              <w:bottom w:type="dxa" w:w="100"/>
              <w:right w:type="dxa" w:w="120"/>
            </w:tcMar>
            <w:vAlign w:val="center"/>
          </w:tcPr>
          <w:p>
            <w:r>
              <w:rPr>
                <w:b w:val="false"/>
                <w:bCs w:val="false"/>
                <w:color w:val="111111"/>
                <w:sz w:val="19"/>
                <w:szCs w:val="19"/>
              </w:rPr>
              <w:t xml:space="preserve">Security</w:t>
            </w:r>
          </w:p>
        </w:tc>
        <w:tc>
          <w:tcPr>
            <w:tcW w:type="dxa" w:w="4200"/>
            <w:shd w:fill="FFFFFF" w:val="clear"/>
            <w:tcMar>
              <w:top w:type="dxa" w:w="100"/>
              <w:left w:type="dxa" w:w="120"/>
              <w:bottom w:type="dxa" w:w="100"/>
              <w:right w:type="dxa" w:w="120"/>
            </w:tcMar>
            <w:vAlign w:val="center"/>
          </w:tcPr>
          <w:p>
            <w:r>
              <w:rPr>
                <w:b w:val="false"/>
                <w:bCs w:val="false"/>
                <w:color w:val="111111"/>
                <w:sz w:val="19"/>
                <w:szCs w:val="19"/>
              </w:rPr>
              <w:t xml:space="preserve">Role-based authorization</w:t>
            </w:r>
          </w:p>
        </w:tc>
        <w:tc>
          <w:tcPr>
            <w:tcW w:type="dxa" w:w="3100"/>
            <w:shd w:fill="FFFFFF" w:val="clear"/>
            <w:tcMar>
              <w:top w:type="dxa" w:w="100"/>
              <w:left w:type="dxa" w:w="120"/>
              <w:bottom w:type="dxa" w:w="100"/>
              <w:right w:type="dxa" w:w="120"/>
            </w:tcMar>
            <w:vAlign w:val="center"/>
          </w:tcPr>
          <w:p>
            <w:r>
              <w:rPr>
                <w:b w:val="false"/>
                <w:bCs w:val="false"/>
                <w:color w:val="111111"/>
                <w:sz w:val="19"/>
                <w:szCs w:val="19"/>
              </w:rPr>
              <w:t xml:space="preserve">Enforced server-side on every API route, not just UI-hidden</w:t>
            </w:r>
          </w:p>
        </w:tc>
      </w:tr>
      <w:tr>
        <w:tc>
          <w:tcPr>
            <w:tcW w:type="dxa" w:w="2000"/>
            <w:shd w:fill="FFFFFF" w:val="clear"/>
            <w:tcMar>
              <w:top w:type="dxa" w:w="100"/>
              <w:left w:type="dxa" w:w="120"/>
              <w:bottom w:type="dxa" w:w="100"/>
              <w:right w:type="dxa" w:w="120"/>
            </w:tcMar>
            <w:vAlign w:val="center"/>
          </w:tcPr>
          <w:p>
            <w:r>
              <w:rPr>
                <w:b w:val="false"/>
                <w:bCs w:val="false"/>
                <w:color w:val="111111"/>
                <w:sz w:val="19"/>
                <w:szCs w:val="19"/>
              </w:rPr>
              <w:t xml:space="preserve">Auditability</w:t>
            </w:r>
          </w:p>
        </w:tc>
        <w:tc>
          <w:tcPr>
            <w:tcW w:type="dxa" w:w="4200"/>
            <w:shd w:fill="FFFFFF" w:val="clear"/>
            <w:tcMar>
              <w:top w:type="dxa" w:w="100"/>
              <w:left w:type="dxa" w:w="120"/>
              <w:bottom w:type="dxa" w:w="100"/>
              <w:right w:type="dxa" w:w="120"/>
            </w:tcMar>
            <w:vAlign w:val="center"/>
          </w:tcPr>
          <w:p>
            <w:r>
              <w:rPr>
                <w:b w:val="false"/>
                <w:bCs w:val="false"/>
                <w:color w:val="111111"/>
                <w:sz w:val="19"/>
                <w:szCs w:val="19"/>
              </w:rPr>
              <w:t xml:space="preserve">AI action logging</w:t>
            </w:r>
          </w:p>
        </w:tc>
        <w:tc>
          <w:tcPr>
            <w:tcW w:type="dxa" w:w="3100"/>
            <w:shd w:fill="FFFFFF" w:val="clear"/>
            <w:tcMar>
              <w:top w:type="dxa" w:w="100"/>
              <w:left w:type="dxa" w:w="120"/>
              <w:bottom w:type="dxa" w:w="100"/>
              <w:right w:type="dxa" w:w="120"/>
            </w:tcMar>
            <w:vAlign w:val="center"/>
          </w:tcPr>
          <w:p>
            <w:r>
              <w:rPr>
                <w:b w:val="false"/>
                <w:bCs w:val="false"/>
                <w:color w:val="111111"/>
                <w:sz w:val="19"/>
                <w:szCs w:val="19"/>
              </w:rPr>
              <w:t xml:space="preserve">Every AI-initiated write action logged with user, timestamp, and input/output</w:t>
            </w:r>
          </w:p>
        </w:tc>
      </w:tr>
      <w:tr>
        <w:tc>
          <w:tcPr>
            <w:tcW w:type="dxa" w:w="2000"/>
            <w:shd w:fill="FFFFFF" w:val="clear"/>
            <w:tcMar>
              <w:top w:type="dxa" w:w="100"/>
              <w:left w:type="dxa" w:w="120"/>
              <w:bottom w:type="dxa" w:w="100"/>
              <w:right w:type="dxa" w:w="120"/>
            </w:tcMar>
            <w:vAlign w:val="center"/>
          </w:tcPr>
          <w:p>
            <w:r>
              <w:rPr>
                <w:b w:val="false"/>
                <w:bCs w:val="false"/>
                <w:color w:val="111111"/>
                <w:sz w:val="19"/>
                <w:szCs w:val="19"/>
              </w:rPr>
              <w:t xml:space="preserve">Scalability</w:t>
            </w:r>
          </w:p>
        </w:tc>
        <w:tc>
          <w:tcPr>
            <w:tcW w:type="dxa" w:w="4200"/>
            <w:shd w:fill="FFFFFF" w:val="clear"/>
            <w:tcMar>
              <w:top w:type="dxa" w:w="100"/>
              <w:left w:type="dxa" w:w="120"/>
              <w:bottom w:type="dxa" w:w="100"/>
              <w:right w:type="dxa" w:w="120"/>
            </w:tcMar>
            <w:vAlign w:val="center"/>
          </w:tcPr>
          <w:p>
            <w:r>
              <w:rPr>
                <w:b w:val="false"/>
                <w:bCs w:val="false"/>
                <w:color w:val="111111"/>
                <w:sz w:val="19"/>
                <w:szCs w:val="19"/>
              </w:rPr>
              <w:t xml:space="preserve">User base</w:t>
            </w:r>
          </w:p>
        </w:tc>
        <w:tc>
          <w:tcPr>
            <w:tcW w:type="dxa" w:w="3100"/>
            <w:shd w:fill="FFFFFF" w:val="clear"/>
            <w:tcMar>
              <w:top w:type="dxa" w:w="100"/>
              <w:left w:type="dxa" w:w="120"/>
              <w:bottom w:type="dxa" w:w="100"/>
              <w:right w:type="dxa" w:w="120"/>
            </w:tcMar>
            <w:vAlign w:val="center"/>
          </w:tcPr>
          <w:p>
            <w:r>
              <w:rPr>
                <w:b w:val="false"/>
                <w:bCs w:val="false"/>
                <w:color w:val="111111"/>
                <w:sz w:val="19"/>
                <w:szCs w:val="19"/>
              </w:rPr>
              <w:t xml:space="preserve">Stated target is 1M+ users — see §8.1 for what this means for a 1–2 day demo build</w:t>
            </w:r>
          </w:p>
        </w:tc>
      </w:tr>
      <w:tr>
        <w:tc>
          <w:tcPr>
            <w:tcW w:type="dxa" w:w="2000"/>
            <w:shd w:fill="FFFFFF" w:val="clear"/>
            <w:tcMar>
              <w:top w:type="dxa" w:w="100"/>
              <w:left w:type="dxa" w:w="120"/>
              <w:bottom w:type="dxa" w:w="100"/>
              <w:right w:type="dxa" w:w="120"/>
            </w:tcMar>
            <w:vAlign w:val="center"/>
          </w:tcPr>
          <w:p>
            <w:r>
              <w:rPr>
                <w:b w:val="false"/>
                <w:bCs w:val="false"/>
                <w:color w:val="111111"/>
                <w:sz w:val="19"/>
                <w:szCs w:val="19"/>
              </w:rPr>
              <w:t xml:space="preserve">Observability</w:t>
            </w:r>
          </w:p>
        </w:tc>
        <w:tc>
          <w:tcPr>
            <w:tcW w:type="dxa" w:w="4200"/>
            <w:shd w:fill="FFFFFF" w:val="clear"/>
            <w:tcMar>
              <w:top w:type="dxa" w:w="100"/>
              <w:left w:type="dxa" w:w="120"/>
              <w:bottom w:type="dxa" w:w="100"/>
              <w:right w:type="dxa" w:w="120"/>
            </w:tcMar>
            <w:vAlign w:val="center"/>
          </w:tcPr>
          <w:p>
            <w:r>
              <w:rPr>
                <w:b w:val="false"/>
                <w:bCs w:val="false"/>
                <w:color w:val="111111"/>
                <w:sz w:val="19"/>
                <w:szCs w:val="19"/>
              </w:rPr>
              <w:t xml:space="preserve">Logging &amp; monitoring</w:t>
            </w:r>
          </w:p>
        </w:tc>
        <w:tc>
          <w:tcPr>
            <w:tcW w:type="dxa" w:w="3100"/>
            <w:shd w:fill="FFFFFF" w:val="clear"/>
            <w:tcMar>
              <w:top w:type="dxa" w:w="100"/>
              <w:left w:type="dxa" w:w="120"/>
              <w:bottom w:type="dxa" w:w="100"/>
              <w:right w:type="dxa" w:w="120"/>
            </w:tcMar>
            <w:vAlign w:val="center"/>
          </w:tcPr>
          <w:p>
            <w:r>
              <w:rPr>
                <w:b w:val="false"/>
                <w:bCs w:val="false"/>
                <w:color w:val="111111"/>
                <w:sz w:val="19"/>
                <w:szCs w:val="19"/>
              </w:rPr>
              <w:t xml:space="preserve">Centralized application logs and error monitoring (e.g., Sentry or equivalent)</w:t>
            </w:r>
          </w:p>
        </w:tc>
      </w:tr>
    </w:tbl>
    <w:p>
      <w:pPr>
        <w:pStyle w:val="Heading2"/>
        <w:spacing w:after="120" w:before="260"/>
      </w:pPr>
      <w:r>
        <w:t xml:space="preserve">8.1 Scalability Target vs. Demo Timeline</w:t>
      </w:r>
    </w:p>
    <w:p>
      <w:pPr>
        <w:spacing w:after="160"/>
      </w:pPr>
      <w:r>
        <w:t xml:space="preserve">The stated target is 1M+ users, built in from the start so the system never needs to be re-architected. Worth flagging directly: a 1M+ user system and a 1–2 day CSV-based demo are not really compatible builds — real scale at that level needs connection pooling, caching, horizontal scaling, rate limiting, and load testing, which is its own multi-week workstream, not something that rides along for free in a 2-day prototype.</w:t>
      </w:r>
    </w:p>
    <w:p>
      <w:pPr>
        <w:pBdr>
          <w:left w:val="single" w:color="2563EB" w:sz="12" w:space="8"/>
        </w:pBdr>
        <w:spacing w:after="160"/>
        <w:ind w:left="100"/>
      </w:pPr>
      <w:r>
        <w:rPr>
          <w:b/>
          <w:bCs/>
          <w:i/>
          <w:iCs/>
          <w:color w:val="6B7280"/>
          <w:sz w:val="20"/>
          <w:szCs w:val="20"/>
        </w:rPr>
        <w:t xml:space="preserve">Assumption / open item: </w:t>
      </w:r>
      <w:r>
        <w:rPr>
          <w:i/>
          <w:iCs/>
          <w:color w:val="6B7280"/>
          <w:sz w:val="20"/>
          <w:szCs w:val="20"/>
        </w:rPr>
        <w:t xml:space="preserve">Open question: does 1M+ users mean internal staff at this one retail company (unusual — typically dozens to low-hundreds of such roles) or is customer-facing/multi-company use anticipated later? This changes whether §10's single-tenant data model still holds.</w:t>
      </w:r>
    </w:p>
    <w:p>
      <w:pPr>
        <w:spacing w:after="160"/>
      </w:pPr>
      <w:r>
        <w:t xml:space="preserve">Recommended middle ground for the demo: choose components that scale up later without a rewrite (Postgres/Supabase, stateless Next.js API routes, a hosting platform like Vercel that scales horizontally), but don't build the actual scale infrastructure (caching layer, read replicas, rate limiting, load balancing) into the 2-day demo. Those get added as a distinct Phase 2/3 workstream once real usage numbers are known — which also avoids over-building for a number that may need to be confirmed.</w:t>
      </w:r>
    </w:p>
    <w:p>
      <w:pPr>
        <w:pStyle w:val="Heading1"/>
        <w:spacing w:after="200" w:before="400"/>
      </w:pPr>
      <w:r>
        <w:t xml:space="preserve">9. Roles &amp; Permissions (RBAC Matrix)</w:t>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2100"/>
        <w:gridCol w:w="1560"/>
        <w:gridCol w:w="1560"/>
        <w:gridCol w:w="1560"/>
        <w:gridCol w:w="1560"/>
        <w:gridCol w:w="1560"/>
      </w:tblGrid>
      <w:tr>
        <w:trPr>
          <w:tblHeader/>
        </w:trPr>
        <w:tc>
          <w:tcPr>
            <w:tcW w:type="dxa" w:w="2100"/>
            <w:shd w:fill="1F2937" w:val="clear"/>
            <w:tcMar>
              <w:top w:type="dxa" w:w="100"/>
              <w:left w:type="dxa" w:w="120"/>
              <w:bottom w:type="dxa" w:w="100"/>
              <w:right w:type="dxa" w:w="120"/>
            </w:tcMar>
            <w:vAlign w:val="center"/>
          </w:tcPr>
          <w:p>
            <w:r>
              <w:rPr>
                <w:b/>
                <w:bCs/>
                <w:color w:val="FFFFFF"/>
                <w:sz w:val="19"/>
                <w:szCs w:val="19"/>
              </w:rPr>
              <w:t xml:space="preserve">Module</w:t>
            </w:r>
          </w:p>
        </w:tc>
        <w:tc>
          <w:tcPr>
            <w:tcW w:type="dxa" w:w="1560"/>
            <w:shd w:fill="1F2937" w:val="clear"/>
            <w:tcMar>
              <w:top w:type="dxa" w:w="100"/>
              <w:left w:type="dxa" w:w="120"/>
              <w:bottom w:type="dxa" w:w="100"/>
              <w:right w:type="dxa" w:w="120"/>
            </w:tcMar>
            <w:vAlign w:val="center"/>
          </w:tcPr>
          <w:p>
            <w:r>
              <w:rPr>
                <w:b/>
                <w:bCs/>
                <w:color w:val="FFFFFF"/>
                <w:sz w:val="19"/>
                <w:szCs w:val="19"/>
              </w:rPr>
              <w:t xml:space="preserve">Supply Chain Mgr</w:t>
            </w:r>
          </w:p>
        </w:tc>
        <w:tc>
          <w:tcPr>
            <w:tcW w:type="dxa" w:w="1560"/>
            <w:shd w:fill="1F2937" w:val="clear"/>
            <w:tcMar>
              <w:top w:type="dxa" w:w="100"/>
              <w:left w:type="dxa" w:w="120"/>
              <w:bottom w:type="dxa" w:w="100"/>
              <w:right w:type="dxa" w:w="120"/>
            </w:tcMar>
            <w:vAlign w:val="center"/>
          </w:tcPr>
          <w:p>
            <w:r>
              <w:rPr>
                <w:b/>
                <w:bCs/>
                <w:color w:val="FFFFFF"/>
                <w:sz w:val="19"/>
                <w:szCs w:val="19"/>
              </w:rPr>
              <w:t xml:space="preserve">Warehouse Mgr</w:t>
            </w:r>
          </w:p>
        </w:tc>
        <w:tc>
          <w:tcPr>
            <w:tcW w:type="dxa" w:w="1560"/>
            <w:shd w:fill="1F2937" w:val="clear"/>
            <w:tcMar>
              <w:top w:type="dxa" w:w="100"/>
              <w:left w:type="dxa" w:w="120"/>
              <w:bottom w:type="dxa" w:w="100"/>
              <w:right w:type="dxa" w:w="120"/>
            </w:tcMar>
            <w:vAlign w:val="center"/>
          </w:tcPr>
          <w:p>
            <w:r>
              <w:rPr>
                <w:b/>
                <w:bCs/>
                <w:color w:val="FFFFFF"/>
                <w:sz w:val="19"/>
                <w:szCs w:val="19"/>
              </w:rPr>
              <w:t xml:space="preserve">Procurement Mgr</w:t>
            </w:r>
          </w:p>
        </w:tc>
        <w:tc>
          <w:tcPr>
            <w:tcW w:type="dxa" w:w="1560"/>
            <w:shd w:fill="1F2937" w:val="clear"/>
            <w:tcMar>
              <w:top w:type="dxa" w:w="100"/>
              <w:left w:type="dxa" w:w="120"/>
              <w:bottom w:type="dxa" w:w="100"/>
              <w:right w:type="dxa" w:w="120"/>
            </w:tcMar>
            <w:vAlign w:val="center"/>
          </w:tcPr>
          <w:p>
            <w:r>
              <w:rPr>
                <w:b/>
                <w:bCs/>
                <w:color w:val="FFFFFF"/>
                <w:sz w:val="19"/>
                <w:szCs w:val="19"/>
              </w:rPr>
              <w:t xml:space="preserve">Ops Director</w:t>
            </w:r>
          </w:p>
        </w:tc>
        <w:tc>
          <w:tcPr>
            <w:tcW w:type="dxa" w:w="1560"/>
            <w:shd w:fill="1F2937" w:val="clear"/>
            <w:tcMar>
              <w:top w:type="dxa" w:w="100"/>
              <w:left w:type="dxa" w:w="120"/>
              <w:bottom w:type="dxa" w:w="100"/>
              <w:right w:type="dxa" w:w="120"/>
            </w:tcMar>
            <w:vAlign w:val="center"/>
          </w:tcPr>
          <w:p>
            <w:r>
              <w:rPr>
                <w:b/>
                <w:bCs/>
                <w:color w:val="FFFFFF"/>
                <w:sz w:val="19"/>
                <w:szCs w:val="19"/>
              </w:rPr>
              <w:t xml:space="preserve">Executive</w:t>
            </w:r>
          </w:p>
        </w:tc>
      </w:tr>
      <w:tr>
        <w:tc>
          <w:tcPr>
            <w:tcW w:type="dxa" w:w="2100"/>
            <w:shd w:fill="FFFFFF" w:val="clear"/>
            <w:tcMar>
              <w:top w:type="dxa" w:w="100"/>
              <w:left w:type="dxa" w:w="120"/>
              <w:bottom w:type="dxa" w:w="100"/>
              <w:right w:type="dxa" w:w="120"/>
            </w:tcMar>
            <w:vAlign w:val="center"/>
          </w:tcPr>
          <w:p>
            <w:r>
              <w:rPr>
                <w:b w:val="false"/>
                <w:bCs w:val="false"/>
                <w:color w:val="111111"/>
                <w:sz w:val="19"/>
                <w:szCs w:val="19"/>
              </w:rPr>
              <w:t xml:space="preserve">Inventory</w:t>
            </w:r>
          </w:p>
        </w:tc>
        <w:tc>
          <w:tcPr>
            <w:tcW w:type="dxa" w:w="1560"/>
            <w:shd w:fill="FFFFFF" w:val="clear"/>
            <w:tcMar>
              <w:top w:type="dxa" w:w="100"/>
              <w:left w:type="dxa" w:w="120"/>
              <w:bottom w:type="dxa" w:w="100"/>
              <w:right w:type="dxa" w:w="120"/>
            </w:tcMar>
            <w:vAlign w:val="center"/>
          </w:tcPr>
          <w:p>
            <w:r>
              <w:rPr>
                <w:b w:val="false"/>
                <w:bCs w:val="false"/>
                <w:color w:val="111111"/>
                <w:sz w:val="19"/>
                <w:szCs w:val="19"/>
              </w:rPr>
              <w:t xml:space="preserve">Read/Write</w:t>
            </w:r>
          </w:p>
        </w:tc>
        <w:tc>
          <w:tcPr>
            <w:tcW w:type="dxa" w:w="1560"/>
            <w:shd w:fill="FFFFFF" w:val="clear"/>
            <w:tcMar>
              <w:top w:type="dxa" w:w="100"/>
              <w:left w:type="dxa" w:w="120"/>
              <w:bottom w:type="dxa" w:w="100"/>
              <w:right w:type="dxa" w:w="120"/>
            </w:tcMar>
            <w:vAlign w:val="center"/>
          </w:tcPr>
          <w:p>
            <w:r>
              <w:rPr>
                <w:b w:val="false"/>
                <w:bCs w:val="false"/>
                <w:color w:val="111111"/>
                <w:sz w:val="19"/>
                <w:szCs w:val="19"/>
              </w:rPr>
              <w:t xml:space="preserve">Read/Write</w:t>
            </w:r>
          </w:p>
        </w:tc>
        <w:tc>
          <w:tcPr>
            <w:tcW w:type="dxa" w:w="1560"/>
            <w:shd w:fill="FFFFFF" w:val="clear"/>
            <w:tcMar>
              <w:top w:type="dxa" w:w="100"/>
              <w:left w:type="dxa" w:w="120"/>
              <w:bottom w:type="dxa" w:w="100"/>
              <w:right w:type="dxa" w:w="120"/>
            </w:tcMar>
            <w:vAlign w:val="center"/>
          </w:tcPr>
          <w:p>
            <w:r>
              <w:rPr>
                <w:b w:val="false"/>
                <w:bCs w:val="false"/>
                <w:color w:val="111111"/>
                <w:sz w:val="19"/>
                <w:szCs w:val="19"/>
              </w:rPr>
              <w:t xml:space="preserve">Read</w:t>
            </w:r>
          </w:p>
        </w:tc>
        <w:tc>
          <w:tcPr>
            <w:tcW w:type="dxa" w:w="1560"/>
            <w:shd w:fill="FFFFFF" w:val="clear"/>
            <w:tcMar>
              <w:top w:type="dxa" w:w="100"/>
              <w:left w:type="dxa" w:w="120"/>
              <w:bottom w:type="dxa" w:w="100"/>
              <w:right w:type="dxa" w:w="120"/>
            </w:tcMar>
            <w:vAlign w:val="center"/>
          </w:tcPr>
          <w:p>
            <w:r>
              <w:rPr>
                <w:b w:val="false"/>
                <w:bCs w:val="false"/>
                <w:color w:val="111111"/>
                <w:sz w:val="19"/>
                <w:szCs w:val="19"/>
              </w:rPr>
              <w:t xml:space="preserve">Read</w:t>
            </w:r>
          </w:p>
        </w:tc>
        <w:tc>
          <w:tcPr>
            <w:tcW w:type="dxa" w:w="1560"/>
            <w:shd w:fill="FFFFFF" w:val="clear"/>
            <w:tcMar>
              <w:top w:type="dxa" w:w="100"/>
              <w:left w:type="dxa" w:w="120"/>
              <w:bottom w:type="dxa" w:w="100"/>
              <w:right w:type="dxa" w:w="120"/>
            </w:tcMar>
            <w:vAlign w:val="center"/>
          </w:tcPr>
          <w:p>
            <w:r>
              <w:rPr>
                <w:b w:val="false"/>
                <w:bCs w:val="false"/>
                <w:color w:val="111111"/>
                <w:sz w:val="19"/>
                <w:szCs w:val="19"/>
              </w:rPr>
              <w:t xml:space="preserve">Read</w:t>
            </w:r>
          </w:p>
        </w:tc>
      </w:tr>
      <w:tr>
        <w:tc>
          <w:tcPr>
            <w:tcW w:type="dxa" w:w="2100"/>
            <w:shd w:fill="FFFFFF" w:val="clear"/>
            <w:tcMar>
              <w:top w:type="dxa" w:w="100"/>
              <w:left w:type="dxa" w:w="120"/>
              <w:bottom w:type="dxa" w:w="100"/>
              <w:right w:type="dxa" w:w="120"/>
            </w:tcMar>
            <w:vAlign w:val="center"/>
          </w:tcPr>
          <w:p>
            <w:r>
              <w:rPr>
                <w:b w:val="false"/>
                <w:bCs w:val="false"/>
                <w:color w:val="111111"/>
                <w:sz w:val="19"/>
                <w:szCs w:val="19"/>
              </w:rPr>
              <w:t xml:space="preserve">Warehouse</w:t>
            </w:r>
          </w:p>
        </w:tc>
        <w:tc>
          <w:tcPr>
            <w:tcW w:type="dxa" w:w="1560"/>
            <w:shd w:fill="FFFFFF" w:val="clear"/>
            <w:tcMar>
              <w:top w:type="dxa" w:w="100"/>
              <w:left w:type="dxa" w:w="120"/>
              <w:bottom w:type="dxa" w:w="100"/>
              <w:right w:type="dxa" w:w="120"/>
            </w:tcMar>
            <w:vAlign w:val="center"/>
          </w:tcPr>
          <w:p>
            <w:r>
              <w:rPr>
                <w:b w:val="false"/>
                <w:bCs w:val="false"/>
                <w:color w:val="111111"/>
                <w:sz w:val="19"/>
                <w:szCs w:val="19"/>
              </w:rPr>
              <w:t xml:space="preserve">Read</w:t>
            </w:r>
          </w:p>
        </w:tc>
        <w:tc>
          <w:tcPr>
            <w:tcW w:type="dxa" w:w="1560"/>
            <w:shd w:fill="FFFFFF" w:val="clear"/>
            <w:tcMar>
              <w:top w:type="dxa" w:w="100"/>
              <w:left w:type="dxa" w:w="120"/>
              <w:bottom w:type="dxa" w:w="100"/>
              <w:right w:type="dxa" w:w="120"/>
            </w:tcMar>
            <w:vAlign w:val="center"/>
          </w:tcPr>
          <w:p>
            <w:r>
              <w:rPr>
                <w:b w:val="false"/>
                <w:bCs w:val="false"/>
                <w:color w:val="111111"/>
                <w:sz w:val="19"/>
                <w:szCs w:val="19"/>
              </w:rPr>
              <w:t xml:space="preserve">Read/Write</w:t>
            </w:r>
          </w:p>
        </w:tc>
        <w:tc>
          <w:tcPr>
            <w:tcW w:type="dxa" w:w="1560"/>
            <w:shd w:fill="FFFFFF" w:val="clear"/>
            <w:tcMar>
              <w:top w:type="dxa" w:w="100"/>
              <w:left w:type="dxa" w:w="120"/>
              <w:bottom w:type="dxa" w:w="100"/>
              <w:right w:type="dxa" w:w="120"/>
            </w:tcMar>
            <w:vAlign w:val="center"/>
          </w:tcPr>
          <w:p>
            <w:r>
              <w:rPr>
                <w:b w:val="false"/>
                <w:bCs w:val="false"/>
                <w:color w:val="111111"/>
                <w:sz w:val="19"/>
                <w:szCs w:val="19"/>
              </w:rPr>
              <w:t xml:space="preserve">Read</w:t>
            </w:r>
          </w:p>
        </w:tc>
        <w:tc>
          <w:tcPr>
            <w:tcW w:type="dxa" w:w="1560"/>
            <w:shd w:fill="FFFFFF" w:val="clear"/>
            <w:tcMar>
              <w:top w:type="dxa" w:w="100"/>
              <w:left w:type="dxa" w:w="120"/>
              <w:bottom w:type="dxa" w:w="100"/>
              <w:right w:type="dxa" w:w="120"/>
            </w:tcMar>
            <w:vAlign w:val="center"/>
          </w:tcPr>
          <w:p>
            <w:r>
              <w:rPr>
                <w:b w:val="false"/>
                <w:bCs w:val="false"/>
                <w:color w:val="111111"/>
                <w:sz w:val="19"/>
                <w:szCs w:val="19"/>
              </w:rPr>
              <w:t xml:space="preserve">Read</w:t>
            </w:r>
          </w:p>
        </w:tc>
        <w:tc>
          <w:tcPr>
            <w:tcW w:type="dxa" w:w="1560"/>
            <w:shd w:fill="FFFFFF" w:val="clear"/>
            <w:tcMar>
              <w:top w:type="dxa" w:w="100"/>
              <w:left w:type="dxa" w:w="120"/>
              <w:bottom w:type="dxa" w:w="100"/>
              <w:right w:type="dxa" w:w="120"/>
            </w:tcMar>
            <w:vAlign w:val="center"/>
          </w:tcPr>
          <w:p>
            <w:r>
              <w:rPr>
                <w:b w:val="false"/>
                <w:bCs w:val="false"/>
                <w:color w:val="111111"/>
                <w:sz w:val="19"/>
                <w:szCs w:val="19"/>
              </w:rPr>
              <w:t xml:space="preserve">Read</w:t>
            </w:r>
          </w:p>
        </w:tc>
      </w:tr>
      <w:tr>
        <w:tc>
          <w:tcPr>
            <w:tcW w:type="dxa" w:w="2100"/>
            <w:shd w:fill="FFFFFF" w:val="clear"/>
            <w:tcMar>
              <w:top w:type="dxa" w:w="100"/>
              <w:left w:type="dxa" w:w="120"/>
              <w:bottom w:type="dxa" w:w="100"/>
              <w:right w:type="dxa" w:w="120"/>
            </w:tcMar>
            <w:vAlign w:val="center"/>
          </w:tcPr>
          <w:p>
            <w:r>
              <w:rPr>
                <w:b w:val="false"/>
                <w:bCs w:val="false"/>
                <w:color w:val="111111"/>
                <w:sz w:val="19"/>
                <w:szCs w:val="19"/>
              </w:rPr>
              <w:t xml:space="preserve">Shipments</w:t>
            </w:r>
          </w:p>
        </w:tc>
        <w:tc>
          <w:tcPr>
            <w:tcW w:type="dxa" w:w="1560"/>
            <w:shd w:fill="FFFFFF" w:val="clear"/>
            <w:tcMar>
              <w:top w:type="dxa" w:w="100"/>
              <w:left w:type="dxa" w:w="120"/>
              <w:bottom w:type="dxa" w:w="100"/>
              <w:right w:type="dxa" w:w="120"/>
            </w:tcMar>
            <w:vAlign w:val="center"/>
          </w:tcPr>
          <w:p>
            <w:r>
              <w:rPr>
                <w:b w:val="false"/>
                <w:bCs w:val="false"/>
                <w:color w:val="111111"/>
                <w:sz w:val="19"/>
                <w:szCs w:val="19"/>
              </w:rPr>
              <w:t xml:space="preserve">Read/Write</w:t>
            </w:r>
          </w:p>
        </w:tc>
        <w:tc>
          <w:tcPr>
            <w:tcW w:type="dxa" w:w="1560"/>
            <w:shd w:fill="FFFFFF" w:val="clear"/>
            <w:tcMar>
              <w:top w:type="dxa" w:w="100"/>
              <w:left w:type="dxa" w:w="120"/>
              <w:bottom w:type="dxa" w:w="100"/>
              <w:right w:type="dxa" w:w="120"/>
            </w:tcMar>
            <w:vAlign w:val="center"/>
          </w:tcPr>
          <w:p>
            <w:r>
              <w:rPr>
                <w:b w:val="false"/>
                <w:bCs w:val="false"/>
                <w:color w:val="111111"/>
                <w:sz w:val="19"/>
                <w:szCs w:val="19"/>
              </w:rPr>
              <w:t xml:space="preserve">Read/Write</w:t>
            </w:r>
          </w:p>
        </w:tc>
        <w:tc>
          <w:tcPr>
            <w:tcW w:type="dxa" w:w="1560"/>
            <w:shd w:fill="FFFFFF" w:val="clear"/>
            <w:tcMar>
              <w:top w:type="dxa" w:w="100"/>
              <w:left w:type="dxa" w:w="120"/>
              <w:bottom w:type="dxa" w:w="100"/>
              <w:right w:type="dxa" w:w="120"/>
            </w:tcMar>
            <w:vAlign w:val="center"/>
          </w:tcPr>
          <w:p>
            <w:r>
              <w:rPr>
                <w:b w:val="false"/>
                <w:bCs w:val="false"/>
                <w:color w:val="111111"/>
                <w:sz w:val="19"/>
                <w:szCs w:val="19"/>
              </w:rPr>
              <w:t xml:space="preserve">Read</w:t>
            </w:r>
          </w:p>
        </w:tc>
        <w:tc>
          <w:tcPr>
            <w:tcW w:type="dxa" w:w="1560"/>
            <w:shd w:fill="FFFFFF" w:val="clear"/>
            <w:tcMar>
              <w:top w:type="dxa" w:w="100"/>
              <w:left w:type="dxa" w:w="120"/>
              <w:bottom w:type="dxa" w:w="100"/>
              <w:right w:type="dxa" w:w="120"/>
            </w:tcMar>
            <w:vAlign w:val="center"/>
          </w:tcPr>
          <w:p>
            <w:r>
              <w:rPr>
                <w:b w:val="false"/>
                <w:bCs w:val="false"/>
                <w:color w:val="111111"/>
                <w:sz w:val="19"/>
                <w:szCs w:val="19"/>
              </w:rPr>
              <w:t xml:space="preserve">Read</w:t>
            </w:r>
          </w:p>
        </w:tc>
        <w:tc>
          <w:tcPr>
            <w:tcW w:type="dxa" w:w="1560"/>
            <w:shd w:fill="FFFFFF" w:val="clear"/>
            <w:tcMar>
              <w:top w:type="dxa" w:w="100"/>
              <w:left w:type="dxa" w:w="120"/>
              <w:bottom w:type="dxa" w:w="100"/>
              <w:right w:type="dxa" w:w="120"/>
            </w:tcMar>
            <w:vAlign w:val="center"/>
          </w:tcPr>
          <w:p>
            <w:r>
              <w:rPr>
                <w:b w:val="false"/>
                <w:bCs w:val="false"/>
                <w:color w:val="111111"/>
                <w:sz w:val="19"/>
                <w:szCs w:val="19"/>
              </w:rPr>
              <w:t xml:space="preserve">Read</w:t>
            </w:r>
          </w:p>
        </w:tc>
      </w:tr>
      <w:tr>
        <w:tc>
          <w:tcPr>
            <w:tcW w:type="dxa" w:w="2100"/>
            <w:shd w:fill="FFFFFF" w:val="clear"/>
            <w:tcMar>
              <w:top w:type="dxa" w:w="100"/>
              <w:left w:type="dxa" w:w="120"/>
              <w:bottom w:type="dxa" w:w="100"/>
              <w:right w:type="dxa" w:w="120"/>
            </w:tcMar>
            <w:vAlign w:val="center"/>
          </w:tcPr>
          <w:p>
            <w:r>
              <w:rPr>
                <w:b w:val="false"/>
                <w:bCs w:val="false"/>
                <w:color w:val="111111"/>
                <w:sz w:val="19"/>
                <w:szCs w:val="19"/>
              </w:rPr>
              <w:t xml:space="preserve">Suppliers</w:t>
            </w:r>
          </w:p>
        </w:tc>
        <w:tc>
          <w:tcPr>
            <w:tcW w:type="dxa" w:w="1560"/>
            <w:shd w:fill="FFFFFF" w:val="clear"/>
            <w:tcMar>
              <w:top w:type="dxa" w:w="100"/>
              <w:left w:type="dxa" w:w="120"/>
              <w:bottom w:type="dxa" w:w="100"/>
              <w:right w:type="dxa" w:w="120"/>
            </w:tcMar>
            <w:vAlign w:val="center"/>
          </w:tcPr>
          <w:p>
            <w:r>
              <w:rPr>
                <w:b w:val="false"/>
                <w:bCs w:val="false"/>
                <w:color w:val="111111"/>
                <w:sz w:val="19"/>
                <w:szCs w:val="19"/>
              </w:rPr>
              <w:t xml:space="preserve">Read</w:t>
            </w:r>
          </w:p>
        </w:tc>
        <w:tc>
          <w:tcPr>
            <w:tcW w:type="dxa" w:w="1560"/>
            <w:shd w:fill="FFFFFF" w:val="clear"/>
            <w:tcMar>
              <w:top w:type="dxa" w:w="100"/>
              <w:left w:type="dxa" w:w="120"/>
              <w:bottom w:type="dxa" w:w="100"/>
              <w:right w:type="dxa" w:w="120"/>
            </w:tcMar>
            <w:vAlign w:val="center"/>
          </w:tcPr>
          <w:p>
            <w:r>
              <w:rPr>
                <w:b w:val="false"/>
                <w:bCs w:val="false"/>
                <w:color w:val="111111"/>
                <w:sz w:val="19"/>
                <w:szCs w:val="19"/>
              </w:rPr>
              <w:t xml:space="preserve">Read</w:t>
            </w:r>
          </w:p>
        </w:tc>
        <w:tc>
          <w:tcPr>
            <w:tcW w:type="dxa" w:w="1560"/>
            <w:shd w:fill="FFFFFF" w:val="clear"/>
            <w:tcMar>
              <w:top w:type="dxa" w:w="100"/>
              <w:left w:type="dxa" w:w="120"/>
              <w:bottom w:type="dxa" w:w="100"/>
              <w:right w:type="dxa" w:w="120"/>
            </w:tcMar>
            <w:vAlign w:val="center"/>
          </w:tcPr>
          <w:p>
            <w:r>
              <w:rPr>
                <w:b w:val="false"/>
                <w:bCs w:val="false"/>
                <w:color w:val="111111"/>
                <w:sz w:val="19"/>
                <w:szCs w:val="19"/>
              </w:rPr>
              <w:t xml:space="preserve">Read/Write</w:t>
            </w:r>
          </w:p>
        </w:tc>
        <w:tc>
          <w:tcPr>
            <w:tcW w:type="dxa" w:w="1560"/>
            <w:shd w:fill="FFFFFF" w:val="clear"/>
            <w:tcMar>
              <w:top w:type="dxa" w:w="100"/>
              <w:left w:type="dxa" w:w="120"/>
              <w:bottom w:type="dxa" w:w="100"/>
              <w:right w:type="dxa" w:w="120"/>
            </w:tcMar>
            <w:vAlign w:val="center"/>
          </w:tcPr>
          <w:p>
            <w:r>
              <w:rPr>
                <w:b w:val="false"/>
                <w:bCs w:val="false"/>
                <w:color w:val="111111"/>
                <w:sz w:val="19"/>
                <w:szCs w:val="19"/>
              </w:rPr>
              <w:t xml:space="preserve">Read</w:t>
            </w:r>
          </w:p>
        </w:tc>
        <w:tc>
          <w:tcPr>
            <w:tcW w:type="dxa" w:w="1560"/>
            <w:shd w:fill="FFFFFF" w:val="clear"/>
            <w:tcMar>
              <w:top w:type="dxa" w:w="100"/>
              <w:left w:type="dxa" w:w="120"/>
              <w:bottom w:type="dxa" w:w="100"/>
              <w:right w:type="dxa" w:w="120"/>
            </w:tcMar>
            <w:vAlign w:val="center"/>
          </w:tcPr>
          <w:p>
            <w:r>
              <w:rPr>
                <w:b w:val="false"/>
                <w:bCs w:val="false"/>
                <w:color w:val="111111"/>
                <w:sz w:val="19"/>
                <w:szCs w:val="19"/>
              </w:rPr>
              <w:t xml:space="preserve">Read</w:t>
            </w:r>
          </w:p>
        </w:tc>
      </w:tr>
      <w:tr>
        <w:tc>
          <w:tcPr>
            <w:tcW w:type="dxa" w:w="2100"/>
            <w:shd w:fill="FFFFFF" w:val="clear"/>
            <w:tcMar>
              <w:top w:type="dxa" w:w="100"/>
              <w:left w:type="dxa" w:w="120"/>
              <w:bottom w:type="dxa" w:w="100"/>
              <w:right w:type="dxa" w:w="120"/>
            </w:tcMar>
            <w:vAlign w:val="center"/>
          </w:tcPr>
          <w:p>
            <w:r>
              <w:rPr>
                <w:b w:val="false"/>
                <w:bCs w:val="false"/>
                <w:color w:val="111111"/>
                <w:sz w:val="19"/>
                <w:szCs w:val="19"/>
              </w:rPr>
              <w:t xml:space="preserve">Purchase Orders</w:t>
            </w:r>
          </w:p>
        </w:tc>
        <w:tc>
          <w:tcPr>
            <w:tcW w:type="dxa" w:w="1560"/>
            <w:shd w:fill="FFFFFF" w:val="clear"/>
            <w:tcMar>
              <w:top w:type="dxa" w:w="100"/>
              <w:left w:type="dxa" w:w="120"/>
              <w:bottom w:type="dxa" w:w="100"/>
              <w:right w:type="dxa" w:w="120"/>
            </w:tcMar>
            <w:vAlign w:val="center"/>
          </w:tcPr>
          <w:p>
            <w:r>
              <w:rPr>
                <w:b w:val="false"/>
                <w:bCs w:val="false"/>
                <w:color w:val="111111"/>
                <w:sz w:val="19"/>
                <w:szCs w:val="19"/>
              </w:rPr>
              <w:t xml:space="preserve">Read</w:t>
            </w:r>
          </w:p>
        </w:tc>
        <w:tc>
          <w:tcPr>
            <w:tcW w:type="dxa" w:w="1560"/>
            <w:shd w:fill="FFFFFF" w:val="clear"/>
            <w:tcMar>
              <w:top w:type="dxa" w:w="100"/>
              <w:left w:type="dxa" w:w="120"/>
              <w:bottom w:type="dxa" w:w="100"/>
              <w:right w:type="dxa" w:w="120"/>
            </w:tcMar>
            <w:vAlign w:val="center"/>
          </w:tcPr>
          <w:p>
            <w:r>
              <w:rPr>
                <w:b w:val="false"/>
                <w:bCs w:val="false"/>
                <w:color w:val="111111"/>
                <w:sz w:val="19"/>
                <w:szCs w:val="19"/>
              </w:rPr>
              <w:t xml:space="preserve">Read</w:t>
            </w:r>
          </w:p>
        </w:tc>
        <w:tc>
          <w:tcPr>
            <w:tcW w:type="dxa" w:w="1560"/>
            <w:shd w:fill="FFFFFF" w:val="clear"/>
            <w:tcMar>
              <w:top w:type="dxa" w:w="100"/>
              <w:left w:type="dxa" w:w="120"/>
              <w:bottom w:type="dxa" w:w="100"/>
              <w:right w:type="dxa" w:w="120"/>
            </w:tcMar>
            <w:vAlign w:val="center"/>
          </w:tcPr>
          <w:p>
            <w:r>
              <w:rPr>
                <w:b w:val="false"/>
                <w:bCs w:val="false"/>
                <w:color w:val="111111"/>
                <w:sz w:val="19"/>
                <w:szCs w:val="19"/>
              </w:rPr>
              <w:t xml:space="preserve">Read/Write + Approve*</w:t>
            </w:r>
          </w:p>
        </w:tc>
        <w:tc>
          <w:tcPr>
            <w:tcW w:type="dxa" w:w="1560"/>
            <w:shd w:fill="FFFFFF" w:val="clear"/>
            <w:tcMar>
              <w:top w:type="dxa" w:w="100"/>
              <w:left w:type="dxa" w:w="120"/>
              <w:bottom w:type="dxa" w:w="100"/>
              <w:right w:type="dxa" w:w="120"/>
            </w:tcMar>
            <w:vAlign w:val="center"/>
          </w:tcPr>
          <w:p>
            <w:r>
              <w:rPr>
                <w:b w:val="false"/>
                <w:bCs w:val="false"/>
                <w:color w:val="111111"/>
                <w:sz w:val="19"/>
                <w:szCs w:val="19"/>
              </w:rPr>
              <w:t xml:space="preserve">Read/Approve</w:t>
            </w:r>
          </w:p>
        </w:tc>
        <w:tc>
          <w:tcPr>
            <w:tcW w:type="dxa" w:w="1560"/>
            <w:shd w:fill="FFFFFF" w:val="clear"/>
            <w:tcMar>
              <w:top w:type="dxa" w:w="100"/>
              <w:left w:type="dxa" w:w="120"/>
              <w:bottom w:type="dxa" w:w="100"/>
              <w:right w:type="dxa" w:w="120"/>
            </w:tcMar>
            <w:vAlign w:val="center"/>
          </w:tcPr>
          <w:p>
            <w:r>
              <w:rPr>
                <w:b w:val="false"/>
                <w:bCs w:val="false"/>
                <w:color w:val="111111"/>
                <w:sz w:val="19"/>
                <w:szCs w:val="19"/>
              </w:rPr>
              <w:t xml:space="preserve">Read</w:t>
            </w:r>
          </w:p>
        </w:tc>
      </w:tr>
      <w:tr>
        <w:tc>
          <w:tcPr>
            <w:tcW w:type="dxa" w:w="2100"/>
            <w:shd w:fill="FFFFFF" w:val="clear"/>
            <w:tcMar>
              <w:top w:type="dxa" w:w="100"/>
              <w:left w:type="dxa" w:w="120"/>
              <w:bottom w:type="dxa" w:w="100"/>
              <w:right w:type="dxa" w:w="120"/>
            </w:tcMar>
            <w:vAlign w:val="center"/>
          </w:tcPr>
          <w:p>
            <w:r>
              <w:rPr>
                <w:b w:val="false"/>
                <w:bCs w:val="false"/>
                <w:color w:val="111111"/>
                <w:sz w:val="19"/>
                <w:szCs w:val="19"/>
              </w:rPr>
              <w:t xml:space="preserve">AI Copilot Chat</w:t>
            </w:r>
          </w:p>
        </w:tc>
        <w:tc>
          <w:tcPr>
            <w:tcW w:type="dxa" w:w="1560"/>
            <w:shd w:fill="FFFFFF" w:val="clear"/>
            <w:tcMar>
              <w:top w:type="dxa" w:w="100"/>
              <w:left w:type="dxa" w:w="120"/>
              <w:bottom w:type="dxa" w:w="100"/>
              <w:right w:type="dxa" w:w="120"/>
            </w:tcMar>
            <w:vAlign w:val="center"/>
          </w:tcPr>
          <w:p>
            <w:r>
              <w:rPr>
                <w:b w:val="false"/>
                <w:bCs w:val="false"/>
                <w:color w:val="111111"/>
                <w:sz w:val="19"/>
                <w:szCs w:val="19"/>
              </w:rPr>
              <w:t xml:space="preserve">Scoped to role data</w:t>
            </w:r>
          </w:p>
        </w:tc>
        <w:tc>
          <w:tcPr>
            <w:tcW w:type="dxa" w:w="1560"/>
            <w:shd w:fill="FFFFFF" w:val="clear"/>
            <w:tcMar>
              <w:top w:type="dxa" w:w="100"/>
              <w:left w:type="dxa" w:w="120"/>
              <w:bottom w:type="dxa" w:w="100"/>
              <w:right w:type="dxa" w:w="120"/>
            </w:tcMar>
            <w:vAlign w:val="center"/>
          </w:tcPr>
          <w:p>
            <w:r>
              <w:rPr>
                <w:b w:val="false"/>
                <w:bCs w:val="false"/>
                <w:color w:val="111111"/>
                <w:sz w:val="19"/>
                <w:szCs w:val="19"/>
              </w:rPr>
              <w:t xml:space="preserve">Scoped to role data</w:t>
            </w:r>
          </w:p>
        </w:tc>
        <w:tc>
          <w:tcPr>
            <w:tcW w:type="dxa" w:w="1560"/>
            <w:shd w:fill="FFFFFF" w:val="clear"/>
            <w:tcMar>
              <w:top w:type="dxa" w:w="100"/>
              <w:left w:type="dxa" w:w="120"/>
              <w:bottom w:type="dxa" w:w="100"/>
              <w:right w:type="dxa" w:w="120"/>
            </w:tcMar>
            <w:vAlign w:val="center"/>
          </w:tcPr>
          <w:p>
            <w:r>
              <w:rPr>
                <w:b w:val="false"/>
                <w:bCs w:val="false"/>
                <w:color w:val="111111"/>
                <w:sz w:val="19"/>
                <w:szCs w:val="19"/>
              </w:rPr>
              <w:t xml:space="preserve">Scoped to role data</w:t>
            </w:r>
          </w:p>
        </w:tc>
        <w:tc>
          <w:tcPr>
            <w:tcW w:type="dxa" w:w="1560"/>
            <w:shd w:fill="FFFFFF" w:val="clear"/>
            <w:tcMar>
              <w:top w:type="dxa" w:w="100"/>
              <w:left w:type="dxa" w:w="120"/>
              <w:bottom w:type="dxa" w:w="100"/>
              <w:right w:type="dxa" w:w="120"/>
            </w:tcMar>
            <w:vAlign w:val="center"/>
          </w:tcPr>
          <w:p>
            <w:r>
              <w:rPr>
                <w:b w:val="false"/>
                <w:bCs w:val="false"/>
                <w:color w:val="111111"/>
                <w:sz w:val="19"/>
                <w:szCs w:val="19"/>
              </w:rPr>
              <w:t xml:space="preserve">Scoped to role data</w:t>
            </w:r>
          </w:p>
        </w:tc>
        <w:tc>
          <w:tcPr>
            <w:tcW w:type="dxa" w:w="1560"/>
            <w:shd w:fill="FFFFFF" w:val="clear"/>
            <w:tcMar>
              <w:top w:type="dxa" w:w="100"/>
              <w:left w:type="dxa" w:w="120"/>
              <w:bottom w:type="dxa" w:w="100"/>
              <w:right w:type="dxa" w:w="120"/>
            </w:tcMar>
            <w:vAlign w:val="center"/>
          </w:tcPr>
          <w:p>
            <w:r>
              <w:rPr>
                <w:b w:val="false"/>
                <w:bCs w:val="false"/>
                <w:color w:val="111111"/>
                <w:sz w:val="19"/>
                <w:szCs w:val="19"/>
              </w:rPr>
              <w:t xml:space="preserve">Summary-level only</w:t>
            </w:r>
          </w:p>
        </w:tc>
      </w:tr>
      <w:tr>
        <w:tc>
          <w:tcPr>
            <w:tcW w:type="dxa" w:w="2100"/>
            <w:shd w:fill="FFFFFF" w:val="clear"/>
            <w:tcMar>
              <w:top w:type="dxa" w:w="100"/>
              <w:left w:type="dxa" w:w="120"/>
              <w:bottom w:type="dxa" w:w="100"/>
              <w:right w:type="dxa" w:w="120"/>
            </w:tcMar>
            <w:vAlign w:val="center"/>
          </w:tcPr>
          <w:p>
            <w:r>
              <w:rPr>
                <w:b w:val="false"/>
                <w:bCs w:val="false"/>
                <w:color w:val="111111"/>
                <w:sz w:val="19"/>
                <w:szCs w:val="19"/>
              </w:rPr>
              <w:t xml:space="preserve">Reports Export</w:t>
            </w:r>
          </w:p>
        </w:tc>
        <w:tc>
          <w:tcPr>
            <w:tcW w:type="dxa" w:w="1560"/>
            <w:shd w:fill="FFFFFF" w:val="clear"/>
            <w:tcMar>
              <w:top w:type="dxa" w:w="100"/>
              <w:left w:type="dxa" w:w="120"/>
              <w:bottom w:type="dxa" w:w="100"/>
              <w:right w:type="dxa" w:w="120"/>
            </w:tcMar>
            <w:vAlign w:val="center"/>
          </w:tcPr>
          <w:p>
            <w:r>
              <w:rPr>
                <w:b w:val="false"/>
                <w:bCs w:val="false"/>
                <w:color w:val="111111"/>
                <w:sz w:val="19"/>
                <w:szCs w:val="19"/>
              </w:rPr>
              <w:t xml:space="preserve">Yes</w:t>
            </w:r>
          </w:p>
        </w:tc>
        <w:tc>
          <w:tcPr>
            <w:tcW w:type="dxa" w:w="1560"/>
            <w:shd w:fill="FFFFFF" w:val="clear"/>
            <w:tcMar>
              <w:top w:type="dxa" w:w="100"/>
              <w:left w:type="dxa" w:w="120"/>
              <w:bottom w:type="dxa" w:w="100"/>
              <w:right w:type="dxa" w:w="120"/>
            </w:tcMar>
            <w:vAlign w:val="center"/>
          </w:tcPr>
          <w:p>
            <w:r>
              <w:rPr>
                <w:b w:val="false"/>
                <w:bCs w:val="false"/>
                <w:color w:val="111111"/>
                <w:sz w:val="19"/>
                <w:szCs w:val="19"/>
              </w:rPr>
              <w:t xml:space="preserve">Yes</w:t>
            </w:r>
          </w:p>
        </w:tc>
        <w:tc>
          <w:tcPr>
            <w:tcW w:type="dxa" w:w="1560"/>
            <w:shd w:fill="FFFFFF" w:val="clear"/>
            <w:tcMar>
              <w:top w:type="dxa" w:w="100"/>
              <w:left w:type="dxa" w:w="120"/>
              <w:bottom w:type="dxa" w:w="100"/>
              <w:right w:type="dxa" w:w="120"/>
            </w:tcMar>
            <w:vAlign w:val="center"/>
          </w:tcPr>
          <w:p>
            <w:r>
              <w:rPr>
                <w:b w:val="false"/>
                <w:bCs w:val="false"/>
                <w:color w:val="111111"/>
                <w:sz w:val="19"/>
                <w:szCs w:val="19"/>
              </w:rPr>
              <w:t xml:space="preserve">Yes</w:t>
            </w:r>
          </w:p>
        </w:tc>
        <w:tc>
          <w:tcPr>
            <w:tcW w:type="dxa" w:w="1560"/>
            <w:shd w:fill="FFFFFF" w:val="clear"/>
            <w:tcMar>
              <w:top w:type="dxa" w:w="100"/>
              <w:left w:type="dxa" w:w="120"/>
              <w:bottom w:type="dxa" w:w="100"/>
              <w:right w:type="dxa" w:w="120"/>
            </w:tcMar>
            <w:vAlign w:val="center"/>
          </w:tcPr>
          <w:p>
            <w:r>
              <w:rPr>
                <w:b w:val="false"/>
                <w:bCs w:val="false"/>
                <w:color w:val="111111"/>
                <w:sz w:val="19"/>
                <w:szCs w:val="19"/>
              </w:rPr>
              <w:t xml:space="preserve">Yes</w:t>
            </w:r>
          </w:p>
        </w:tc>
        <w:tc>
          <w:tcPr>
            <w:tcW w:type="dxa" w:w="1560"/>
            <w:shd w:fill="FFFFFF" w:val="clear"/>
            <w:tcMar>
              <w:top w:type="dxa" w:w="100"/>
              <w:left w:type="dxa" w:w="120"/>
              <w:bottom w:type="dxa" w:w="100"/>
              <w:right w:type="dxa" w:w="120"/>
            </w:tcMar>
            <w:vAlign w:val="center"/>
          </w:tcPr>
          <w:p>
            <w:r>
              <w:rPr>
                <w:b w:val="false"/>
                <w:bCs w:val="false"/>
                <w:color w:val="111111"/>
                <w:sz w:val="19"/>
                <w:szCs w:val="19"/>
              </w:rPr>
              <w:t xml:space="preserve">Yes (read-only reports)</w:t>
            </w:r>
          </w:p>
        </w:tc>
      </w:tr>
    </w:tbl>
    <w:p>
      <w:pPr>
        <w:pBdr>
          <w:left w:val="single" w:color="2563EB" w:sz="12" w:space="8"/>
        </w:pBdr>
        <w:spacing w:after="160"/>
        <w:ind w:left="100"/>
      </w:pPr>
      <w:r>
        <w:rPr>
          <w:b/>
          <w:bCs/>
          <w:i/>
          <w:iCs/>
          <w:color w:val="6B7280"/>
          <w:sz w:val="20"/>
          <w:szCs w:val="20"/>
        </w:rPr>
        <w:t xml:space="preserve">Assumption / open item: </w:t>
      </w:r>
      <w:r>
        <w:rPr>
          <w:i/>
          <w:iCs/>
          <w:color w:val="6B7280"/>
          <w:sz w:val="20"/>
          <w:szCs w:val="20"/>
        </w:rPr>
        <w:t xml:space="preserve">*PO approval authority: confirm whether Procurement Manager can self-approve or whether Operations Director must approve above a dollar threshold (common in procurement controls).</w:t>
      </w:r>
    </w:p>
    <w:p>
      <w:pPr>
        <w:pStyle w:val="Heading1"/>
        <w:spacing w:after="200" w:before="400"/>
      </w:pPr>
      <w:r>
        <w:t xml:space="preserve">10. Data Model Overview (High-Level)</w:t>
      </w:r>
    </w:p>
    <w:p>
      <w:pPr>
        <w:spacing w:after="160"/>
      </w:pPr>
      <w:r>
        <w:t xml:space="preserve">The original brief did not specify a data model or a source of truth for the operational data. For MVP, the assumption is that the application is the system of record (data entered/imported directly), not synced live from an ERP. Core entities:</w:t>
      </w:r>
    </w:p>
    <w:p>
      <w:pPr>
        <w:pStyle w:val="ListParagraph"/>
        <w:numPr>
          <w:ilvl w:val="0"/>
          <w:numId w:val="2"/>
        </w:numPr>
        <w:spacing w:after="80"/>
      </w:pPr>
      <w:r>
        <w:t xml:space="preserve">User (id, name, email, role, auth credentials)</w:t>
      </w:r>
    </w:p>
    <w:p>
      <w:pPr>
        <w:pStyle w:val="ListParagraph"/>
        <w:numPr>
          <w:ilvl w:val="0"/>
          <w:numId w:val="2"/>
        </w:numPr>
        <w:spacing w:after="80"/>
      </w:pPr>
      <w:r>
        <w:t xml:space="preserve">SKU / InventoryItem (id, name, code, quantity_on_hand, reorder_threshold, unit_cost, status)</w:t>
      </w:r>
    </w:p>
    <w:p>
      <w:pPr>
        <w:pStyle w:val="ListParagraph"/>
        <w:numPr>
          <w:ilvl w:val="0"/>
          <w:numId w:val="2"/>
        </w:numPr>
        <w:spacing w:after="80"/>
      </w:pPr>
      <w:r>
        <w:t xml:space="preserve">Supplier (id, name, contact info, contract terms, computed score)</w:t>
      </w:r>
    </w:p>
    <w:p>
      <w:pPr>
        <w:pStyle w:val="ListParagraph"/>
        <w:numPr>
          <w:ilvl w:val="0"/>
          <w:numId w:val="2"/>
        </w:numPr>
        <w:spacing w:after="80"/>
      </w:pPr>
      <w:r>
        <w:t xml:space="preserve">PurchaseOrder (id, supplier_id, line items, status, created_by, approved_by, ai_generated flag)</w:t>
      </w:r>
    </w:p>
    <w:p>
      <w:pPr>
        <w:pStyle w:val="ListParagraph"/>
        <w:numPr>
          <w:ilvl w:val="0"/>
          <w:numId w:val="2"/>
        </w:numPr>
        <w:spacing w:after="80"/>
      </w:pPr>
      <w:r>
        <w:t xml:space="preserve">Shipment (id, po_id or reference, expected_date, actual_date, status, delay_flag)</w:t>
      </w:r>
    </w:p>
    <w:p>
      <w:pPr>
        <w:pStyle w:val="ListParagraph"/>
        <w:numPr>
          <w:ilvl w:val="0"/>
          <w:numId w:val="2"/>
        </w:numPr>
        <w:spacing w:after="80"/>
      </w:pPr>
      <w:r>
        <w:t xml:space="preserve">AuditLogEntry (id, user_id, action_type, ai_involved flag, input_summary, output_summary, timestamp)</w:t>
      </w:r>
    </w:p>
    <w:p>
      <w:pPr>
        <w:pBdr>
          <w:left w:val="single" w:color="2563EB" w:sz="12" w:space="8"/>
        </w:pBdr>
        <w:spacing w:after="160"/>
        <w:ind w:left="100"/>
      </w:pPr>
      <w:r>
        <w:rPr>
          <w:b/>
          <w:bCs/>
          <w:i/>
          <w:iCs/>
          <w:color w:val="6B7280"/>
          <w:sz w:val="20"/>
          <w:szCs w:val="20"/>
        </w:rPr>
        <w:t xml:space="preserve">Assumption / open item: </w:t>
      </w:r>
      <w:r>
        <w:rPr>
          <w:i/>
          <w:iCs/>
          <w:color w:val="6B7280"/>
          <w:sz w:val="20"/>
          <w:szCs w:val="20"/>
        </w:rPr>
        <w:t xml:space="preserve">Import method for legacy data (CSV upload vs. manual re-entry vs. one-time migration script) is not yet defined — needs a decision before the Inventory/Supplier modules can be built.</w:t>
      </w:r>
    </w:p>
    <w:p>
      <w:pPr>
        <w:pStyle w:val="Heading1"/>
        <w:spacing w:after="200" w:before="400"/>
      </w:pPr>
      <w:r>
        <w:t xml:space="preserve">11. System Architecture &amp; Tech Stack</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2400"/>
        <w:gridCol w:w="3900"/>
        <w:gridCol w:w="3000"/>
      </w:tblGrid>
      <w:tr>
        <w:trPr>
          <w:tblHeader/>
        </w:trPr>
        <w:tc>
          <w:tcPr>
            <w:tcW w:type="dxa" w:w="2400"/>
            <w:shd w:fill="1F2937" w:val="clear"/>
            <w:tcMar>
              <w:top w:type="dxa" w:w="100"/>
              <w:left w:type="dxa" w:w="120"/>
              <w:bottom w:type="dxa" w:w="100"/>
              <w:right w:type="dxa" w:w="120"/>
            </w:tcMar>
            <w:vAlign w:val="center"/>
          </w:tcPr>
          <w:p>
            <w:r>
              <w:rPr>
                <w:b/>
                <w:bCs/>
                <w:color w:val="FFFFFF"/>
                <w:sz w:val="19"/>
                <w:szCs w:val="19"/>
              </w:rPr>
              <w:t xml:space="preserve">Layer</w:t>
            </w:r>
          </w:p>
        </w:tc>
        <w:tc>
          <w:tcPr>
            <w:tcW w:type="dxa" w:w="3900"/>
            <w:shd w:fill="1F2937" w:val="clear"/>
            <w:tcMar>
              <w:top w:type="dxa" w:w="100"/>
              <w:left w:type="dxa" w:w="120"/>
              <w:bottom w:type="dxa" w:w="100"/>
              <w:right w:type="dxa" w:w="120"/>
            </w:tcMar>
            <w:vAlign w:val="center"/>
          </w:tcPr>
          <w:p>
            <w:r>
              <w:rPr>
                <w:b/>
                <w:bCs/>
                <w:color w:val="FFFFFF"/>
                <w:sz w:val="19"/>
                <w:szCs w:val="19"/>
              </w:rPr>
              <w:t xml:space="preserve">Proposed Choice</w:t>
            </w:r>
          </w:p>
        </w:tc>
        <w:tc>
          <w:tcPr>
            <w:tcW w:type="dxa" w:w="3000"/>
            <w:shd w:fill="1F2937" w:val="clear"/>
            <w:tcMar>
              <w:top w:type="dxa" w:w="100"/>
              <w:left w:type="dxa" w:w="120"/>
              <w:bottom w:type="dxa" w:w="100"/>
              <w:right w:type="dxa" w:w="120"/>
            </w:tcMar>
            <w:vAlign w:val="center"/>
          </w:tcPr>
          <w:p>
            <w:r>
              <w:rPr>
                <w:b/>
                <w:bCs/>
                <w:color w:val="FFFFFF"/>
                <w:sz w:val="19"/>
                <w:szCs w:val="19"/>
              </w:rPr>
              <w:t xml:space="preserve">Note</w:t>
            </w:r>
          </w:p>
        </w:tc>
      </w:tr>
      <w:tr>
        <w:tc>
          <w:tcPr>
            <w:tcW w:type="dxa" w:w="2400"/>
            <w:shd w:fill="FFFFFF" w:val="clear"/>
            <w:tcMar>
              <w:top w:type="dxa" w:w="100"/>
              <w:left w:type="dxa" w:w="120"/>
              <w:bottom w:type="dxa" w:w="100"/>
              <w:right w:type="dxa" w:w="120"/>
            </w:tcMar>
            <w:vAlign w:val="center"/>
          </w:tcPr>
          <w:p>
            <w:r>
              <w:rPr>
                <w:b w:val="false"/>
                <w:bCs w:val="false"/>
                <w:color w:val="111111"/>
                <w:sz w:val="19"/>
                <w:szCs w:val="19"/>
              </w:rPr>
              <w:t xml:space="preserve">Frontend</w:t>
            </w:r>
          </w:p>
        </w:tc>
        <w:tc>
          <w:tcPr>
            <w:tcW w:type="dxa" w:w="3900"/>
            <w:shd w:fill="FFFFFF" w:val="clear"/>
            <w:tcMar>
              <w:top w:type="dxa" w:w="100"/>
              <w:left w:type="dxa" w:w="120"/>
              <w:bottom w:type="dxa" w:w="100"/>
              <w:right w:type="dxa" w:w="120"/>
            </w:tcMar>
            <w:vAlign w:val="center"/>
          </w:tcPr>
          <w:p>
            <w:r>
              <w:rPr>
                <w:b w:val="false"/>
                <w:bCs w:val="false"/>
                <w:color w:val="111111"/>
                <w:sz w:val="19"/>
                <w:szCs w:val="19"/>
              </w:rPr>
              <w:t xml:space="preserve">Next.js 15, React 19, TypeScript, Tailwind CSS + shadcn/ui</w:t>
            </w:r>
          </w:p>
        </w:tc>
        <w:tc>
          <w:tcPr>
            <w:tcW w:type="dxa" w:w="3000"/>
            <w:shd w:fill="FFFFFF" w:val="clear"/>
            <w:tcMar>
              <w:top w:type="dxa" w:w="100"/>
              <w:left w:type="dxa" w:w="120"/>
              <w:bottom w:type="dxa" w:w="100"/>
              <w:right w:type="dxa" w:w="120"/>
            </w:tcMar>
            <w:vAlign w:val="center"/>
          </w:tcPr>
          <w:p>
            <w:r>
              <w:rPr>
                <w:b w:val="false"/>
                <w:bCs w:val="false"/>
                <w:color w:val="111111"/>
                <w:sz w:val="19"/>
                <w:szCs w:val="19"/>
              </w:rPr>
              <w:t xml:space="preserve">Consistent with your existing stack across RealtyPulse and SafeGuard</w:t>
            </w:r>
          </w:p>
        </w:tc>
      </w:tr>
      <w:tr>
        <w:tc>
          <w:tcPr>
            <w:tcW w:type="dxa" w:w="2400"/>
            <w:shd w:fill="FFFFFF" w:val="clear"/>
            <w:tcMar>
              <w:top w:type="dxa" w:w="100"/>
              <w:left w:type="dxa" w:w="120"/>
              <w:bottom w:type="dxa" w:w="100"/>
              <w:right w:type="dxa" w:w="120"/>
            </w:tcMar>
            <w:vAlign w:val="center"/>
          </w:tcPr>
          <w:p>
            <w:r>
              <w:rPr>
                <w:b w:val="false"/>
                <w:bCs w:val="false"/>
                <w:color w:val="111111"/>
                <w:sz w:val="19"/>
                <w:szCs w:val="19"/>
              </w:rPr>
              <w:t xml:space="preserve">Backend / DB</w:t>
            </w:r>
          </w:p>
        </w:tc>
        <w:tc>
          <w:tcPr>
            <w:tcW w:type="dxa" w:w="3900"/>
            <w:shd w:fill="FFFFFF" w:val="clear"/>
            <w:tcMar>
              <w:top w:type="dxa" w:w="100"/>
              <w:left w:type="dxa" w:w="120"/>
              <w:bottom w:type="dxa" w:w="100"/>
              <w:right w:type="dxa" w:w="120"/>
            </w:tcMar>
            <w:vAlign w:val="center"/>
          </w:tcPr>
          <w:p>
            <w:r>
              <w:rPr>
                <w:b w:val="false"/>
                <w:bCs w:val="false"/>
                <w:color w:val="111111"/>
                <w:sz w:val="19"/>
                <w:szCs w:val="19"/>
              </w:rPr>
              <w:t xml:space="preserve">PostgreSQL via Supabase or Prisma-managed Postgres</w:t>
            </w:r>
          </w:p>
        </w:tc>
        <w:tc>
          <w:tcPr>
            <w:tcW w:type="dxa" w:w="3000"/>
            <w:shd w:fill="FFFFFF" w:val="clear"/>
            <w:tcMar>
              <w:top w:type="dxa" w:w="100"/>
              <w:left w:type="dxa" w:w="120"/>
              <w:bottom w:type="dxa" w:w="100"/>
              <w:right w:type="dxa" w:w="120"/>
            </w:tcMar>
            <w:vAlign w:val="center"/>
          </w:tcPr>
          <w:p>
            <w:r>
              <w:rPr>
                <w:b w:val="false"/>
                <w:bCs w:val="false"/>
                <w:color w:val="111111"/>
                <w:sz w:val="19"/>
                <w:szCs w:val="19"/>
              </w:rPr>
              <w:t xml:space="preserve">“Supabase (demo)” in the original brief suggests non-production intent — confirm whether Supabase is the production DB or a prototyping choice only</w:t>
            </w:r>
          </w:p>
        </w:tc>
      </w:tr>
      <w:tr>
        <w:tc>
          <w:tcPr>
            <w:tcW w:type="dxa" w:w="2400"/>
            <w:shd w:fill="FFFFFF" w:val="clear"/>
            <w:tcMar>
              <w:top w:type="dxa" w:w="100"/>
              <w:left w:type="dxa" w:w="120"/>
              <w:bottom w:type="dxa" w:w="100"/>
              <w:right w:type="dxa" w:w="120"/>
            </w:tcMar>
            <w:vAlign w:val="center"/>
          </w:tcPr>
          <w:p>
            <w:r>
              <w:rPr>
                <w:b w:val="false"/>
                <w:bCs w:val="false"/>
                <w:color w:val="111111"/>
                <w:sz w:val="19"/>
                <w:szCs w:val="19"/>
              </w:rPr>
              <w:t xml:space="preserve">ORM</w:t>
            </w:r>
          </w:p>
        </w:tc>
        <w:tc>
          <w:tcPr>
            <w:tcW w:type="dxa" w:w="3900"/>
            <w:shd w:fill="FFFFFF" w:val="clear"/>
            <w:tcMar>
              <w:top w:type="dxa" w:w="100"/>
              <w:left w:type="dxa" w:w="120"/>
              <w:bottom w:type="dxa" w:w="100"/>
              <w:right w:type="dxa" w:w="120"/>
            </w:tcMar>
            <w:vAlign w:val="center"/>
          </w:tcPr>
          <w:p>
            <w:r>
              <w:rPr>
                <w:b w:val="false"/>
                <w:bCs w:val="false"/>
                <w:color w:val="111111"/>
                <w:sz w:val="19"/>
                <w:szCs w:val="19"/>
              </w:rPr>
              <w:t xml:space="preserve">Prisma</w:t>
            </w:r>
          </w:p>
        </w:tc>
        <w:tc>
          <w:tcPr>
            <w:tcW w:type="dxa" w:w="3000"/>
            <w:shd w:fill="FFFFFF" w:val="clear"/>
            <w:tcMar>
              <w:top w:type="dxa" w:w="100"/>
              <w:left w:type="dxa" w:w="120"/>
              <w:bottom w:type="dxa" w:w="100"/>
              <w:right w:type="dxa" w:w="120"/>
            </w:tcMar>
            <w:vAlign w:val="center"/>
          </w:tcPr>
          <w:p>
            <w:r>
              <w:rPr>
                <w:b w:val="false"/>
                <w:bCs w:val="false"/>
                <w:color w:val="111111"/>
                <w:sz w:val="19"/>
                <w:szCs w:val="19"/>
              </w:rPr>
              <w:t xml:space="preserve">Standard choice given the stack</w:t>
            </w:r>
          </w:p>
        </w:tc>
      </w:tr>
      <w:tr>
        <w:tc>
          <w:tcPr>
            <w:tcW w:type="dxa" w:w="2400"/>
            <w:shd w:fill="FFFFFF" w:val="clear"/>
            <w:tcMar>
              <w:top w:type="dxa" w:w="100"/>
              <w:left w:type="dxa" w:w="120"/>
              <w:bottom w:type="dxa" w:w="100"/>
              <w:right w:type="dxa" w:w="120"/>
            </w:tcMar>
            <w:vAlign w:val="center"/>
          </w:tcPr>
          <w:p>
            <w:r>
              <w:rPr>
                <w:b w:val="false"/>
                <w:bCs w:val="false"/>
                <w:color w:val="111111"/>
                <w:sz w:val="19"/>
                <w:szCs w:val="19"/>
              </w:rPr>
              <w:t xml:space="preserve">Auth</w:t>
            </w:r>
          </w:p>
        </w:tc>
        <w:tc>
          <w:tcPr>
            <w:tcW w:type="dxa" w:w="3900"/>
            <w:shd w:fill="FFFFFF" w:val="clear"/>
            <w:tcMar>
              <w:top w:type="dxa" w:w="100"/>
              <w:left w:type="dxa" w:w="120"/>
              <w:bottom w:type="dxa" w:w="100"/>
              <w:right w:type="dxa" w:w="120"/>
            </w:tcMar>
            <w:vAlign w:val="center"/>
          </w:tcPr>
          <w:p>
            <w:r>
              <w:rPr>
                <w:b w:val="false"/>
                <w:bCs w:val="false"/>
                <w:color w:val="111111"/>
                <w:sz w:val="19"/>
                <w:szCs w:val="19"/>
              </w:rPr>
              <w:t xml:space="preserve">Better Auth</w:t>
            </w:r>
          </w:p>
        </w:tc>
        <w:tc>
          <w:tcPr>
            <w:tcW w:type="dxa" w:w="3000"/>
            <w:shd w:fill="FFFFFF" w:val="clear"/>
            <w:tcMar>
              <w:top w:type="dxa" w:w="100"/>
              <w:left w:type="dxa" w:w="120"/>
              <w:bottom w:type="dxa" w:w="100"/>
              <w:right w:type="dxa" w:w="120"/>
            </w:tcMar>
            <w:vAlign w:val="center"/>
          </w:tcPr>
          <w:p>
            <w:r>
              <w:rPr>
                <w:b w:val="false"/>
                <w:bCs w:val="false"/>
                <w:color w:val="111111"/>
                <w:sz w:val="19"/>
                <w:szCs w:val="19"/>
              </w:rPr>
              <w:t xml:space="preserve">Confirm this meets RBAC needs in §9, or whether Supabase Auth (already used elsewhere in your projects) is preferred for consistency</w:t>
            </w:r>
          </w:p>
        </w:tc>
      </w:tr>
      <w:tr>
        <w:tc>
          <w:tcPr>
            <w:tcW w:type="dxa" w:w="2400"/>
            <w:shd w:fill="FFFFFF" w:val="clear"/>
            <w:tcMar>
              <w:top w:type="dxa" w:w="100"/>
              <w:left w:type="dxa" w:w="120"/>
              <w:bottom w:type="dxa" w:w="100"/>
              <w:right w:type="dxa" w:w="120"/>
            </w:tcMar>
            <w:vAlign w:val="center"/>
          </w:tcPr>
          <w:p>
            <w:r>
              <w:rPr>
                <w:b w:val="false"/>
                <w:bCs w:val="false"/>
                <w:color w:val="111111"/>
                <w:sz w:val="19"/>
                <w:szCs w:val="19"/>
              </w:rPr>
              <w:t xml:space="preserve">AI / LLM</w:t>
            </w:r>
          </w:p>
        </w:tc>
        <w:tc>
          <w:tcPr>
            <w:tcW w:type="dxa" w:w="3900"/>
            <w:shd w:fill="FFFFFF" w:val="clear"/>
            <w:tcMar>
              <w:top w:type="dxa" w:w="100"/>
              <w:left w:type="dxa" w:w="120"/>
              <w:bottom w:type="dxa" w:w="100"/>
              <w:right w:type="dxa" w:w="120"/>
            </w:tcMar>
            <w:vAlign w:val="center"/>
          </w:tcPr>
          <w:p>
            <w:r>
              <w:rPr>
                <w:b w:val="false"/>
                <w:bCs w:val="false"/>
                <w:color w:val="111111"/>
                <w:sz w:val="19"/>
                <w:szCs w:val="19"/>
              </w:rPr>
              <w:t xml:space="preserve">Google Gemini or DeepSeek (confirmed direction)</w:t>
            </w:r>
          </w:p>
        </w:tc>
        <w:tc>
          <w:tcPr>
            <w:tcW w:type="dxa" w:w="3000"/>
            <w:shd w:fill="FFFFFF" w:val="clear"/>
            <w:tcMar>
              <w:top w:type="dxa" w:w="100"/>
              <w:left w:type="dxa" w:w="120"/>
              <w:bottom w:type="dxa" w:w="100"/>
              <w:right w:type="dxa" w:w="120"/>
            </w:tcMar>
            <w:vAlign w:val="center"/>
          </w:tcPr>
          <w:p>
            <w:r>
              <w:rPr>
                <w:b w:val="false"/>
                <w:bCs w:val="false"/>
                <w:color w:val="111111"/>
                <w:sz w:val="19"/>
                <w:szCs w:val="19"/>
              </w:rPr>
              <w:t xml:space="preserve">Pin the exact model name and API version before build starts — both providers version their model names frequently</w:t>
            </w:r>
          </w:p>
        </w:tc>
      </w:tr>
      <w:tr>
        <w:tc>
          <w:tcPr>
            <w:tcW w:type="dxa" w:w="2400"/>
            <w:shd w:fill="FFFFFF" w:val="clear"/>
            <w:tcMar>
              <w:top w:type="dxa" w:w="100"/>
              <w:left w:type="dxa" w:w="120"/>
              <w:bottom w:type="dxa" w:w="100"/>
              <w:right w:type="dxa" w:w="120"/>
            </w:tcMar>
            <w:vAlign w:val="center"/>
          </w:tcPr>
          <w:p>
            <w:r>
              <w:rPr>
                <w:b w:val="false"/>
                <w:bCs w:val="false"/>
                <w:color w:val="111111"/>
                <w:sz w:val="19"/>
                <w:szCs w:val="19"/>
              </w:rPr>
              <w:t xml:space="preserve">Workflow orchestration</w:t>
            </w:r>
          </w:p>
        </w:tc>
        <w:tc>
          <w:tcPr>
            <w:tcW w:type="dxa" w:w="3900"/>
            <w:shd w:fill="FFFFFF" w:val="clear"/>
            <w:tcMar>
              <w:top w:type="dxa" w:w="100"/>
              <w:left w:type="dxa" w:w="120"/>
              <w:bottom w:type="dxa" w:w="100"/>
              <w:right w:type="dxa" w:w="120"/>
            </w:tcMar>
            <w:vAlign w:val="center"/>
          </w:tcPr>
          <w:p>
            <w:r>
              <w:rPr>
                <w:b w:val="false"/>
                <w:bCs w:val="false"/>
                <w:color w:val="111111"/>
                <w:sz w:val="19"/>
                <w:szCs w:val="19"/>
              </w:rPr>
              <w:t xml:space="preserve">Not used in MVP/demo (confirmed)</w:t>
            </w:r>
          </w:p>
        </w:tc>
        <w:tc>
          <w:tcPr>
            <w:tcW w:type="dxa" w:w="3000"/>
            <w:shd w:fill="FFFFFF" w:val="clear"/>
            <w:tcMar>
              <w:top w:type="dxa" w:w="100"/>
              <w:left w:type="dxa" w:w="120"/>
              <w:bottom w:type="dxa" w:w="100"/>
              <w:right w:type="dxa" w:w="120"/>
            </w:tcMar>
            <w:vAlign w:val="center"/>
          </w:tcPr>
          <w:p>
            <w:r>
              <w:rPr>
                <w:b w:val="false"/>
                <w:bCs w:val="false"/>
                <w:color w:val="111111"/>
                <w:sz w:val="19"/>
                <w:szCs w:val="19"/>
              </w:rPr>
              <w:t xml:space="preserve">n8n dropped for the 1–2 day demo scope; revisit in Phase 2 if scheduled jobs or multi-step automations are needed</w:t>
            </w:r>
          </w:p>
        </w:tc>
      </w:tr>
      <w:tr>
        <w:tc>
          <w:tcPr>
            <w:tcW w:type="dxa" w:w="2400"/>
            <w:shd w:fill="FFFFFF" w:val="clear"/>
            <w:tcMar>
              <w:top w:type="dxa" w:w="100"/>
              <w:left w:type="dxa" w:w="120"/>
              <w:bottom w:type="dxa" w:w="100"/>
              <w:right w:type="dxa" w:w="120"/>
            </w:tcMar>
            <w:vAlign w:val="center"/>
          </w:tcPr>
          <w:p>
            <w:r>
              <w:rPr>
                <w:b w:val="false"/>
                <w:bCs w:val="false"/>
                <w:color w:val="111111"/>
                <w:sz w:val="19"/>
                <w:szCs w:val="19"/>
              </w:rPr>
              <w:t xml:space="preserve">Charts</w:t>
            </w:r>
          </w:p>
        </w:tc>
        <w:tc>
          <w:tcPr>
            <w:tcW w:type="dxa" w:w="3900"/>
            <w:shd w:fill="FFFFFF" w:val="clear"/>
            <w:tcMar>
              <w:top w:type="dxa" w:w="100"/>
              <w:left w:type="dxa" w:w="120"/>
              <w:bottom w:type="dxa" w:w="100"/>
              <w:right w:type="dxa" w:w="120"/>
            </w:tcMar>
            <w:vAlign w:val="center"/>
          </w:tcPr>
          <w:p>
            <w:r>
              <w:rPr>
                <w:b w:val="false"/>
                <w:bCs w:val="false"/>
                <w:color w:val="111111"/>
                <w:sz w:val="19"/>
                <w:szCs w:val="19"/>
              </w:rPr>
              <w:t xml:space="preserve">Recharts</w:t>
            </w:r>
          </w:p>
        </w:tc>
        <w:tc>
          <w:tcPr>
            <w:tcW w:type="dxa" w:w="3000"/>
            <w:shd w:fill="FFFFFF" w:val="clear"/>
            <w:tcMar>
              <w:top w:type="dxa" w:w="100"/>
              <w:left w:type="dxa" w:w="120"/>
              <w:bottom w:type="dxa" w:w="100"/>
              <w:right w:type="dxa" w:w="120"/>
            </w:tcMar>
            <w:vAlign w:val="center"/>
          </w:tcPr>
          <w:p>
            <w:r>
              <w:rPr>
                <w:b w:val="false"/>
                <w:bCs w:val="false"/>
                <w:color w:val="111111"/>
                <w:sz w:val="19"/>
                <w:szCs w:val="19"/>
              </w:rPr>
              <w:t xml:space="preserve">Fine for dashboard KPI visualizations</w:t>
            </w:r>
          </w:p>
        </w:tc>
      </w:tr>
    </w:tbl>
    <w:p>
      <w:pPr>
        <w:pBdr>
          <w:left w:val="single" w:color="2563EB" w:sz="12" w:space="8"/>
        </w:pBdr>
        <w:spacing w:after="160"/>
        <w:ind w:left="100"/>
      </w:pPr>
      <w:r>
        <w:rPr>
          <w:b/>
          <w:bCs/>
          <w:i/>
          <w:iCs/>
          <w:color w:val="6B7280"/>
          <w:sz w:val="20"/>
          <w:szCs w:val="20"/>
        </w:rPr>
        <w:t xml:space="preserve">Assumption / open item: </w:t>
      </w:r>
      <w:r>
        <w:rPr>
          <w:i/>
          <w:iCs/>
          <w:color w:val="6B7280"/>
          <w:sz w:val="20"/>
          <w:szCs w:val="20"/>
        </w:rPr>
        <w:t xml:space="preserve">Confirm the exact Gemini or DeepSeek model string right before the build starts (e.g., a specific Gemini or DeepSeek release) — provider model names and available versions change often enough that a name picked today may be renamed or deprecated by the time this ships.</w:t>
      </w:r>
    </w:p>
    <w:p>
      <w:pPr>
        <w:pStyle w:val="Heading1"/>
        <w:spacing w:after="200" w:before="400"/>
      </w:pPr>
      <w:r>
        <w:t xml:space="preserve">12. Risks &amp; Open Questions</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700"/>
        <w:gridCol w:w="4000"/>
        <w:gridCol w:w="4600"/>
      </w:tblGrid>
      <w:tr>
        <w:trPr>
          <w:tblHeader/>
        </w:trPr>
        <w:tc>
          <w:tcPr>
            <w:tcW w:type="dxa" w:w="700"/>
            <w:shd w:fill="1F2937" w:val="clear"/>
            <w:tcMar>
              <w:top w:type="dxa" w:w="100"/>
              <w:left w:type="dxa" w:w="120"/>
              <w:bottom w:type="dxa" w:w="100"/>
              <w:right w:type="dxa" w:w="120"/>
            </w:tcMar>
            <w:vAlign w:val="center"/>
          </w:tcPr>
          <w:p>
            <w:r>
              <w:rPr>
                <w:b/>
                <w:bCs/>
                <w:color w:val="FFFFFF"/>
                <w:sz w:val="19"/>
                <w:szCs w:val="19"/>
              </w:rPr>
              <w:t xml:space="preserve">#</w:t>
            </w:r>
          </w:p>
        </w:tc>
        <w:tc>
          <w:tcPr>
            <w:tcW w:type="dxa" w:w="4000"/>
            <w:shd w:fill="1F2937" w:val="clear"/>
            <w:tcMar>
              <w:top w:type="dxa" w:w="100"/>
              <w:left w:type="dxa" w:w="120"/>
              <w:bottom w:type="dxa" w:w="100"/>
              <w:right w:type="dxa" w:w="120"/>
            </w:tcMar>
            <w:vAlign w:val="center"/>
          </w:tcPr>
          <w:p>
            <w:r>
              <w:rPr>
                <w:b/>
                <w:bCs/>
                <w:color w:val="FFFFFF"/>
                <w:sz w:val="19"/>
                <w:szCs w:val="19"/>
              </w:rPr>
              <w:t xml:space="preserve">Question / Risk</w:t>
            </w:r>
          </w:p>
        </w:tc>
        <w:tc>
          <w:tcPr>
            <w:tcW w:type="dxa" w:w="4600"/>
            <w:shd w:fill="1F2937" w:val="clear"/>
            <w:tcMar>
              <w:top w:type="dxa" w:w="100"/>
              <w:left w:type="dxa" w:w="120"/>
              <w:bottom w:type="dxa" w:w="100"/>
              <w:right w:type="dxa" w:w="120"/>
            </w:tcMar>
            <w:vAlign w:val="center"/>
          </w:tcPr>
          <w:p>
            <w:r>
              <w:rPr>
                <w:b/>
                <w:bCs/>
                <w:color w:val="FFFFFF"/>
                <w:sz w:val="19"/>
                <w:szCs w:val="19"/>
              </w:rPr>
              <w:t xml:space="preserve">Status</w:t>
            </w:r>
          </w:p>
        </w:tc>
      </w:tr>
      <w:tr>
        <w:tc>
          <w:tcPr>
            <w:tcW w:type="dxa" w:w="700"/>
            <w:shd w:fill="FFFFFF" w:val="clear"/>
            <w:tcMar>
              <w:top w:type="dxa" w:w="100"/>
              <w:left w:type="dxa" w:w="120"/>
              <w:bottom w:type="dxa" w:w="100"/>
              <w:right w:type="dxa" w:w="120"/>
            </w:tcMar>
            <w:vAlign w:val="center"/>
          </w:tcPr>
          <w:p>
            <w:r>
              <w:rPr>
                <w:b w:val="false"/>
                <w:bCs w:val="false"/>
                <w:color w:val="111111"/>
                <w:sz w:val="19"/>
                <w:szCs w:val="19"/>
              </w:rPr>
              <w:t xml:space="preserve">1</w:t>
            </w:r>
          </w:p>
        </w:tc>
        <w:tc>
          <w:tcPr>
            <w:tcW w:type="dxa" w:w="4000"/>
            <w:shd w:fill="FFFFFF" w:val="clear"/>
            <w:tcMar>
              <w:top w:type="dxa" w:w="100"/>
              <w:left w:type="dxa" w:w="120"/>
              <w:bottom w:type="dxa" w:w="100"/>
              <w:right w:type="dxa" w:w="120"/>
            </w:tcMar>
            <w:vAlign w:val="center"/>
          </w:tcPr>
          <w:p>
            <w:r>
              <w:rPr>
                <w:b w:val="false"/>
                <w:bCs w:val="false"/>
                <w:color w:val="111111"/>
                <w:sz w:val="19"/>
                <w:szCs w:val="19"/>
              </w:rPr>
              <w:t xml:space="preserve">Single-tenant or multi-tenant?</w:t>
            </w:r>
          </w:p>
        </w:tc>
        <w:tc>
          <w:tcPr>
            <w:tcW w:type="dxa" w:w="4600"/>
            <w:shd w:fill="FFFFFF" w:val="clear"/>
            <w:tcMar>
              <w:top w:type="dxa" w:w="100"/>
              <w:left w:type="dxa" w:w="120"/>
              <w:bottom w:type="dxa" w:w="100"/>
              <w:right w:type="dxa" w:w="120"/>
            </w:tcMar>
            <w:vAlign w:val="center"/>
          </w:tcPr>
          <w:p>
            <w:r>
              <w:rPr>
                <w:b w:val="false"/>
                <w:bCs w:val="false"/>
                <w:color w:val="111111"/>
                <w:sz w:val="19"/>
                <w:szCs w:val="19"/>
              </w:rPr>
              <w:t xml:space="preserve">Resolved — single retail company</w:t>
            </w:r>
          </w:p>
        </w:tc>
      </w:tr>
      <w:tr>
        <w:tc>
          <w:tcPr>
            <w:tcW w:type="dxa" w:w="700"/>
            <w:shd w:fill="FFFFFF" w:val="clear"/>
            <w:tcMar>
              <w:top w:type="dxa" w:w="100"/>
              <w:left w:type="dxa" w:w="120"/>
              <w:bottom w:type="dxa" w:w="100"/>
              <w:right w:type="dxa" w:w="120"/>
            </w:tcMar>
            <w:vAlign w:val="center"/>
          </w:tcPr>
          <w:p>
            <w:r>
              <w:rPr>
                <w:b w:val="false"/>
                <w:bCs w:val="false"/>
                <w:color w:val="111111"/>
                <w:sz w:val="19"/>
                <w:szCs w:val="19"/>
              </w:rPr>
              <w:t xml:space="preserve">2</w:t>
            </w:r>
          </w:p>
        </w:tc>
        <w:tc>
          <w:tcPr>
            <w:tcW w:type="dxa" w:w="4000"/>
            <w:shd w:fill="FFFFFF" w:val="clear"/>
            <w:tcMar>
              <w:top w:type="dxa" w:w="100"/>
              <w:left w:type="dxa" w:w="120"/>
              <w:bottom w:type="dxa" w:w="100"/>
              <w:right w:type="dxa" w:w="120"/>
            </w:tcMar>
            <w:vAlign w:val="center"/>
          </w:tcPr>
          <w:p>
            <w:r>
              <w:rPr>
                <w:b w:val="false"/>
                <w:bCs w:val="false"/>
                <w:color w:val="111111"/>
                <w:sz w:val="19"/>
                <w:szCs w:val="19"/>
              </w:rPr>
              <w:t xml:space="preserve">MVP data source?</w:t>
            </w:r>
          </w:p>
        </w:tc>
        <w:tc>
          <w:tcPr>
            <w:tcW w:type="dxa" w:w="4600"/>
            <w:shd w:fill="FFFFFF" w:val="clear"/>
            <w:tcMar>
              <w:top w:type="dxa" w:w="100"/>
              <w:left w:type="dxa" w:w="120"/>
              <w:bottom w:type="dxa" w:w="100"/>
              <w:right w:type="dxa" w:w="120"/>
            </w:tcMar>
            <w:vAlign w:val="center"/>
          </w:tcPr>
          <w:p>
            <w:r>
              <w:rPr>
                <w:b w:val="false"/>
                <w:bCs w:val="false"/>
                <w:color w:val="111111"/>
                <w:sz w:val="19"/>
                <w:szCs w:val="19"/>
              </w:rPr>
              <w:t xml:space="preserve">Resolved — dummy CSV/Excel data</w:t>
            </w:r>
          </w:p>
        </w:tc>
      </w:tr>
      <w:tr>
        <w:tc>
          <w:tcPr>
            <w:tcW w:type="dxa" w:w="700"/>
            <w:shd w:fill="FFFFFF" w:val="clear"/>
            <w:tcMar>
              <w:top w:type="dxa" w:w="100"/>
              <w:left w:type="dxa" w:w="120"/>
              <w:bottom w:type="dxa" w:w="100"/>
              <w:right w:type="dxa" w:w="120"/>
            </w:tcMar>
            <w:vAlign w:val="center"/>
          </w:tcPr>
          <w:p>
            <w:r>
              <w:rPr>
                <w:b w:val="false"/>
                <w:bCs w:val="false"/>
                <w:color w:val="111111"/>
                <w:sz w:val="19"/>
                <w:szCs w:val="19"/>
              </w:rPr>
              <w:t xml:space="preserve">3</w:t>
            </w:r>
          </w:p>
        </w:tc>
        <w:tc>
          <w:tcPr>
            <w:tcW w:type="dxa" w:w="4000"/>
            <w:shd w:fill="FFFFFF" w:val="clear"/>
            <w:tcMar>
              <w:top w:type="dxa" w:w="100"/>
              <w:left w:type="dxa" w:w="120"/>
              <w:bottom w:type="dxa" w:w="100"/>
              <w:right w:type="dxa" w:w="120"/>
            </w:tcMar>
            <w:vAlign w:val="center"/>
          </w:tcPr>
          <w:p>
            <w:r>
              <w:rPr>
                <w:b w:val="false"/>
                <w:bCs w:val="false"/>
                <w:color w:val="111111"/>
                <w:sz w:val="19"/>
                <w:szCs w:val="19"/>
              </w:rPr>
              <w:t xml:space="preserve">AI model/provider?</w:t>
            </w:r>
          </w:p>
        </w:tc>
        <w:tc>
          <w:tcPr>
            <w:tcW w:type="dxa" w:w="4600"/>
            <w:shd w:fill="FFFFFF" w:val="clear"/>
            <w:tcMar>
              <w:top w:type="dxa" w:w="100"/>
              <w:left w:type="dxa" w:w="120"/>
              <w:bottom w:type="dxa" w:w="100"/>
              <w:right w:type="dxa" w:w="120"/>
            </w:tcMar>
            <w:vAlign w:val="center"/>
          </w:tcPr>
          <w:p>
            <w:r>
              <w:rPr>
                <w:b w:val="false"/>
                <w:bCs w:val="false"/>
                <w:color w:val="111111"/>
                <w:sz w:val="19"/>
                <w:szCs w:val="19"/>
              </w:rPr>
              <w:t xml:space="preserve">Resolved direction — Gemini or DeepSeek; pin exact model name before build</w:t>
            </w:r>
          </w:p>
        </w:tc>
      </w:tr>
      <w:tr>
        <w:tc>
          <w:tcPr>
            <w:tcW w:type="dxa" w:w="700"/>
            <w:shd w:fill="FFFFFF" w:val="clear"/>
            <w:tcMar>
              <w:top w:type="dxa" w:w="100"/>
              <w:left w:type="dxa" w:w="120"/>
              <w:bottom w:type="dxa" w:w="100"/>
              <w:right w:type="dxa" w:w="120"/>
            </w:tcMar>
            <w:vAlign w:val="center"/>
          </w:tcPr>
          <w:p>
            <w:r>
              <w:rPr>
                <w:b w:val="false"/>
                <w:bCs w:val="false"/>
                <w:color w:val="111111"/>
                <w:sz w:val="19"/>
                <w:szCs w:val="19"/>
              </w:rPr>
              <w:t xml:space="preserve">4</w:t>
            </w:r>
          </w:p>
        </w:tc>
        <w:tc>
          <w:tcPr>
            <w:tcW w:type="dxa" w:w="4000"/>
            <w:shd w:fill="FFFFFF" w:val="clear"/>
            <w:tcMar>
              <w:top w:type="dxa" w:w="100"/>
              <w:left w:type="dxa" w:w="120"/>
              <w:bottom w:type="dxa" w:w="100"/>
              <w:right w:type="dxa" w:w="120"/>
            </w:tcMar>
            <w:vAlign w:val="center"/>
          </w:tcPr>
          <w:p>
            <w:r>
              <w:rPr>
                <w:b w:val="false"/>
                <w:bCs w:val="false"/>
                <w:color w:val="111111"/>
                <w:sz w:val="19"/>
                <w:szCs w:val="19"/>
              </w:rPr>
              <w:t xml:space="preserve">n8n's role?</w:t>
            </w:r>
          </w:p>
        </w:tc>
        <w:tc>
          <w:tcPr>
            <w:tcW w:type="dxa" w:w="4600"/>
            <w:shd w:fill="FFFFFF" w:val="clear"/>
            <w:tcMar>
              <w:top w:type="dxa" w:w="100"/>
              <w:left w:type="dxa" w:w="120"/>
              <w:bottom w:type="dxa" w:w="100"/>
              <w:right w:type="dxa" w:w="120"/>
            </w:tcMar>
            <w:vAlign w:val="center"/>
          </w:tcPr>
          <w:p>
            <w:r>
              <w:rPr>
                <w:b w:val="false"/>
                <w:bCs w:val="false"/>
                <w:color w:val="111111"/>
                <w:sz w:val="19"/>
                <w:szCs w:val="19"/>
              </w:rPr>
              <w:t xml:space="preserve">Resolved — dropped from MVP/demo scope</w:t>
            </w:r>
          </w:p>
        </w:tc>
      </w:tr>
      <w:tr>
        <w:tc>
          <w:tcPr>
            <w:tcW w:type="dxa" w:w="700"/>
            <w:shd w:fill="FFFFFF" w:val="clear"/>
            <w:tcMar>
              <w:top w:type="dxa" w:w="100"/>
              <w:left w:type="dxa" w:w="120"/>
              <w:bottom w:type="dxa" w:w="100"/>
              <w:right w:type="dxa" w:w="120"/>
            </w:tcMar>
            <w:vAlign w:val="center"/>
          </w:tcPr>
          <w:p>
            <w:r>
              <w:rPr>
                <w:b w:val="false"/>
                <w:bCs w:val="false"/>
                <w:color w:val="111111"/>
                <w:sz w:val="19"/>
                <w:szCs w:val="19"/>
              </w:rPr>
              <w:t xml:space="preserve">5</w:t>
            </w:r>
          </w:p>
        </w:tc>
        <w:tc>
          <w:tcPr>
            <w:tcW w:type="dxa" w:w="4000"/>
            <w:shd w:fill="FFFFFF" w:val="clear"/>
            <w:tcMar>
              <w:top w:type="dxa" w:w="100"/>
              <w:left w:type="dxa" w:w="120"/>
              <w:bottom w:type="dxa" w:w="100"/>
              <w:right w:type="dxa" w:w="120"/>
            </w:tcMar>
            <w:vAlign w:val="center"/>
          </w:tcPr>
          <w:p>
            <w:r>
              <w:rPr>
                <w:b w:val="false"/>
                <w:bCs w:val="false"/>
                <w:color w:val="111111"/>
                <w:sz w:val="19"/>
                <w:szCs w:val="19"/>
              </w:rPr>
              <w:t xml:space="preserve">PO approval threshold?</w:t>
            </w:r>
          </w:p>
        </w:tc>
        <w:tc>
          <w:tcPr>
            <w:tcW w:type="dxa" w:w="4600"/>
            <w:shd w:fill="FFFFFF" w:val="clear"/>
            <w:tcMar>
              <w:top w:type="dxa" w:w="100"/>
              <w:left w:type="dxa" w:w="120"/>
              <w:bottom w:type="dxa" w:w="100"/>
              <w:right w:type="dxa" w:w="120"/>
            </w:tcMar>
            <w:vAlign w:val="center"/>
          </w:tcPr>
          <w:p>
            <w:r>
              <w:rPr>
                <w:b w:val="false"/>
                <w:bCs w:val="false"/>
                <w:color w:val="111111"/>
                <w:sz w:val="19"/>
                <w:szCs w:val="19"/>
              </w:rPr>
              <w:t xml:space="preserve">Recommended default set — single-tier, Procurement Manager approves directly (§6.1)</w:t>
            </w:r>
          </w:p>
        </w:tc>
      </w:tr>
      <w:tr>
        <w:tc>
          <w:tcPr>
            <w:tcW w:type="dxa" w:w="700"/>
            <w:shd w:fill="FFFFFF" w:val="clear"/>
            <w:tcMar>
              <w:top w:type="dxa" w:w="100"/>
              <w:left w:type="dxa" w:w="120"/>
              <w:bottom w:type="dxa" w:w="100"/>
              <w:right w:type="dxa" w:w="120"/>
            </w:tcMar>
            <w:vAlign w:val="center"/>
          </w:tcPr>
          <w:p>
            <w:r>
              <w:rPr>
                <w:b w:val="false"/>
                <w:bCs w:val="false"/>
                <w:color w:val="111111"/>
                <w:sz w:val="19"/>
                <w:szCs w:val="19"/>
              </w:rPr>
              <w:t xml:space="preserve">6</w:t>
            </w:r>
          </w:p>
        </w:tc>
        <w:tc>
          <w:tcPr>
            <w:tcW w:type="dxa" w:w="4000"/>
            <w:shd w:fill="FFFFFF" w:val="clear"/>
            <w:tcMar>
              <w:top w:type="dxa" w:w="100"/>
              <w:left w:type="dxa" w:w="120"/>
              <w:bottom w:type="dxa" w:w="100"/>
              <w:right w:type="dxa" w:w="120"/>
            </w:tcMar>
            <w:vAlign w:val="center"/>
          </w:tcPr>
          <w:p>
            <w:r>
              <w:rPr>
                <w:b w:val="false"/>
                <w:bCs w:val="false"/>
                <w:color w:val="111111"/>
                <w:sz w:val="19"/>
                <w:szCs w:val="19"/>
              </w:rPr>
              <w:t xml:space="preserve">Timeline and budget?</w:t>
            </w:r>
          </w:p>
        </w:tc>
        <w:tc>
          <w:tcPr>
            <w:tcW w:type="dxa" w:w="4600"/>
            <w:shd w:fill="FFFFFF" w:val="clear"/>
            <w:tcMar>
              <w:top w:type="dxa" w:w="100"/>
              <w:left w:type="dxa" w:w="120"/>
              <w:bottom w:type="dxa" w:w="100"/>
              <w:right w:type="dxa" w:w="120"/>
            </w:tcMar>
            <w:vAlign w:val="center"/>
          </w:tcPr>
          <w:p>
            <w:r>
              <w:rPr>
                <w:b w:val="false"/>
                <w:bCs w:val="false"/>
                <w:color w:val="111111"/>
                <w:sz w:val="19"/>
                <w:szCs w:val="19"/>
              </w:rPr>
              <w:t xml:space="preserve">Resolved — 1–2 days; scope narrowed accordingly (§4.5)</w:t>
            </w:r>
          </w:p>
        </w:tc>
      </w:tr>
      <w:tr>
        <w:tc>
          <w:tcPr>
            <w:tcW w:type="dxa" w:w="700"/>
            <w:shd w:fill="FFFFFF" w:val="clear"/>
            <w:tcMar>
              <w:top w:type="dxa" w:w="100"/>
              <w:left w:type="dxa" w:w="120"/>
              <w:bottom w:type="dxa" w:w="100"/>
              <w:right w:type="dxa" w:w="120"/>
            </w:tcMar>
            <w:vAlign w:val="center"/>
          </w:tcPr>
          <w:p>
            <w:r>
              <w:rPr>
                <w:b w:val="false"/>
                <w:bCs w:val="false"/>
                <w:color w:val="111111"/>
                <w:sz w:val="19"/>
                <w:szCs w:val="19"/>
              </w:rPr>
              <w:t xml:space="preserve">7</w:t>
            </w:r>
          </w:p>
        </w:tc>
        <w:tc>
          <w:tcPr>
            <w:tcW w:type="dxa" w:w="4000"/>
            <w:shd w:fill="FFFFFF" w:val="clear"/>
            <w:tcMar>
              <w:top w:type="dxa" w:w="100"/>
              <w:left w:type="dxa" w:w="120"/>
              <w:bottom w:type="dxa" w:w="100"/>
              <w:right w:type="dxa" w:w="120"/>
            </w:tcMar>
            <w:vAlign w:val="center"/>
          </w:tcPr>
          <w:p>
            <w:r>
              <w:rPr>
                <w:b w:val="false"/>
                <w:bCs w:val="false"/>
                <w:color w:val="111111"/>
                <w:sz w:val="19"/>
                <w:szCs w:val="19"/>
              </w:rPr>
              <w:t xml:space="preserve">Data volume / scale target?</w:t>
            </w:r>
          </w:p>
        </w:tc>
        <w:tc>
          <w:tcPr>
            <w:tcW w:type="dxa" w:w="4600"/>
            <w:shd w:fill="FFFFFF" w:val="clear"/>
            <w:tcMar>
              <w:top w:type="dxa" w:w="100"/>
              <w:left w:type="dxa" w:w="120"/>
              <w:bottom w:type="dxa" w:w="100"/>
              <w:right w:type="dxa" w:w="120"/>
            </w:tcMar>
            <w:vAlign w:val="center"/>
          </w:tcPr>
          <w:p>
            <w:r>
              <w:rPr>
                <w:b w:val="false"/>
                <w:bCs w:val="false"/>
                <w:color w:val="111111"/>
                <w:sz w:val="19"/>
                <w:szCs w:val="19"/>
              </w:rPr>
              <w:t xml:space="preserve">Still open — 1M+ users stated, but needs clarification on whether that's internal staff or future customer-facing use (§8.1). This is the one item that materially affects architecture and should be confirmed before writing any code.</w:t>
            </w:r>
          </w:p>
        </w:tc>
      </w:tr>
    </w:tbl>
    <w:p>
      <w:pPr>
        <w:pStyle w:val="Heading1"/>
        <w:spacing w:after="200" w:before="400"/>
      </w:pPr>
      <w:r>
        <w:t xml:space="preserve">13. Phased Roadmap</w:t>
      </w:r>
    </w:p>
    <w:p>
      <w:pPr>
        <w:pStyle w:val="Heading2"/>
        <w:spacing w:after="120" w:before="260"/>
      </w:pPr>
      <w:r>
        <w:t xml:space="preserve">Phase 1 — MVP</w:t>
      </w:r>
    </w:p>
    <w:p>
      <w:pPr>
        <w:pStyle w:val="ListParagraph"/>
        <w:numPr>
          <w:ilvl w:val="0"/>
          <w:numId w:val="2"/>
        </w:numPr>
        <w:spacing w:after="80"/>
      </w:pPr>
      <w:r>
        <w:t xml:space="preserve">Auth + RBAC, Inventory, Suppliers, Purchase Orders, Shipments (manual/CSV data)</w:t>
      </w:r>
    </w:p>
    <w:p>
      <w:pPr>
        <w:pStyle w:val="ListParagraph"/>
        <w:numPr>
          <w:ilvl w:val="0"/>
          <w:numId w:val="2"/>
        </w:numPr>
        <w:spacing w:after="80"/>
      </w:pPr>
      <w:r>
        <w:t xml:space="preserve">AI Copilot chat scoped to entered data, with citations</w:t>
      </w:r>
    </w:p>
    <w:p>
      <w:pPr>
        <w:pStyle w:val="ListParagraph"/>
        <w:numPr>
          <w:ilvl w:val="0"/>
          <w:numId w:val="2"/>
        </w:numPr>
        <w:spacing w:after="80"/>
      </w:pPr>
      <w:r>
        <w:t xml:space="preserve">AI-assisted PO drafting with mandatory human approval</w:t>
      </w:r>
    </w:p>
    <w:p>
      <w:pPr>
        <w:pStyle w:val="ListParagraph"/>
        <w:numPr>
          <w:ilvl w:val="0"/>
          <w:numId w:val="2"/>
        </w:numPr>
        <w:spacing w:after="80"/>
      </w:pPr>
      <w:r>
        <w:t xml:space="preserve">Dashboard, reports export (PDF/Excel), in-app alerts, audit log</w:t>
      </w:r>
    </w:p>
    <w:p>
      <w:pPr>
        <w:pStyle w:val="Heading2"/>
        <w:spacing w:after="120" w:before="260"/>
      </w:pPr>
      <w:r>
        <w:t xml:space="preserve">Phase 2 — Automation &amp; Intelligence</w:t>
      </w:r>
    </w:p>
    <w:p>
      <w:pPr>
        <w:pStyle w:val="ListParagraph"/>
        <w:numPr>
          <w:ilvl w:val="0"/>
          <w:numId w:val="2"/>
        </w:numPr>
        <w:spacing w:after="80"/>
      </w:pPr>
      <w:r>
        <w:t xml:space="preserve">Predictive shortage modeling (real ML forecasting, not rule-based)</w:t>
      </w:r>
    </w:p>
    <w:p>
      <w:pPr>
        <w:pStyle w:val="ListParagraph"/>
        <w:numPr>
          <w:ilvl w:val="0"/>
          <w:numId w:val="2"/>
        </w:numPr>
        <w:spacing w:after="80"/>
      </w:pPr>
      <w:r>
        <w:t xml:space="preserve">Email/Teams/Slack notifications</w:t>
      </w:r>
    </w:p>
    <w:p>
      <w:pPr>
        <w:pStyle w:val="ListParagraph"/>
        <w:numPr>
          <w:ilvl w:val="0"/>
          <w:numId w:val="2"/>
        </w:numPr>
        <w:spacing w:after="80"/>
      </w:pPr>
      <w:r>
        <w:t xml:space="preserve">Scheduled automated reports</w:t>
      </w:r>
    </w:p>
    <w:p>
      <w:pPr>
        <w:pStyle w:val="ListParagraph"/>
        <w:numPr>
          <w:ilvl w:val="0"/>
          <w:numId w:val="2"/>
        </w:numPr>
        <w:spacing w:after="80"/>
      </w:pPr>
      <w:r>
        <w:t xml:space="preserve">n8n-driven workflow automation (once its role is defined)</w:t>
      </w:r>
    </w:p>
    <w:p>
      <w:pPr>
        <w:pStyle w:val="Heading2"/>
        <w:spacing w:after="120" w:before="260"/>
      </w:pPr>
      <w:r>
        <w:t xml:space="preserve">Phase 3 — Enterprise Integration</w:t>
      </w:r>
    </w:p>
    <w:p>
      <w:pPr>
        <w:pStyle w:val="ListParagraph"/>
        <w:numPr>
          <w:ilvl w:val="0"/>
          <w:numId w:val="2"/>
        </w:numPr>
        <w:spacing w:after="80"/>
      </w:pPr>
      <w:r>
        <w:t xml:space="preserve">ERP integration (SAP / Oracle / Dynamics)</w:t>
      </w:r>
    </w:p>
    <w:p>
      <w:pPr>
        <w:pStyle w:val="ListParagraph"/>
        <w:numPr>
          <w:ilvl w:val="0"/>
          <w:numId w:val="2"/>
        </w:numPr>
        <w:spacing w:after="80"/>
      </w:pPr>
      <w:r>
        <w:t xml:space="preserve">WMS integration</w:t>
      </w:r>
    </w:p>
    <w:p>
      <w:pPr>
        <w:pStyle w:val="ListParagraph"/>
        <w:numPr>
          <w:ilvl w:val="0"/>
          <w:numId w:val="2"/>
        </w:numPr>
        <w:spacing w:after="80"/>
      </w:pPr>
      <w:r>
        <w:t xml:space="preserve">Supplier API/EDI connections</w:t>
      </w:r>
    </w:p>
    <w:p>
      <w:pPr>
        <w:pStyle w:val="ListParagraph"/>
        <w:numPr>
          <w:ilvl w:val="0"/>
          <w:numId w:val="2"/>
        </w:numPr>
        <w:spacing w:after="80"/>
      </w:pPr>
      <w:r>
        <w:t xml:space="preserve">BI platform connectors</w:t>
      </w:r>
    </w:p>
    <w:p>
      <w:pPr>
        <w:pStyle w:val="Heading1"/>
        <w:spacing w:after="200" w:before="400"/>
      </w:pPr>
      <w:r>
        <w:t xml:space="preserve">14. Future Integrations (Reference)</w:t>
      </w:r>
    </w:p>
    <w:p>
      <w:pPr>
        <w:pStyle w:val="ListParagraph"/>
        <w:numPr>
          <w:ilvl w:val="0"/>
          <w:numId w:val="2"/>
        </w:numPr>
        <w:spacing w:after="80"/>
      </w:pPr>
      <w:r>
        <w:t xml:space="preserve">ERP: SAP, Oracle, Microsoft Dynamics</w:t>
      </w:r>
    </w:p>
    <w:p>
      <w:pPr>
        <w:pStyle w:val="ListParagraph"/>
        <w:numPr>
          <w:ilvl w:val="0"/>
          <w:numId w:val="2"/>
        </w:numPr>
        <w:spacing w:after="80"/>
      </w:pPr>
      <w:r>
        <w:t xml:space="preserve">Warehouse Management System (WMS)</w:t>
      </w:r>
    </w:p>
    <w:p>
      <w:pPr>
        <w:pStyle w:val="ListParagraph"/>
        <w:numPr>
          <w:ilvl w:val="0"/>
          <w:numId w:val="2"/>
        </w:numPr>
        <w:spacing w:after="80"/>
      </w:pPr>
      <w:r>
        <w:t xml:space="preserve">Supplier APIs / EDI</w:t>
      </w:r>
    </w:p>
    <w:p>
      <w:pPr>
        <w:pStyle w:val="ListParagraph"/>
        <w:numPr>
          <w:ilvl w:val="0"/>
          <w:numId w:val="2"/>
        </w:numPr>
        <w:spacing w:after="80"/>
      </w:pPr>
      <w:r>
        <w:t xml:space="preserve">Email / Microsoft Teams / Slack</w:t>
      </w:r>
    </w:p>
    <w:p>
      <w:pPr>
        <w:pStyle w:val="ListParagraph"/>
        <w:numPr>
          <w:ilvl w:val="0"/>
          <w:numId w:val="2"/>
        </w:numPr>
        <w:spacing w:after="80"/>
      </w:pPr>
      <w:r>
        <w:t xml:space="preserve">BI platforms (Power BI, Tableau, Looker)</w:t>
      </w:r>
    </w:p>
    <w:p>
      <w:pPr>
        <w:pStyle w:val="Heading1"/>
        <w:spacing w:after="200" w:before="400"/>
      </w:pPr>
      <w:r>
        <w:t xml:space="preserve">15. Glossary</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2400"/>
        <w:gridCol w:w="6900"/>
      </w:tblGrid>
      <w:tr>
        <w:trPr>
          <w:tblHeader/>
        </w:trPr>
        <w:tc>
          <w:tcPr>
            <w:tcW w:type="dxa" w:w="2400"/>
            <w:shd w:fill="1F2937" w:val="clear"/>
            <w:tcMar>
              <w:top w:type="dxa" w:w="100"/>
              <w:left w:type="dxa" w:w="120"/>
              <w:bottom w:type="dxa" w:w="100"/>
              <w:right w:type="dxa" w:w="120"/>
            </w:tcMar>
            <w:vAlign w:val="center"/>
          </w:tcPr>
          <w:p>
            <w:r>
              <w:rPr>
                <w:b/>
                <w:bCs/>
                <w:color w:val="FFFFFF"/>
                <w:sz w:val="19"/>
                <w:szCs w:val="19"/>
              </w:rPr>
              <w:t xml:space="preserve">Term</w:t>
            </w:r>
          </w:p>
        </w:tc>
        <w:tc>
          <w:tcPr>
            <w:tcW w:type="dxa" w:w="6900"/>
            <w:shd w:fill="1F2937" w:val="clear"/>
            <w:tcMar>
              <w:top w:type="dxa" w:w="100"/>
              <w:left w:type="dxa" w:w="120"/>
              <w:bottom w:type="dxa" w:w="100"/>
              <w:right w:type="dxa" w:w="120"/>
            </w:tcMar>
            <w:vAlign w:val="center"/>
          </w:tcPr>
          <w:p>
            <w:r>
              <w:rPr>
                <w:b/>
                <w:bCs/>
                <w:color w:val="FFFFFF"/>
                <w:sz w:val="19"/>
                <w:szCs w:val="19"/>
              </w:rPr>
              <w:t xml:space="preserve">Definition</w:t>
            </w:r>
          </w:p>
        </w:tc>
      </w:tr>
      <w:tr>
        <w:tc>
          <w:tcPr>
            <w:tcW w:type="dxa" w:w="2400"/>
            <w:shd w:fill="FFFFFF" w:val="clear"/>
            <w:tcMar>
              <w:top w:type="dxa" w:w="100"/>
              <w:left w:type="dxa" w:w="120"/>
              <w:bottom w:type="dxa" w:w="100"/>
              <w:right w:type="dxa" w:w="120"/>
            </w:tcMar>
            <w:vAlign w:val="center"/>
          </w:tcPr>
          <w:p>
            <w:r>
              <w:rPr>
                <w:b w:val="false"/>
                <w:bCs w:val="false"/>
                <w:color w:val="111111"/>
                <w:sz w:val="19"/>
                <w:szCs w:val="19"/>
              </w:rPr>
              <w:t xml:space="preserve">OTIF</w:t>
            </w:r>
          </w:p>
        </w:tc>
        <w:tc>
          <w:tcPr>
            <w:tcW w:type="dxa" w:w="6900"/>
            <w:shd w:fill="FFFFFF" w:val="clear"/>
            <w:tcMar>
              <w:top w:type="dxa" w:w="100"/>
              <w:left w:type="dxa" w:w="120"/>
              <w:bottom w:type="dxa" w:w="100"/>
              <w:right w:type="dxa" w:w="120"/>
            </w:tcMar>
            <w:vAlign w:val="center"/>
          </w:tcPr>
          <w:p>
            <w:r>
              <w:rPr>
                <w:b w:val="false"/>
                <w:bCs w:val="false"/>
                <w:color w:val="111111"/>
                <w:sz w:val="19"/>
                <w:szCs w:val="19"/>
              </w:rPr>
              <w:t xml:space="preserve">On-Time-In-Full — % of orders delivered complete and on schedule</w:t>
            </w:r>
          </w:p>
        </w:tc>
      </w:tr>
      <w:tr>
        <w:tc>
          <w:tcPr>
            <w:tcW w:type="dxa" w:w="2400"/>
            <w:shd w:fill="FFFFFF" w:val="clear"/>
            <w:tcMar>
              <w:top w:type="dxa" w:w="100"/>
              <w:left w:type="dxa" w:w="120"/>
              <w:bottom w:type="dxa" w:w="100"/>
              <w:right w:type="dxa" w:w="120"/>
            </w:tcMar>
            <w:vAlign w:val="center"/>
          </w:tcPr>
          <w:p>
            <w:r>
              <w:rPr>
                <w:b w:val="false"/>
                <w:bCs w:val="false"/>
                <w:color w:val="111111"/>
                <w:sz w:val="19"/>
                <w:szCs w:val="19"/>
              </w:rPr>
              <w:t xml:space="preserve">RBAC</w:t>
            </w:r>
          </w:p>
        </w:tc>
        <w:tc>
          <w:tcPr>
            <w:tcW w:type="dxa" w:w="6900"/>
            <w:shd w:fill="FFFFFF" w:val="clear"/>
            <w:tcMar>
              <w:top w:type="dxa" w:w="100"/>
              <w:left w:type="dxa" w:w="120"/>
              <w:bottom w:type="dxa" w:w="100"/>
              <w:right w:type="dxa" w:w="120"/>
            </w:tcMar>
            <w:vAlign w:val="center"/>
          </w:tcPr>
          <w:p>
            <w:r>
              <w:rPr>
                <w:b w:val="false"/>
                <w:bCs w:val="false"/>
                <w:color w:val="111111"/>
                <w:sz w:val="19"/>
                <w:szCs w:val="19"/>
              </w:rPr>
              <w:t xml:space="preserve">Role-Based Access Control</w:t>
            </w:r>
          </w:p>
        </w:tc>
      </w:tr>
      <w:tr>
        <w:tc>
          <w:tcPr>
            <w:tcW w:type="dxa" w:w="2400"/>
            <w:shd w:fill="FFFFFF" w:val="clear"/>
            <w:tcMar>
              <w:top w:type="dxa" w:w="100"/>
              <w:left w:type="dxa" w:w="120"/>
              <w:bottom w:type="dxa" w:w="100"/>
              <w:right w:type="dxa" w:w="120"/>
            </w:tcMar>
            <w:vAlign w:val="center"/>
          </w:tcPr>
          <w:p>
            <w:r>
              <w:rPr>
                <w:b w:val="false"/>
                <w:bCs w:val="false"/>
                <w:color w:val="111111"/>
                <w:sz w:val="19"/>
                <w:szCs w:val="19"/>
              </w:rPr>
              <w:t xml:space="preserve">SKU</w:t>
            </w:r>
          </w:p>
        </w:tc>
        <w:tc>
          <w:tcPr>
            <w:tcW w:type="dxa" w:w="6900"/>
            <w:shd w:fill="FFFFFF" w:val="clear"/>
            <w:tcMar>
              <w:top w:type="dxa" w:w="100"/>
              <w:left w:type="dxa" w:w="120"/>
              <w:bottom w:type="dxa" w:w="100"/>
              <w:right w:type="dxa" w:w="120"/>
            </w:tcMar>
            <w:vAlign w:val="center"/>
          </w:tcPr>
          <w:p>
            <w:r>
              <w:rPr>
                <w:b w:val="false"/>
                <w:bCs w:val="false"/>
                <w:color w:val="111111"/>
                <w:sz w:val="19"/>
                <w:szCs w:val="19"/>
              </w:rPr>
              <w:t xml:space="preserve">Stock-Keeping Unit — a unique inventory item identifier</w:t>
            </w:r>
          </w:p>
        </w:tc>
      </w:tr>
      <w:tr>
        <w:tc>
          <w:tcPr>
            <w:tcW w:type="dxa" w:w="2400"/>
            <w:shd w:fill="FFFFFF" w:val="clear"/>
            <w:tcMar>
              <w:top w:type="dxa" w:w="100"/>
              <w:left w:type="dxa" w:w="120"/>
              <w:bottom w:type="dxa" w:w="100"/>
              <w:right w:type="dxa" w:w="120"/>
            </w:tcMar>
            <w:vAlign w:val="center"/>
          </w:tcPr>
          <w:p>
            <w:r>
              <w:rPr>
                <w:b w:val="false"/>
                <w:bCs w:val="false"/>
                <w:color w:val="111111"/>
                <w:sz w:val="19"/>
                <w:szCs w:val="19"/>
              </w:rPr>
              <w:t xml:space="preserve">PO</w:t>
            </w:r>
          </w:p>
        </w:tc>
        <w:tc>
          <w:tcPr>
            <w:tcW w:type="dxa" w:w="6900"/>
            <w:shd w:fill="FFFFFF" w:val="clear"/>
            <w:tcMar>
              <w:top w:type="dxa" w:w="100"/>
              <w:left w:type="dxa" w:w="120"/>
              <w:bottom w:type="dxa" w:w="100"/>
              <w:right w:type="dxa" w:w="120"/>
            </w:tcMar>
            <w:vAlign w:val="center"/>
          </w:tcPr>
          <w:p>
            <w:r>
              <w:rPr>
                <w:b w:val="false"/>
                <w:bCs w:val="false"/>
                <w:color w:val="111111"/>
                <w:sz w:val="19"/>
                <w:szCs w:val="19"/>
              </w:rPr>
              <w:t xml:space="preserve">Purchase Order</w:t>
            </w:r>
          </w:p>
        </w:tc>
      </w:tr>
      <w:tr>
        <w:tc>
          <w:tcPr>
            <w:tcW w:type="dxa" w:w="2400"/>
            <w:shd w:fill="FFFFFF" w:val="clear"/>
            <w:tcMar>
              <w:top w:type="dxa" w:w="100"/>
              <w:left w:type="dxa" w:w="120"/>
              <w:bottom w:type="dxa" w:w="100"/>
              <w:right w:type="dxa" w:w="120"/>
            </w:tcMar>
            <w:vAlign w:val="center"/>
          </w:tcPr>
          <w:p>
            <w:r>
              <w:rPr>
                <w:b w:val="false"/>
                <w:bCs w:val="false"/>
                <w:color w:val="111111"/>
                <w:sz w:val="19"/>
                <w:szCs w:val="19"/>
              </w:rPr>
              <w:t xml:space="preserve">MVP</w:t>
            </w:r>
          </w:p>
        </w:tc>
        <w:tc>
          <w:tcPr>
            <w:tcW w:type="dxa" w:w="6900"/>
            <w:shd w:fill="FFFFFF" w:val="clear"/>
            <w:tcMar>
              <w:top w:type="dxa" w:w="100"/>
              <w:left w:type="dxa" w:w="120"/>
              <w:bottom w:type="dxa" w:w="100"/>
              <w:right w:type="dxa" w:w="120"/>
            </w:tcMar>
            <w:vAlign w:val="center"/>
          </w:tcPr>
          <w:p>
            <w:r>
              <w:rPr>
                <w:b w:val="false"/>
                <w:bCs w:val="false"/>
                <w:color w:val="111111"/>
                <w:sz w:val="19"/>
                <w:szCs w:val="19"/>
              </w:rPr>
              <w:t xml:space="preserve">Minimum Viable Product — the Phase 1 scope in this document</w:t>
            </w:r>
          </w:p>
        </w:tc>
      </w:tr>
    </w:tbl>
    <w:p>
      <w:r>
        <w:br w:type="page"/>
      </w:r>
    </w:p>
    <w:p>
      <w:pPr>
        <w:pStyle w:val="Heading1"/>
        <w:spacing w:after="200" w:before="400"/>
      </w:pPr>
      <w:r>
        <w:t xml:space="preserve">14. Appendix — Demo Build Additions (v3)</w:t>
      </w:r>
    </w:p>
    <w:p>
      <w:pPr>
        <w:spacing w:after="160"/>
      </w:pPr>
      <w:r>
        <w:t xml:space="preserve">This appendix adds three build-ready artifacts on top of v2.0, scoped to what the confirmed 1–2 day demo (§4.5) actually needs: user stories for the single demo role, a process flow for the highest-impact AI use case, and acceptance criteria for the three demo-scope modules. Broader additions raised during review — full architecture diagrams, an ERD, dashboard wireframes, and screen mockups — are intentionally left out of this version; they serve a later-stage client presentation, not a 48-hour build, and are better produced after the demo once there is real feedback to design against.</w:t>
      </w:r>
    </w:p>
    <w:p>
      <w:pPr>
        <w:pStyle w:val="Heading2"/>
        <w:spacing w:after="120" w:before="260"/>
      </w:pPr>
      <w:r>
        <w:t xml:space="preserve">14.1 User Stories — Demo Role (Supply Chain / Procurement Manager, combined per §4.5)</w:t>
      </w:r>
    </w:p>
    <w:p>
      <w:pPr>
        <w:pStyle w:val="ListParagraph"/>
        <w:numPr>
          <w:ilvl w:val="0"/>
          <w:numId w:val="3"/>
        </w:numPr>
        <w:spacing w:after="100"/>
      </w:pPr>
      <w:r>
        <w:t xml:space="preserve">As the Supply Chain/Procurement Manager, I want low-stock items flagged automatically on the dashboard, so that I don't have to check inventory manually every day.</w:t>
      </w:r>
    </w:p>
    <w:p>
      <w:pPr>
        <w:pStyle w:val="ListParagraph"/>
        <w:numPr>
          <w:ilvl w:val="0"/>
          <w:numId w:val="3"/>
        </w:numPr>
        <w:spacing w:after="100"/>
      </w:pPr>
      <w:r>
        <w:t xml:space="preserve">As the Supply Chain/Procurement Manager, I want the AI Copilot to narrate supplier scorecards in plain language, so that I can judge which suppliers need attention without reading raw scores.</w:t>
      </w:r>
    </w:p>
    <w:p>
      <w:pPr>
        <w:pStyle w:val="ListParagraph"/>
        <w:numPr>
          <w:ilvl w:val="0"/>
          <w:numId w:val="3"/>
        </w:numPr>
        <w:spacing w:after="100"/>
      </w:pPr>
      <w:r>
        <w:t xml:space="preserve">As the Supply Chain/Procurement Manager, I want to ask the AI Copilot natural-language questions about inventory and suppliers, so that I get answers without building a report myself.</w:t>
      </w:r>
    </w:p>
    <w:p>
      <w:pPr>
        <w:pStyle w:val="ListParagraph"/>
        <w:numPr>
          <w:ilvl w:val="0"/>
          <w:numId w:val="3"/>
        </w:numPr>
        <w:spacing w:after="100"/>
      </w:pPr>
      <w:r>
        <w:t xml:space="preserve">As the Supply Chain/Procurement Manager, I want the AI to draft a purchase order for a low-stock item, so that I spend less time creating a repetitive document from scratch.</w:t>
      </w:r>
    </w:p>
    <w:p>
      <w:pPr>
        <w:pStyle w:val="ListParagraph"/>
        <w:numPr>
          <w:ilvl w:val="0"/>
          <w:numId w:val="3"/>
        </w:numPr>
        <w:spacing w:after="100"/>
      </w:pPr>
      <w:r>
        <w:t xml:space="preserve">As the Supply Chain/Procurement Manager, I want to review and edit an AI-drafted PO before it's issued, so that I stay in control of what actually gets ordered.</w:t>
      </w:r>
    </w:p>
    <w:p>
      <w:pPr>
        <w:pStyle w:val="ListParagraph"/>
        <w:numPr>
          <w:ilvl w:val="0"/>
          <w:numId w:val="3"/>
        </w:numPr>
        <w:spacing w:after="100"/>
      </w:pPr>
      <w:r>
        <w:t xml:space="preserve">As the Supply Chain/Procurement Manager, I want every AI-drafted PO and chat answer to show its source data, so that I can trust the numbers before I act on them.</w:t>
      </w:r>
    </w:p>
    <w:p>
      <w:pPr>
        <w:pStyle w:val="Heading2"/>
        <w:spacing w:after="120" w:before="260"/>
      </w:pPr>
      <w:r>
        <w:t xml:space="preserve">14.2 Process Flow — AI-Assisted PO Drafting</w:t>
      </w:r>
    </w:p>
    <w:p>
      <w:pPr>
        <w:spacing w:after="160"/>
      </w:pPr>
      <w:r>
        <w:t xml:space="preserve">This is the single highest-impact flow for the demo (per §4.5) and the one most worth walking through live. It reflects the guardrail already defined in §6: the AI drafts, a human always approves.</w:t>
      </w:r>
    </w:p>
    <w:p>
      <w:pPr>
        <w:spacing w:after="0"/>
        <w:jc w:val="center"/>
      </w:pPr>
      <w:r>
        <w:rPr>
          <w:rFonts w:ascii="Consolas" w:hAnsi="Consolas"/>
          <w:b/>
          <w:bCs/>
          <w:sz w:val="18"/>
          <w:szCs w:val="18"/>
          <w:color w:val="2563EB"/>
        </w:rPr>
        <w:t xml:space="preserve">Inventory item drops to or below reorder_threshold</w:t>
      </w:r>
    </w:p>
    <w:p>
      <w:pPr>
        <w:spacing w:after="0"/>
        <w:jc w:val="center"/>
      </w:pPr>
      <w:r>
        <w:rPr>
          <w:rFonts w:ascii="Consolas" w:hAnsi="Consolas"/>
          <w:sz w:val="18"/>
          <w:szCs w:val="18"/>
          <w:color w:val="1F2937"/>
        </w:rPr>
        <w:t xml:space="preserve">↓</w:t>
      </w:r>
    </w:p>
    <w:p>
      <w:pPr>
        <w:spacing w:after="0"/>
        <w:jc w:val="center"/>
      </w:pPr>
      <w:r>
        <w:rPr>
          <w:rFonts w:ascii="Consolas" w:hAnsi="Consolas"/>
          <w:b/>
          <w:bCs/>
          <w:sz w:val="18"/>
          <w:szCs w:val="18"/>
          <w:color w:val="2563EB"/>
        </w:rPr>
        <w:t xml:space="preserve">System auto-classifies the SKU as Low / Critical (§7.3)</w:t>
      </w:r>
    </w:p>
    <w:p>
      <w:pPr>
        <w:spacing w:after="0"/>
        <w:jc w:val="center"/>
      </w:pPr>
      <w:r>
        <w:rPr>
          <w:rFonts w:ascii="Consolas" w:hAnsi="Consolas"/>
          <w:sz w:val="18"/>
          <w:szCs w:val="18"/>
          <w:color w:val="1F2937"/>
        </w:rPr>
        <w:t xml:space="preserve">↓</w:t>
      </w:r>
    </w:p>
    <w:p>
      <w:pPr>
        <w:spacing w:after="0"/>
        <w:jc w:val="center"/>
      </w:pPr>
      <w:r>
        <w:rPr>
          <w:rFonts w:ascii="Consolas" w:hAnsi="Consolas"/>
          <w:b/>
          <w:bCs/>
          <w:sz w:val="18"/>
          <w:szCs w:val="18"/>
          <w:color w:val="2563EB"/>
        </w:rPr>
        <w:t xml:space="preserve">In-app alert surfaces on the dashboard</w:t>
      </w:r>
    </w:p>
    <w:p>
      <w:pPr>
        <w:spacing w:after="0"/>
        <w:jc w:val="center"/>
      </w:pPr>
      <w:r>
        <w:rPr>
          <w:rFonts w:ascii="Consolas" w:hAnsi="Consolas"/>
          <w:sz w:val="18"/>
          <w:szCs w:val="18"/>
          <w:color w:val="1F2937"/>
        </w:rPr>
        <w:t xml:space="preserve">↓</w:t>
      </w:r>
    </w:p>
    <w:p>
      <w:pPr>
        <w:spacing w:after="0"/>
        <w:jc w:val="center"/>
      </w:pPr>
      <w:r>
        <w:rPr>
          <w:rFonts w:ascii="Consolas" w:hAnsi="Consolas"/>
          <w:b/>
          <w:bCs/>
          <w:sz w:val="18"/>
          <w:szCs w:val="18"/>
          <w:color w:val="2563EB"/>
        </w:rPr>
        <w:t xml:space="preserve">Manager opens the AI Copilot and asks to create a PO</w:t>
      </w:r>
    </w:p>
    <w:p>
      <w:pPr>
        <w:spacing w:after="0"/>
        <w:jc w:val="center"/>
      </w:pPr>
      <w:r>
        <w:rPr>
          <w:rFonts w:ascii="Consolas" w:hAnsi="Consolas"/>
          <w:sz w:val="18"/>
          <w:szCs w:val="18"/>
          <w:color w:val="1F2937"/>
        </w:rPr>
        <w:t xml:space="preserve">↓</w:t>
      </w:r>
    </w:p>
    <w:p>
      <w:pPr>
        <w:spacing w:after="0"/>
        <w:jc w:val="center"/>
      </w:pPr>
      <w:r>
        <w:rPr>
          <w:rFonts w:ascii="Consolas" w:hAnsi="Consolas"/>
          <w:b/>
          <w:bCs/>
          <w:sz w:val="18"/>
          <w:szCs w:val="18"/>
          <w:color w:val="2563EB"/>
        </w:rPr>
        <w:t xml:space="preserve">AI recommends a supplier using the §6 scorecard formula</w:t>
      </w:r>
    </w:p>
    <w:p>
      <w:pPr>
        <w:spacing w:after="0"/>
        <w:jc w:val="center"/>
      </w:pPr>
      <w:r>
        <w:rPr>
          <w:rFonts w:ascii="Consolas" w:hAnsi="Consolas"/>
          <w:sz w:val="18"/>
          <w:szCs w:val="18"/>
          <w:color w:val="1F2937"/>
        </w:rPr>
        <w:t xml:space="preserve">↓</w:t>
      </w:r>
    </w:p>
    <w:p>
      <w:pPr>
        <w:spacing w:after="0"/>
        <w:jc w:val="center"/>
      </w:pPr>
      <w:r>
        <w:rPr>
          <w:rFonts w:ascii="Consolas" w:hAnsi="Consolas"/>
          <w:b/>
          <w:bCs/>
          <w:sz w:val="18"/>
          <w:szCs w:val="18"/>
          <w:color w:val="2563EB"/>
        </w:rPr>
        <w:t xml:space="preserve">AI drafts the PO: supplier, quantity, estimated cost, status = Draft</w:t>
      </w:r>
    </w:p>
    <w:p>
      <w:pPr>
        <w:spacing w:after="0"/>
        <w:jc w:val="center"/>
      </w:pPr>
      <w:r>
        <w:rPr>
          <w:rFonts w:ascii="Consolas" w:hAnsi="Consolas"/>
          <w:sz w:val="18"/>
          <w:szCs w:val="18"/>
          <w:color w:val="1F2937"/>
        </w:rPr>
        <w:t xml:space="preserve">↓</w:t>
      </w:r>
    </w:p>
    <w:p>
      <w:pPr>
        <w:spacing w:after="0"/>
        <w:jc w:val="center"/>
      </w:pPr>
      <w:r>
        <w:rPr>
          <w:rFonts w:ascii="Consolas" w:hAnsi="Consolas"/>
          <w:b/>
          <w:bCs/>
          <w:sz w:val="18"/>
          <w:szCs w:val="18"/>
          <w:color w:val="2563EB"/>
        </w:rPr>
        <w:t xml:space="preserve">Manager reviews and edits line items</w:t>
      </w:r>
    </w:p>
    <w:p>
      <w:pPr>
        <w:spacing w:after="0"/>
        <w:jc w:val="center"/>
      </w:pPr>
      <w:r>
        <w:rPr>
          <w:rFonts w:ascii="Consolas" w:hAnsi="Consolas"/>
          <w:sz w:val="18"/>
          <w:szCs w:val="18"/>
          <w:color w:val="1F2937"/>
        </w:rPr>
        <w:t xml:space="preserve">↓</w:t>
      </w:r>
    </w:p>
    <w:p>
      <w:pPr>
        <w:spacing w:after="0"/>
        <w:jc w:val="center"/>
      </w:pPr>
      <w:r>
        <w:rPr>
          <w:rFonts w:ascii="Consolas" w:hAnsi="Consolas"/>
          <w:b/>
          <w:bCs/>
          <w:sz w:val="18"/>
          <w:szCs w:val="18"/>
          <w:color w:val="2563EB"/>
        </w:rPr>
        <w:t xml:space="preserve">Manager approves (§6.1: single-tier, no auto-submit)</w:t>
      </w:r>
    </w:p>
    <w:p>
      <w:pPr>
        <w:spacing w:after="0"/>
        <w:jc w:val="center"/>
      </w:pPr>
      <w:r>
        <w:rPr>
          <w:rFonts w:ascii="Consolas" w:hAnsi="Consolas"/>
          <w:sz w:val="18"/>
          <w:szCs w:val="18"/>
          <w:color w:val="1F2937"/>
        </w:rPr>
        <w:t xml:space="preserve">↓</w:t>
      </w:r>
    </w:p>
    <w:p>
      <w:pPr>
        <w:spacing w:after="0"/>
        <w:jc w:val="center"/>
      </w:pPr>
      <w:r>
        <w:rPr>
          <w:rFonts w:ascii="Consolas" w:hAnsi="Consolas"/>
          <w:b/>
          <w:bCs/>
          <w:sz w:val="18"/>
          <w:szCs w:val="18"/>
          <w:color w:val="2563EB"/>
        </w:rPr>
        <w:t xml:space="preserve">PO is issued and the action is written to the audit log (§7.6)</w:t>
      </w:r>
    </w:p>
    <w:p>
      <w:pPr>
        <w:pStyle w:val="Heading2"/>
        <w:spacing w:after="120" w:before="260"/>
      </w:pPr>
      <w:r>
        <w:t xml:space="preserve">14.3 Acceptance Criteria — Demo Scope (Inventory, Suppliers, Purchase Orders)</w:t>
      </w:r>
    </w:p>
    <w:p>
      <w:pPr>
        <w:spacing w:after="160"/>
      </w:pPr>
      <w:r>
        <w:t xml:space="preserve">Written as Given/When/Then so each item doubles as a test case during the 1–2 day build.</w:t>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3300"/>
        <w:gridCol w:w="6600"/>
      </w:tblGrid>
      <w:tr>
        <w:trPr>
          <w:tblHeader/>
        </w:trPr>
        <w:tc>
          <w:tcPr>
            <w:tcW w:type="dxa" w:w="3300"/>
            <w:shd w:fill="1F2937" w:val="clear"/>
            <w:tcMar>
              <w:top w:type="dxa" w:w="100"/>
              <w:left w:type="dxa" w:w="120"/>
              <w:bottom w:type="dxa" w:w="100"/>
              <w:right w:type="dxa" w:w="120"/>
            </w:tcMar>
            <w:vAlign w:val="center"/>
          </w:tcPr>
          <w:p>
            <w:r>
              <w:rPr>
                <w:b/>
                <w:bCs/>
                <w:color w:val="FFFFFF"/>
                <w:sz w:val="19"/>
                <w:szCs w:val="19"/>
              </w:rPr>
              <w:t xml:space="preserve">Scenario</w:t>
            </w:r>
          </w:p>
        </w:tc>
        <w:tc>
          <w:tcPr>
            <w:tcW w:type="dxa" w:w="6600"/>
            <w:shd w:fill="1F2937" w:val="clear"/>
            <w:tcMar>
              <w:top w:type="dxa" w:w="100"/>
              <w:left w:type="dxa" w:w="120"/>
              <w:bottom w:type="dxa" w:w="100"/>
              <w:right w:type="dxa" w:w="120"/>
            </w:tcMar>
            <w:vAlign w:val="center"/>
          </w:tcPr>
          <w:p>
            <w:r>
              <w:rPr>
                <w:b/>
                <w:bCs/>
                <w:color w:val="FFFFFF"/>
                <w:sz w:val="19"/>
                <w:szCs w:val="19"/>
              </w:rPr>
              <w:t xml:space="preserve">Acceptance Criteria</w:t>
            </w:r>
          </w:p>
        </w:tc>
      </w:tr>
      <w:tr>
        <w:tc>
          <w:tcPr>
            <w:tcW w:type="dxa" w:w="3300"/>
            <w:shd w:fill="FFFFFF" w:val="clear"/>
            <w:tcMar>
              <w:top w:type="dxa" w:w="100"/>
              <w:left w:type="dxa" w:w="120"/>
              <w:bottom w:type="dxa" w:w="100"/>
              <w:right w:type="dxa" w:w="120"/>
            </w:tcMar>
            <w:vAlign w:val="center"/>
          </w:tcPr>
          <w:p>
            <w:r>
              <w:rPr>
                <w:b w:val="false"/>
                <w:bCs w:val="false"/>
                <w:color w:val="111111"/>
                <w:sz w:val="19"/>
                <w:szCs w:val="19"/>
              </w:rPr>
              <w:t xml:space="preserve">Inventory — status classification</w:t>
            </w:r>
          </w:p>
        </w:tc>
        <w:tc>
          <w:tcPr>
            <w:tcW w:type="dxa" w:w="6600"/>
            <w:shd w:fill="FFFFFF" w:val="clear"/>
            <w:tcMar>
              <w:top w:type="dxa" w:w="100"/>
              <w:left w:type="dxa" w:w="120"/>
              <w:bottom w:type="dxa" w:w="100"/>
              <w:right w:type="dxa" w:w="120"/>
            </w:tcMar>
            <w:vAlign w:val="center"/>
          </w:tcPr>
          <w:p>
            <w:r>
              <w:rPr>
                <w:b w:val="false"/>
                <w:bCs w:val="false"/>
                <w:color w:val="111111"/>
                <w:sz w:val="19"/>
                <w:szCs w:val="19"/>
              </w:rPr>
              <w:t xml:space="preserve">Given a SKU's quantity_on_hand is at or below its reorder_threshold, when the dashboard or inventory view loads, then the item is shown as Low or Critical without manual tagging.</w:t>
            </w:r>
          </w:p>
        </w:tc>
      </w:tr>
      <w:tr>
        <w:tc>
          <w:tcPr>
            <w:tcW w:type="dxa" w:w="3300"/>
            <w:shd w:fill="FFFFFF" w:val="clear"/>
            <w:tcMar>
              <w:top w:type="dxa" w:w="100"/>
              <w:left w:type="dxa" w:w="120"/>
              <w:bottom w:type="dxa" w:w="100"/>
              <w:right w:type="dxa" w:w="120"/>
            </w:tcMar>
            <w:vAlign w:val="center"/>
          </w:tcPr>
          <w:p>
            <w:r>
              <w:rPr>
                <w:b w:val="false"/>
                <w:bCs w:val="false"/>
                <w:color w:val="111111"/>
                <w:sz w:val="19"/>
                <w:szCs w:val="19"/>
              </w:rPr>
              <w:t xml:space="preserve">Inventory — Copilot query</w:t>
            </w:r>
          </w:p>
        </w:tc>
        <w:tc>
          <w:tcPr>
            <w:tcW w:type="dxa" w:w="6600"/>
            <w:shd w:fill="FFFFFF" w:val="clear"/>
            <w:tcMar>
              <w:top w:type="dxa" w:w="100"/>
              <w:left w:type="dxa" w:w="120"/>
              <w:bottom w:type="dxa" w:w="100"/>
              <w:right w:type="dxa" w:w="120"/>
            </w:tcMar>
            <w:vAlign w:val="center"/>
          </w:tcPr>
          <w:p>
            <w:r>
              <w:rPr>
                <w:b w:val="false"/>
                <w:bCs w:val="false"/>
                <w:color w:val="111111"/>
                <w:sz w:val="19"/>
                <w:szCs w:val="19"/>
              </w:rPr>
              <w:t xml:space="preserve">Given one or more items are flagged Low or Critical, when the manager asks the Copilot about stock status, then the response lists the affected SKUs by name and cites the underlying inventory record.</w:t>
            </w:r>
          </w:p>
        </w:tc>
      </w:tr>
      <w:tr>
        <w:tc>
          <w:tcPr>
            <w:tcW w:type="dxa" w:w="3300"/>
            <w:shd w:fill="FFFFFF" w:val="clear"/>
            <w:tcMar>
              <w:top w:type="dxa" w:w="100"/>
              <w:left w:type="dxa" w:w="120"/>
              <w:bottom w:type="dxa" w:w="100"/>
              <w:right w:type="dxa" w:w="120"/>
            </w:tcMar>
            <w:vAlign w:val="center"/>
          </w:tcPr>
          <w:p>
            <w:r>
              <w:rPr>
                <w:b w:val="false"/>
                <w:bCs w:val="false"/>
                <w:color w:val="111111"/>
                <w:sz w:val="19"/>
                <w:szCs w:val="19"/>
              </w:rPr>
              <w:t xml:space="preserve">Suppliers — scorecard computation</w:t>
            </w:r>
          </w:p>
        </w:tc>
        <w:tc>
          <w:tcPr>
            <w:tcW w:type="dxa" w:w="6600"/>
            <w:shd w:fill="FFFFFF" w:val="clear"/>
            <w:tcMar>
              <w:top w:type="dxa" w:w="100"/>
              <w:left w:type="dxa" w:w="120"/>
              <w:bottom w:type="dxa" w:w="100"/>
              <w:right w:type="dxa" w:w="120"/>
            </w:tcMar>
            <w:vAlign w:val="center"/>
          </w:tcPr>
          <w:p>
            <w:r>
              <w:rPr>
                <w:b w:val="false"/>
                <w:bCs w:val="false"/>
                <w:color w:val="111111"/>
                <w:sz w:val="19"/>
                <w:szCs w:val="19"/>
              </w:rPr>
              <w:t xml:space="preserve">Given a supplier has on-time delivery, order accuracy, quality/returns, and responsiveness data on file, when their scorecard is generated, then the score is computed by the deterministic §6 formula and the AI narrates the result without altering the number.</w:t>
            </w:r>
          </w:p>
        </w:tc>
      </w:tr>
      <w:tr>
        <w:tc>
          <w:tcPr>
            <w:tcW w:type="dxa" w:w="3300"/>
            <w:shd w:fill="FFFFFF" w:val="clear"/>
            <w:tcMar>
              <w:top w:type="dxa" w:w="100"/>
              <w:left w:type="dxa" w:w="120"/>
              <w:bottom w:type="dxa" w:w="100"/>
              <w:right w:type="dxa" w:w="120"/>
            </w:tcMar>
            <w:vAlign w:val="center"/>
          </w:tcPr>
          <w:p>
            <w:r>
              <w:rPr>
                <w:b w:val="false"/>
                <w:bCs w:val="false"/>
                <w:color w:val="111111"/>
                <w:sz w:val="19"/>
                <w:szCs w:val="19"/>
              </w:rPr>
              <w:t xml:space="preserve">Purchase Orders — AI drafting</w:t>
            </w:r>
          </w:p>
        </w:tc>
        <w:tc>
          <w:tcPr>
            <w:tcW w:type="dxa" w:w="6600"/>
            <w:shd w:fill="FFFFFF" w:val="clear"/>
            <w:tcMar>
              <w:top w:type="dxa" w:w="100"/>
              <w:left w:type="dxa" w:w="120"/>
              <w:bottom w:type="dxa" w:w="100"/>
              <w:right w:type="dxa" w:w="120"/>
            </w:tcMar>
            <w:vAlign w:val="center"/>
          </w:tcPr>
          <w:p>
            <w:r>
              <w:rPr>
                <w:b w:val="false"/>
                <w:bCs w:val="false"/>
                <w:color w:val="111111"/>
                <w:sz w:val="19"/>
                <w:szCs w:val="19"/>
              </w:rPr>
              <w:t xml:space="preserve">Given a SKU is flagged Low or Critical, when the manager asks the Copilot to create a PO, then the AI generates a draft with supplier, quantity, estimated cost, and status = Draft, and does not submit it automatically.</w:t>
            </w:r>
          </w:p>
        </w:tc>
      </w:tr>
      <w:tr>
        <w:tc>
          <w:tcPr>
            <w:tcW w:type="dxa" w:w="3300"/>
            <w:shd w:fill="FFFFFF" w:val="clear"/>
            <w:tcMar>
              <w:top w:type="dxa" w:w="100"/>
              <w:left w:type="dxa" w:w="120"/>
              <w:bottom w:type="dxa" w:w="100"/>
              <w:right w:type="dxa" w:w="120"/>
            </w:tcMar>
            <w:vAlign w:val="center"/>
          </w:tcPr>
          <w:p>
            <w:r>
              <w:rPr>
                <w:b w:val="false"/>
                <w:bCs w:val="false"/>
                <w:color w:val="111111"/>
                <w:sz w:val="19"/>
                <w:szCs w:val="19"/>
              </w:rPr>
              <w:t xml:space="preserve">Purchase Orders — human review</w:t>
            </w:r>
          </w:p>
        </w:tc>
        <w:tc>
          <w:tcPr>
            <w:tcW w:type="dxa" w:w="6600"/>
            <w:shd w:fill="FFFFFF" w:val="clear"/>
            <w:tcMar>
              <w:top w:type="dxa" w:w="100"/>
              <w:left w:type="dxa" w:w="120"/>
              <w:bottom w:type="dxa" w:w="100"/>
              <w:right w:type="dxa" w:w="120"/>
            </w:tcMar>
            <w:vAlign w:val="center"/>
          </w:tcPr>
          <w:p>
            <w:r>
              <w:rPr>
                <w:b w:val="false"/>
                <w:bCs w:val="false"/>
                <w:color w:val="111111"/>
                <w:sz w:val="19"/>
                <w:szCs w:val="19"/>
              </w:rPr>
              <w:t xml:space="preserve">Given an AI-drafted PO exists, when the Procurement Manager opens it, then every line item is editable before approval.</w:t>
            </w:r>
          </w:p>
        </w:tc>
      </w:tr>
      <w:tr>
        <w:tc>
          <w:tcPr>
            <w:tcW w:type="dxa" w:w="3300"/>
            <w:shd w:fill="FFFFFF" w:val="clear"/>
            <w:tcMar>
              <w:top w:type="dxa" w:w="100"/>
              <w:left w:type="dxa" w:w="120"/>
              <w:bottom w:type="dxa" w:w="100"/>
              <w:right w:type="dxa" w:w="120"/>
            </w:tcMar>
            <w:vAlign w:val="center"/>
          </w:tcPr>
          <w:p>
            <w:r>
              <w:rPr>
                <w:b w:val="false"/>
                <w:bCs w:val="false"/>
                <w:color w:val="111111"/>
                <w:sz w:val="19"/>
                <w:szCs w:val="19"/>
              </w:rPr>
              <w:t xml:space="preserve">Purchase Orders — audit logging</w:t>
            </w:r>
          </w:p>
        </w:tc>
        <w:tc>
          <w:tcPr>
            <w:tcW w:type="dxa" w:w="6600"/>
            <w:shd w:fill="FFFFFF" w:val="clear"/>
            <w:tcMar>
              <w:top w:type="dxa" w:w="100"/>
              <w:left w:type="dxa" w:w="120"/>
              <w:bottom w:type="dxa" w:w="100"/>
              <w:right w:type="dxa" w:w="120"/>
            </w:tcMar>
            <w:vAlign w:val="center"/>
          </w:tcPr>
          <w:p>
            <w:r>
              <w:rPr>
                <w:b w:val="false"/>
                <w:bCs w:val="false"/>
                <w:color w:val="111111"/>
                <w:sz w:val="19"/>
                <w:szCs w:val="19"/>
              </w:rPr>
              <w:t xml:space="preserve">Given a PO is approved, when the approval action completes, then it is written to the audit log with user, timestamp, and the AI-generated content that was approved.</w:t>
            </w:r>
          </w:p>
        </w:tc>
      </w:tr>
    </w:tbl>
    <w:p>
      <w:pPr>
        <w:pBdr>
          <w:left w:val="single" w:color="2563EB" w:sz="12" w:space="8"/>
        </w:pBdr>
        <w:spacing w:after="160"/>
        <w:ind w:left="100"/>
      </w:pPr>
      <w:r>
        <w:rPr>
          <w:b/>
          <w:bCs/>
          <w:i/>
          <w:iCs/>
          <w:color w:val="6B7280"/>
          <w:sz w:val="20"/>
          <w:szCs w:val="20"/>
        </w:rPr>
        <w:t xml:space="preserve">Assumption / open item: </w:t>
      </w:r>
      <w:r>
        <w:rPr>
          <w:i/>
          <w:iCs/>
          <w:color w:val="6B7280"/>
          <w:sz w:val="20"/>
          <w:szCs w:val="20"/>
        </w:rPr>
        <w:t xml:space="preserve">This appendix assumes the single-role demo scope confirmed in §4.5. If the demo walkthrough later needs a second role (e.g., to show RBAC), extend §9's matrix with matching stories and criteria before adding it to the build.</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60"/>
      </w:pPr>
    </w:lvl>
    <w:lvl w:ilvl="1" w15:tentative="1">
      <w:start w:val="1"/>
      <w:numFmt w:val="bullet"/>
      <w:lvlText w:val="◦"/>
      <w:lvlJc w:val="left"/>
      <w:pPr>
        <w:ind w:left="920" w:hanging="260"/>
      </w:pPr>
    </w:lvl>
  </w:abstractNum>
  <w:abstractNum w:abstractNumId="3" w15:restartNumberingAfterBreak="0">
    <w:multiLevelType w:val="hybridMultilevel"/>
    <w:lvl w:ilvl="0" w15:tentative="1">
      <w:start w:val="1"/>
      <w:numFmt w:val="decimal"/>
      <w:lvlText w:val="%1."/>
      <w:lvlJc w:val="left"/>
      <w:pPr>
        <w:ind w:left="460" w:hanging="2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2563EB" w:sz="6" w:space="4"/>
      </w:pBdr>
      <w:spacing w:after="200" w:before="400"/>
    </w:pPr>
    <w:rPr>
      <w:rFonts w:ascii="Calibri" w:cs="Calibri" w:eastAsia="Calibri" w:hAnsi="Calibri"/>
      <w:b/>
      <w:bCs/>
      <w:color w:val="1F2937"/>
      <w:sz w:val="30"/>
      <w:szCs w:val="30"/>
    </w:rPr>
  </w:style>
  <w:style w:type="paragraph" w:styleId="Heading2">
    <w:name w:val="Heading 2"/>
    <w:basedOn w:val="Normal"/>
    <w:next w:val="Normal"/>
    <w:qFormat/>
    <w:pPr>
      <w:spacing w:after="120" w:before="260"/>
    </w:pPr>
    <w:rPr>
      <w:rFonts w:ascii="Calibri" w:cs="Calibri" w:eastAsia="Calibri" w:hAnsi="Calibri"/>
      <w:b/>
      <w:bCs/>
      <w:color w:val="2563EB"/>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2026-07-30T11:58:45.731Z</dcterms:created>
  <dcterms:modified xsi:type="dcterms:W3CDTF">2026-07-30T11:58:45.746Z</dcterms:modified>
</cp:coreProperties>
</file>

<file path=docProps/custom.xml><?xml version="1.0" encoding="utf-8"?>
<Properties xmlns="http://schemas.openxmlformats.org/officeDocument/2006/custom-properties" xmlns:vt="http://schemas.openxmlformats.org/officeDocument/2006/docPropsVTypes"/>
</file>