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0"/>
        </w:rPr>
        <w:t>Green-Finance: A Real-Time Energy Observability Framework for Sustainable Financial Microservices with Kernel-Level Telemetry and Cryptographic Audit Trails</w:t>
      </w:r>
    </w:p>
    <w:tbl>
      <w:tblPr>
        <w:tblW w:type="auto" w:w="0"/>
        <w:jc w:val="center"/>
        <w:tblLayout w:type="autofit"/>
        <w:tblLook w:firstColumn="1" w:firstRow="1" w:lastColumn="0" w:lastRow="0" w:noHBand="0" w:noVBand="1" w:val="04A0"/>
      </w:tblPr>
      <w:tblGrid>
        <w:gridCol w:w="3360"/>
        <w:gridCol w:w="3360"/>
        <w:gridCol w:w="3360"/>
      </w:tblGrid>
      <w:tr>
        <w:tc>
          <w:tcPr>
            <w:tcW w:type="dxa" w:w="3360"/>
          </w:tcPr>
          <w:p>
            <w:pPr>
              <w:spacing w:before="0" w:after="40"/>
              <w:jc w:val="center"/>
            </w:pPr>
            <w:r>
              <w:rPr>
                <w:b/>
                <w:sz w:val="20"/>
              </w:rPr>
              <w:t>Soham Haridas Gaikwad</w:t>
              <w:br/>
            </w:r>
            <w:r>
              <w:rPr>
                <w:sz w:val="18"/>
              </w:rPr>
              <w:t>UID: 2024800030</w:t>
              <w:br/>
            </w:r>
            <w:r>
              <w:rPr>
                <w:i/>
                <w:sz w:val="17"/>
              </w:rPr>
              <w:t>soham.gaikwad@spit.ac.in</w:t>
            </w:r>
          </w:p>
        </w:tc>
        <w:tc>
          <w:tcPr>
            <w:tcW w:type="dxa" w:w="3360"/>
          </w:tcPr>
          <w:p>
            <w:pPr>
              <w:spacing w:before="0" w:after="40"/>
              <w:jc w:val="center"/>
            </w:pPr>
            <w:r>
              <w:rPr>
                <w:b/>
                <w:sz w:val="20"/>
              </w:rPr>
              <w:t>Atharva Pramod Hule</w:t>
              <w:br/>
            </w:r>
            <w:r>
              <w:rPr>
                <w:sz w:val="18"/>
              </w:rPr>
              <w:t>UID: 2024800038</w:t>
              <w:br/>
            </w:r>
            <w:r>
              <w:rPr>
                <w:i/>
                <w:sz w:val="17"/>
              </w:rPr>
              <w:t>atharva.hule@spit.ac.in</w:t>
            </w:r>
          </w:p>
        </w:tc>
        <w:tc>
          <w:tcPr>
            <w:tcW w:type="dxa" w:w="3360"/>
          </w:tcPr>
          <w:p>
            <w:pPr>
              <w:spacing w:before="0" w:after="40"/>
              <w:jc w:val="center"/>
            </w:pPr>
            <w:r>
              <w:rPr>
                <w:b/>
                <w:sz w:val="20"/>
              </w:rPr>
              <w:t>Laukik Vidyadhar Deshpande</w:t>
              <w:br/>
            </w:r>
            <w:r>
              <w:rPr>
                <w:sz w:val="18"/>
              </w:rPr>
              <w:t>UID: 2024800023</w:t>
              <w:br/>
            </w:r>
            <w:r>
              <w:rPr>
                <w:i/>
                <w:sz w:val="17"/>
              </w:rPr>
              <w:t>laukik.deshpande@spit.ac.in</w:t>
            </w:r>
          </w:p>
        </w:tc>
      </w:tr>
    </w:tbl>
    <w:p>
      <w:pPr>
        <w:spacing w:before="80" w:after="240"/>
        <w:jc w:val="center"/>
      </w:pPr>
      <w:r>
        <w:rPr>
          <w:i/>
          <w:sz w:val="18"/>
        </w:rPr>
        <w:t>Department of Computer Engineering, Bharatiya Vidya Bhavan's Sardar Patel Institute of Technology (S.P.I.T.), Autonomous Institute Affiliated to University of Mumbai, Mumbai, Maharashtra, India</w:t>
        <w:br/>
        <w:t>Under the Supervision of: Prof. Kirti Chaudhari, Assistant Professor</w:t>
      </w:r>
    </w:p>
    <w:p>
      <w:pPr>
        <w:spacing w:before="0" w:after="120"/>
      </w:pPr>
      <w:r>
        <w:rPr>
          <w:color w:val="94A3B8"/>
          <w:sz w:val="12"/>
        </w:rPr>
        <w:t>____________________________________________________________________________________________________</w:t>
      </w:r>
    </w:p>
    <w:p>
      <w:pPr>
        <w:spacing w:before="80" w:after="80"/>
        <w:jc w:val="both"/>
      </w:pPr>
      <w:r>
        <w:rPr>
          <w:b/>
          <w:i/>
        </w:rPr>
        <w:t>Abstract—</w:t>
      </w:r>
      <w:r>
        <w:t>The exponential growth of modern financial technologies (FinTech) and digital transaction volumes has driven rapid cloud adoption across banking architectures. However, data centers hosting financial microservices now account for substantial Scope 2 indirect carbon emissions, yet software engineering practices lack granular, transaction-level energy and carbon observability. Existing sustainability tools either operate on coarse macroeconomic spend-based proxies, rely on high-level cloud billing heuristics, or provide raw infrastructure energy counters devoid of financial transaction context. This paper presents Green-Finance, an end-to-end sustainable banking and carbon observability framework that bridges computational energy consumption with core financial transaction processing. Green-Finance couples an atomic double-entry ledger with kernel-level energy telemetry leveraging extended Berkeley Packet Filters (eBPF) and Intel Running Average Power Limit (RAPL) hardware Model-Specific Registers (MSRs) via an embedded Kepler probe. The framework operationalizes a dynamic Software Carbon Intensity (SCI) derivation model aligned with ISO/IEC 21031 and the GHG Protocol Scope 2 standard, incorporating the official Central Electricity Authority (CEA) India regional grid factor (713 gCO2/kWh). To guarantee regulatory accountability and non-repudiation, every transaction generates a cryptographic SHA-256 tamper-evident hash-chained audit record. A four-tier hierarchical Role-Based Access Control (RBAC) architecture enforces strict delegation ceilings and investigator case isolation. Controlled experimental benchmarks across 1,000 concurrent transactions demonstrate an energy attribution fidelity of 96.2% (residual unattributed energy &lt;= 3.8%), high measurement repeatability with a Coefficient of Variation (CV) of 3.2%, an average carbon intensity of 0.134 to 0.184 mg CO2/tx, and an execution latency overhead of under 1.8%. Green-Finance establishes a verifiable engineering blueprint for regulatory ESG compliance in digital banking systems.</w:t>
      </w:r>
    </w:p>
    <w:p>
      <w:pPr>
        <w:spacing w:before="40" w:after="240"/>
        <w:jc w:val="both"/>
      </w:pPr>
      <w:r>
        <w:rPr>
          <w:b/>
          <w:i/>
        </w:rPr>
        <w:t>Index Terms—</w:t>
      </w:r>
      <w:r>
        <w:t>Green Finance, Computational Carbon Intelligence, Energy Observability, eBPF, Running Average Power Limit (RAPL), Double-Entry Bookkeeping, SHA-256 Hash Chaining, Role-Based Access Control (RBAC), FinOps, Prometheus, ISO/IEC 21031 (SCI)</w:t>
      </w:r>
    </w:p>
    <w:p>
      <w:pPr>
        <w:spacing w:before="280" w:after="80"/>
        <w:jc w:val="left"/>
      </w:pPr>
      <w:r>
        <w:rPr>
          <w:rFonts w:ascii="Times New Roman" w:hAnsi="Times New Roman"/>
          <w:b/>
          <w:sz w:val="22"/>
        </w:rPr>
        <w:t>I. INTRODUCTION</w:t>
      </w:r>
    </w:p>
    <w:p>
      <w:pPr>
        <w:spacing w:before="0" w:after="120"/>
        <w:jc w:val="both"/>
      </w:pPr>
      <w:r>
        <w:rPr>
          <w:rFonts w:ascii="Times New Roman" w:hAnsi="Times New Roman"/>
          <w:sz w:val="20"/>
        </w:rPr>
        <w:t>Modern financial systems are undergoing an unprecedented digital transformation. Driven by real-time payment architectures such as India's Unified Payments Interface (UPI), SEPA Instant in Europe, and FedNow in the United States, daily transaction throughput across distributed banking cloud infrastructures has surged into the hundreds of millions. To support this high-concurrency demand, traditional monolithic banking mainframes have been extensively decomposed into microservice topologies deployed across multi-tenant container orchestrators such as Kubernetes and Docker [1], [6].</w:t>
      </w:r>
    </w:p>
    <w:p>
      <w:pPr>
        <w:spacing w:before="0" w:after="120"/>
        <w:jc w:val="both"/>
      </w:pPr>
      <w:r>
        <w:rPr>
          <w:rFonts w:ascii="Times New Roman" w:hAnsi="Times New Roman"/>
          <w:sz w:val="20"/>
        </w:rPr>
        <w:t>However, this computational expansion carries an alarming and often invisible environmental footprint. Global data centers currently consume an estimated 240 to 340 TWh of electricity annually, accounting for approximately 1% to 1.5% of global electrical energy consumption and contributing significantly to global greenhouse gas (GHG) Scope 2 indirect emissions [1]. As corporate ESG (Environmental, Social, and Governance) disclosure mandates tighten—such as the EU Corporate Sustainability Due Diligence Directive and India's Business Responsibility and Sustainability Reporting (BRSR)—financial institutions face stringent regulatory pressure to account for their operational computational carbon [3], [4].</w:t>
      </w:r>
    </w:p>
    <w:p>
      <w:pPr>
        <w:spacing w:before="0" w:after="120"/>
        <w:jc w:val="both"/>
      </w:pPr>
      <w:r>
        <w:rPr>
          <w:rFonts w:ascii="Times New Roman" w:hAnsi="Times New Roman"/>
          <w:sz w:val="20"/>
        </w:rPr>
        <w:t>Despite this urgency, a critical architectural void persists in contemporary software engineering: there is no native mechanism to attribute real-time computational energy and carbon footprints directly to individual banking transactions. Current sustainability solutions exhibit three fundamental architectural limitations:</w:t>
      </w:r>
    </w:p>
    <w:p>
      <w:pPr>
        <w:spacing w:before="0" w:after="120"/>
        <w:jc w:val="both"/>
      </w:pPr>
      <w:r>
        <w:rPr>
          <w:rFonts w:ascii="Times New Roman" w:hAnsi="Times New Roman"/>
          <w:sz w:val="20"/>
        </w:rPr>
        <w:t>1) Coarse Economic Spend Proxies: Systems such as the Bank of New Zealand (BNZ) carbon calculator and CarbonTrail [7], [8] correlate monetary invoice expenditure with industry average emission factors. While useful for merchant analytics, these proxies completely ignore the actual electrical energy consumed by the cloud servers executing the payment microservice code.</w:t>
      </w:r>
    </w:p>
    <w:p>
      <w:pPr>
        <w:spacing w:before="0" w:after="120"/>
        <w:jc w:val="both"/>
      </w:pPr>
      <w:r>
        <w:rPr>
          <w:rFonts w:ascii="Times New Roman" w:hAnsi="Times New Roman"/>
          <w:sz w:val="20"/>
        </w:rPr>
        <w:t>2) Decoupled Cloud Billing Heuristics: Tools such as Cloud Carbon Footprint (CCF) [5] aggregate historical cloud provider billing invoices and apply regional Power Usage Effectiveness (PUE) heuristics. However, these estimates are retrospective, updated days or weeks late, and lack granular process-level microservice boundaries.</w:t>
      </w:r>
    </w:p>
    <w:p>
      <w:pPr>
        <w:spacing w:before="0" w:after="120"/>
        <w:jc w:val="both"/>
      </w:pPr>
      <w:r>
        <w:rPr>
          <w:rFonts w:ascii="Times New Roman" w:hAnsi="Times New Roman"/>
          <w:sz w:val="20"/>
        </w:rPr>
        <w:t>3) Disconnected Infrastructure Energy Sensors: Low-level hardware monitoring exporters such as CNCF Kepler [2] and Hubblo Scaphandre [9] successfully capture processor Model-Specific Registers (MSRs) and utilization metrics. However, they operate entirely in the infrastructure domain, lacking financial transaction counters, double-entry ledger invariants, and cryptographic non-repudiation.</w:t>
      </w:r>
    </w:p>
    <w:p>
      <w:pPr>
        <w:spacing w:before="0" w:after="120"/>
        <w:jc w:val="both"/>
      </w:pPr>
      <w:r>
        <w:rPr>
          <w:rFonts w:ascii="Times New Roman" w:hAnsi="Times New Roman"/>
          <w:sz w:val="20"/>
        </w:rPr>
        <w:t>To resolve these challenges, this paper presents Green-Finance, a unified, production-grade framework designed from first principles to deliver real-time energy observability, dynamic marginal carbon attribution, and cryptographic auditability for sustainable financial microservices. The primary contributions of this paper are fourfold:</w:t>
      </w:r>
    </w:p>
    <w:p>
      <w:pPr>
        <w:spacing w:before="0" w:after="120"/>
        <w:jc w:val="both"/>
      </w:pPr>
      <w:r>
        <w:rPr>
          <w:rFonts w:ascii="Times New Roman" w:hAnsi="Times New Roman"/>
          <w:sz w:val="20"/>
        </w:rPr>
        <w:t>• A unified dual-plane architecture linking high-concurrency atomic double-entry banking transactions with kernel-level eBPF and Intel Running Average Power Limit (RAPL) energy telemetry.</w:t>
      </w:r>
    </w:p>
    <w:p>
      <w:pPr>
        <w:spacing w:before="0" w:after="120"/>
        <w:jc w:val="both"/>
      </w:pPr>
      <w:r>
        <w:rPr>
          <w:rFonts w:ascii="Times New Roman" w:hAnsi="Times New Roman"/>
          <w:sz w:val="20"/>
        </w:rPr>
        <w:t>• An operationalized Software Carbon Intensity (SCI) derivation engine aligned with ISO/IEC 21031:2024 and GHG Protocol Scope 2 standards, incorporating regional grid emission factors (CEA India 713 gCO2/kWh) with zero-division mathematical safeguards.</w:t>
      </w:r>
    </w:p>
    <w:p>
      <w:pPr>
        <w:spacing w:before="0" w:after="120"/>
        <w:jc w:val="both"/>
      </w:pPr>
      <w:r>
        <w:rPr>
          <w:rFonts w:ascii="Times New Roman" w:hAnsi="Times New Roman"/>
          <w:sz w:val="20"/>
        </w:rPr>
        <w:t>• A cryptographic SHA-256 tamper-evident hash-chained audit trail that binds financial double-entry records directly to physical energy and carbon consumption, producing verifiable digital eco-receipts.</w:t>
      </w:r>
    </w:p>
    <w:p>
      <w:pPr>
        <w:spacing w:before="0" w:after="120"/>
        <w:jc w:val="both"/>
      </w:pPr>
      <w:r>
        <w:rPr>
          <w:rFonts w:ascii="Times New Roman" w:hAnsi="Times New Roman"/>
          <w:sz w:val="20"/>
        </w:rPr>
        <w:t>• A four-tier hierarchical Role-Based Access Control (RBAC) security model with Boss Admin root authority, strict delegation ceiling enforcement, and investigator case scoping to eliminate unauthorized operational manipulation.</w:t>
      </w:r>
    </w:p>
    <w:p>
      <w:pPr>
        <w:spacing w:before="280" w:after="80"/>
        <w:jc w:val="left"/>
      </w:pPr>
      <w:r>
        <w:rPr>
          <w:rFonts w:ascii="Times New Roman" w:hAnsi="Times New Roman"/>
          <w:b/>
          <w:sz w:val="22"/>
        </w:rPr>
        <w:t>II. RELATED WORK &amp; COMPARATIVE ANALYSIS</w:t>
      </w:r>
    </w:p>
    <w:p>
      <w:pPr>
        <w:spacing w:before="0" w:after="120"/>
        <w:jc w:val="both"/>
      </w:pPr>
      <w:r>
        <w:rPr>
          <w:rFonts w:ascii="Times New Roman" w:hAnsi="Times New Roman"/>
          <w:sz w:val="20"/>
        </w:rPr>
        <w:t>The intersection of computational energy measurement, green software engineering, and financial transaction processing has witnessed several distinct evolutionary tracks. In this section, we analyze existing literature and commercial platforms across their capabilities and limitations.</w:t>
      </w:r>
    </w:p>
    <w:p>
      <w:pPr>
        <w:spacing w:before="200" w:after="60"/>
        <w:jc w:val="left"/>
      </w:pPr>
      <w:r>
        <w:rPr>
          <w:rFonts w:ascii="Times New Roman" w:hAnsi="Times New Roman"/>
          <w:b/>
          <w:i/>
          <w:sz w:val="20"/>
        </w:rPr>
        <w:t>A. Energy Telemetry and Kernel Probing</w:t>
      </w:r>
    </w:p>
    <w:p>
      <w:pPr>
        <w:spacing w:before="0" w:after="120"/>
        <w:jc w:val="both"/>
      </w:pPr>
      <w:r>
        <w:rPr>
          <w:rFonts w:ascii="Times New Roman" w:hAnsi="Times New Roman"/>
          <w:sz w:val="20"/>
        </w:rPr>
        <w:t>Hardware-level energy telemetry on x86 architectures has matured significantly with Intel's Running Average Power Limit (RAPL) interface, which provides non-architectural MSRs tracking energy consumption across the CPU Package (core + uncore) and DRAM memory planes. CNCF Kepler (Kubernetes-based Efficient Power Level Exporter) [2] utilizes extended Berkeley Packet Filters (eBPF) to attach to kernel tracepoints (such as process scheduling and context switching), measuring CPU cycles and memory residency to train Regression and BPF-based energy attribution models. Similarly, Hubblo Scaphandre [9] probes the Linux powercap sysfs interface (/sys/class/powercap/intel-rapl/) to expose raw Joules consumption. While Kepler and Scaphandre represent breakthroughs in container energy attribution, neither system incorporates application-level transaction counters, double-entry financial ledgers, or business transaction context.</w:t>
      </w:r>
    </w:p>
    <w:p>
      <w:pPr>
        <w:spacing w:before="200" w:after="60"/>
        <w:jc w:val="left"/>
      </w:pPr>
      <w:r>
        <w:rPr>
          <w:rFonts w:ascii="Times New Roman" w:hAnsi="Times New Roman"/>
          <w:b/>
          <w:i/>
          <w:sz w:val="20"/>
        </w:rPr>
        <w:t>B. Software Carbon Standards and Heuristic Frameworks</w:t>
      </w:r>
    </w:p>
    <w:p>
      <w:pPr>
        <w:spacing w:before="0" w:after="120"/>
        <w:jc w:val="both"/>
      </w:pPr>
      <w:r>
        <w:rPr>
          <w:rFonts w:ascii="Times New Roman" w:hAnsi="Times New Roman"/>
          <w:sz w:val="20"/>
        </w:rPr>
        <w:t>The Green Software Foundation (GSF) developed the Software Carbon Intensity (SCI) specification, formally ratified as ISO/IEC 21031:2024 [10]. The SCI standard defines a rate-based metric: SCI = (O + M) / R, where O represents operational emissions, M represents embodied hardware emissions, and R is the functional unit (e.g., per transaction, per API call). While ISO/IEC 21031 provides the mathematical foundation, it is purely a specification and does not prescribe an executable technical architecture. Cloud Carbon Footprint (CCF) [5] operationalizes cloud-level emissions by parsing cloud billing records and multiplying virtual CPU hours by static coefficient tables. However, CCF point estimates cannot observe transient intra-second workload spikes or provide transaction-level attribution. GreenFrame [11] measures web applications via headless browser scenarios, but relies on synthetic offline runs rather than live, production-grade microservice traffic.</w:t>
      </w:r>
    </w:p>
    <w:p>
      <w:pPr>
        <w:spacing w:before="200" w:after="60"/>
        <w:jc w:val="left"/>
      </w:pPr>
      <w:r>
        <w:rPr>
          <w:rFonts w:ascii="Times New Roman" w:hAnsi="Times New Roman"/>
          <w:b/>
          <w:i/>
          <w:sz w:val="20"/>
        </w:rPr>
        <w:t>C. Financial Emissions Calculators and ESG Reporting</w:t>
      </w:r>
    </w:p>
    <w:p>
      <w:pPr>
        <w:spacing w:before="0" w:after="120"/>
        <w:jc w:val="both"/>
      </w:pPr>
      <w:r>
        <w:rPr>
          <w:rFonts w:ascii="Times New Roman" w:hAnsi="Times New Roman"/>
          <w:sz w:val="20"/>
        </w:rPr>
        <w:t>In the commercial banking sector, institutions such as the Bank of New Zealand (BNZ) [8] and platforms like CarbonTrail [7] have introduced spend-based emissions reporting for small and medium enterprises (SMEs). These platforms classify customer financial expenditures into merchant category codes (MCCs) and apply broad Scope 3 input-output emissions factors. While commercially successful, they assess the external business activity of the bank's customers rather than the internal operational Scope 2 emissions of the software infrastructure executing the banking core. Furthermore, recent empirical studies on artificial intelligence and large-scale workload sustainability by Jeanquartier et al. [1] emphasize the critical absence of standardized, transparent, and reproducible energy reporting in modern distributed computing.</w:t>
      </w:r>
    </w:p>
    <w:p>
      <w:pPr>
        <w:spacing w:before="0" w:after="120"/>
        <w:jc w:val="both"/>
      </w:pPr>
      <w:r>
        <w:rPr>
          <w:rFonts w:ascii="Times New Roman" w:hAnsi="Times New Roman"/>
          <w:sz w:val="20"/>
        </w:rPr>
        <w:t>Table I presents an exhaustive comparative analysis contrasting Green-Finance against representative state-of-the-art systems.</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color="auto" w:fill="0f172a"/>
            <w:tcMar>
              <w:top w:w="80" w:type="dxa"/>
              <w:bottom w:w="80" w:type="dxa"/>
              <w:left w:w="100" w:type="dxa"/>
              <w:right w:w="100" w:type="dxa"/>
            </w:tcMar>
          </w:tcPr>
          <w:p>
            <w:pPr>
              <w:jc w:val="center"/>
            </w:pPr>
            <w:r>
              <w:rPr>
                <w:b/>
                <w:color w:val="FFFFFF"/>
                <w:sz w:val="16"/>
              </w:rPr>
              <w:t>Reference / System</w:t>
            </w:r>
          </w:p>
        </w:tc>
        <w:tc>
          <w:tcPr>
            <w:tcW w:type="dxa" w:w="1680"/>
            <w:shd w:val="clear" w:color="auto" w:fill="0f172a"/>
            <w:tcMar>
              <w:top w:w="80" w:type="dxa"/>
              <w:bottom w:w="80" w:type="dxa"/>
              <w:left w:w="100" w:type="dxa"/>
              <w:right w:w="100" w:type="dxa"/>
            </w:tcMar>
          </w:tcPr>
          <w:p>
            <w:pPr>
              <w:jc w:val="center"/>
            </w:pPr>
            <w:r>
              <w:rPr>
                <w:b/>
                <w:color w:val="FFFFFF"/>
                <w:sz w:val="16"/>
              </w:rPr>
              <w:t>Primary Focus</w:t>
            </w:r>
          </w:p>
        </w:tc>
        <w:tc>
          <w:tcPr>
            <w:tcW w:type="dxa" w:w="1680"/>
            <w:shd w:val="clear" w:color="auto" w:fill="0f172a"/>
            <w:tcMar>
              <w:top w:w="80" w:type="dxa"/>
              <w:bottom w:w="80" w:type="dxa"/>
              <w:left w:w="100" w:type="dxa"/>
              <w:right w:w="100" w:type="dxa"/>
            </w:tcMar>
          </w:tcPr>
          <w:p>
            <w:pPr>
              <w:jc w:val="center"/>
            </w:pPr>
            <w:r>
              <w:rPr>
                <w:b/>
                <w:color w:val="FFFFFF"/>
                <w:sz w:val="16"/>
              </w:rPr>
              <w:t>Energy Telemetry Layer</w:t>
            </w:r>
          </w:p>
        </w:tc>
        <w:tc>
          <w:tcPr>
            <w:tcW w:type="dxa" w:w="1680"/>
            <w:shd w:val="clear" w:color="auto" w:fill="0f172a"/>
            <w:tcMar>
              <w:top w:w="80" w:type="dxa"/>
              <w:bottom w:w="80" w:type="dxa"/>
              <w:left w:w="100" w:type="dxa"/>
              <w:right w:w="100" w:type="dxa"/>
            </w:tcMar>
          </w:tcPr>
          <w:p>
            <w:pPr>
              <w:jc w:val="center"/>
            </w:pPr>
            <w:r>
              <w:rPr>
                <w:b/>
                <w:color w:val="FFFFFF"/>
                <w:sz w:val="16"/>
              </w:rPr>
              <w:t>Financial Workload</w:t>
            </w:r>
          </w:p>
        </w:tc>
        <w:tc>
          <w:tcPr>
            <w:tcW w:type="dxa" w:w="1680"/>
            <w:shd w:val="clear" w:color="auto" w:fill="0f172a"/>
            <w:tcMar>
              <w:top w:w="80" w:type="dxa"/>
              <w:bottom w:w="80" w:type="dxa"/>
              <w:left w:w="100" w:type="dxa"/>
              <w:right w:w="100" w:type="dxa"/>
            </w:tcMar>
          </w:tcPr>
          <w:p>
            <w:pPr>
              <w:jc w:val="center"/>
            </w:pPr>
            <w:r>
              <w:rPr>
                <w:b/>
                <w:color w:val="FFFFFF"/>
                <w:sz w:val="16"/>
              </w:rPr>
              <w:t>Carbon Metric</w:t>
            </w:r>
          </w:p>
        </w:tc>
        <w:tc>
          <w:tcPr>
            <w:tcW w:type="dxa" w:w="1680"/>
            <w:shd w:val="clear" w:color="auto" w:fill="0f172a"/>
            <w:tcMar>
              <w:top w:w="80" w:type="dxa"/>
              <w:bottom w:w="80" w:type="dxa"/>
              <w:left w:w="100" w:type="dxa"/>
              <w:right w:w="100" w:type="dxa"/>
            </w:tcMar>
          </w:tcPr>
          <w:p>
            <w:pPr>
              <w:jc w:val="center"/>
            </w:pPr>
            <w:r>
              <w:rPr>
                <w:b/>
                <w:color w:val="FFFFFF"/>
                <w:sz w:val="16"/>
              </w:rPr>
              <w:t>Audit Chain Integrity</w:t>
            </w:r>
          </w:p>
        </w:tc>
      </w:tr>
      <w:tr>
        <w:tc>
          <w:tcPr>
            <w:tcW w:type="dxa" w:w="1680"/>
            <w:shd w:val="clear" w:color="auto" w:fill="f8fafc"/>
            <w:tcMar>
              <w:top w:w="60" w:type="dxa"/>
              <w:bottom w:w="60" w:type="dxa"/>
              <w:left w:w="80" w:type="dxa"/>
              <w:right w:w="80" w:type="dxa"/>
            </w:tcMar>
          </w:tcPr>
          <w:p>
            <w:pPr>
              <w:jc w:val="left"/>
            </w:pPr>
            <w:r>
              <w:rPr>
                <w:sz w:val="15"/>
              </w:rPr>
              <w:t>Jeanquartier et al. [1]</w:t>
            </w:r>
          </w:p>
        </w:tc>
        <w:tc>
          <w:tcPr>
            <w:tcW w:type="dxa" w:w="1680"/>
            <w:shd w:val="clear" w:color="auto" w:fill="f8fafc"/>
            <w:tcMar>
              <w:top w:w="60" w:type="dxa"/>
              <w:bottom w:w="60" w:type="dxa"/>
              <w:left w:w="80" w:type="dxa"/>
              <w:right w:w="80" w:type="dxa"/>
            </w:tcMar>
          </w:tcPr>
          <w:p>
            <w:pPr>
              <w:jc w:val="center"/>
            </w:pPr>
            <w:r>
              <w:rPr>
                <w:sz w:val="15"/>
              </w:rPr>
              <w:t>AI Model Benchmarking</w:t>
            </w:r>
          </w:p>
        </w:tc>
        <w:tc>
          <w:tcPr>
            <w:tcW w:type="dxa" w:w="1680"/>
            <w:shd w:val="clear" w:color="auto" w:fill="f8fafc"/>
            <w:tcMar>
              <w:top w:w="60" w:type="dxa"/>
              <w:bottom w:w="60" w:type="dxa"/>
              <w:left w:w="80" w:type="dxa"/>
              <w:right w:w="80" w:type="dxa"/>
            </w:tcMar>
          </w:tcPr>
          <w:p>
            <w:pPr>
              <w:jc w:val="center"/>
            </w:pPr>
            <w:r>
              <w:rPr>
                <w:sz w:val="15"/>
              </w:rPr>
              <w:t>GPU/RAPL Benchmarks</w:t>
            </w:r>
          </w:p>
        </w:tc>
        <w:tc>
          <w:tcPr>
            <w:tcW w:type="dxa" w:w="1680"/>
            <w:shd w:val="clear" w:color="auto" w:fill="f8fafc"/>
            <w:tcMar>
              <w:top w:w="60" w:type="dxa"/>
              <w:bottom w:w="60" w:type="dxa"/>
              <w:left w:w="80" w:type="dxa"/>
              <w:right w:w="80" w:type="dxa"/>
            </w:tcMar>
          </w:tcPr>
          <w:p>
            <w:pPr>
              <w:jc w:val="center"/>
            </w:pPr>
            <w:r>
              <w:rPr>
                <w:sz w:val="15"/>
              </w:rPr>
              <w:t>None (LLM Inference)</w:t>
            </w:r>
          </w:p>
        </w:tc>
        <w:tc>
          <w:tcPr>
            <w:tcW w:type="dxa" w:w="1680"/>
            <w:shd w:val="clear" w:color="auto" w:fill="f8fafc"/>
            <w:tcMar>
              <w:top w:w="60" w:type="dxa"/>
              <w:bottom w:w="60" w:type="dxa"/>
              <w:left w:w="80" w:type="dxa"/>
              <w:right w:w="80" w:type="dxa"/>
            </w:tcMar>
          </w:tcPr>
          <w:p>
            <w:pPr>
              <w:jc w:val="center"/>
            </w:pPr>
            <w:r>
              <w:rPr>
                <w:sz w:val="15"/>
              </w:rPr>
              <w:t>Total kg CO2e</w:t>
            </w:r>
          </w:p>
        </w:tc>
        <w:tc>
          <w:tcPr>
            <w:tcW w:type="dxa" w:w="1680"/>
            <w:shd w:val="clear" w:color="auto" w:fill="f8fafc"/>
            <w:tcMar>
              <w:top w:w="60" w:type="dxa"/>
              <w:bottom w:w="60" w:type="dxa"/>
              <w:left w:w="80" w:type="dxa"/>
              <w:right w:w="80" w:type="dxa"/>
            </w:tcMar>
          </w:tcPr>
          <w:p>
            <w:pPr>
              <w:jc w:val="center"/>
            </w:pPr>
            <w:r>
              <w:rPr>
                <w:sz w:val="15"/>
              </w:rPr>
              <w:t>None (Static Paper)</w:t>
            </w:r>
          </w:p>
        </w:tc>
      </w:tr>
      <w:tr>
        <w:tc>
          <w:tcPr>
            <w:tcW w:type="dxa" w:w="1680"/>
            <w:shd w:val="clear" w:color="auto" w:fill="ffffff"/>
            <w:tcMar>
              <w:top w:w="60" w:type="dxa"/>
              <w:bottom w:w="60" w:type="dxa"/>
              <w:left w:w="80" w:type="dxa"/>
              <w:right w:w="80" w:type="dxa"/>
            </w:tcMar>
          </w:tcPr>
          <w:p>
            <w:pPr>
              <w:jc w:val="left"/>
            </w:pPr>
            <w:r>
              <w:rPr>
                <w:sz w:val="15"/>
              </w:rPr>
              <w:t>CNCF Kepler [2]</w:t>
            </w:r>
          </w:p>
        </w:tc>
        <w:tc>
          <w:tcPr>
            <w:tcW w:type="dxa" w:w="1680"/>
            <w:shd w:val="clear" w:color="auto" w:fill="ffffff"/>
            <w:tcMar>
              <w:top w:w="60" w:type="dxa"/>
              <w:bottom w:w="60" w:type="dxa"/>
              <w:left w:w="80" w:type="dxa"/>
              <w:right w:w="80" w:type="dxa"/>
            </w:tcMar>
          </w:tcPr>
          <w:p>
            <w:pPr>
              <w:jc w:val="center"/>
            </w:pPr>
            <w:r>
              <w:rPr>
                <w:sz w:val="15"/>
              </w:rPr>
              <w:t>Kubernetes Energy Telemetry</w:t>
            </w:r>
          </w:p>
        </w:tc>
        <w:tc>
          <w:tcPr>
            <w:tcW w:type="dxa" w:w="1680"/>
            <w:shd w:val="clear" w:color="auto" w:fill="ffffff"/>
            <w:tcMar>
              <w:top w:w="60" w:type="dxa"/>
              <w:bottom w:w="60" w:type="dxa"/>
              <w:left w:w="80" w:type="dxa"/>
              <w:right w:w="80" w:type="dxa"/>
            </w:tcMar>
          </w:tcPr>
          <w:p>
            <w:pPr>
              <w:jc w:val="center"/>
            </w:pPr>
            <w:r>
              <w:rPr>
                <w:sz w:val="15"/>
              </w:rPr>
              <w:t>eBPF + Intel RAPL MSRs</w:t>
            </w:r>
          </w:p>
        </w:tc>
        <w:tc>
          <w:tcPr>
            <w:tcW w:type="dxa" w:w="1680"/>
            <w:shd w:val="clear" w:color="auto" w:fill="ffffff"/>
            <w:tcMar>
              <w:top w:w="60" w:type="dxa"/>
              <w:bottom w:w="60" w:type="dxa"/>
              <w:left w:w="80" w:type="dxa"/>
              <w:right w:w="80" w:type="dxa"/>
            </w:tcMar>
          </w:tcPr>
          <w:p>
            <w:pPr>
              <w:jc w:val="center"/>
            </w:pPr>
            <w:r>
              <w:rPr>
                <w:sz w:val="15"/>
              </w:rPr>
              <w:t>None (Generic Pods)</w:t>
            </w:r>
          </w:p>
        </w:tc>
        <w:tc>
          <w:tcPr>
            <w:tcW w:type="dxa" w:w="1680"/>
            <w:shd w:val="clear" w:color="auto" w:fill="ffffff"/>
            <w:tcMar>
              <w:top w:w="60" w:type="dxa"/>
              <w:bottom w:w="60" w:type="dxa"/>
              <w:left w:w="80" w:type="dxa"/>
              <w:right w:w="80" w:type="dxa"/>
            </w:tcMar>
          </w:tcPr>
          <w:p>
            <w:pPr>
              <w:jc w:val="center"/>
            </w:pPr>
            <w:r>
              <w:rPr>
                <w:sz w:val="15"/>
              </w:rPr>
              <w:t>None (Raw Joules)</w:t>
            </w:r>
          </w:p>
        </w:tc>
        <w:tc>
          <w:tcPr>
            <w:tcW w:type="dxa" w:w="1680"/>
            <w:shd w:val="clear" w:color="auto" w:fill="ffffff"/>
            <w:tcMar>
              <w:top w:w="60" w:type="dxa"/>
              <w:bottom w:w="60" w:type="dxa"/>
              <w:left w:w="80" w:type="dxa"/>
              <w:right w:w="80" w:type="dxa"/>
            </w:tcMar>
          </w:tcPr>
          <w:p>
            <w:pPr>
              <w:jc w:val="center"/>
            </w:pPr>
            <w:r>
              <w:rPr>
                <w:sz w:val="15"/>
              </w:rPr>
              <w:t>None (Prometheus TSDB)</w:t>
            </w:r>
          </w:p>
        </w:tc>
      </w:tr>
      <w:tr>
        <w:tc>
          <w:tcPr>
            <w:tcW w:type="dxa" w:w="1680"/>
            <w:shd w:val="clear" w:color="auto" w:fill="f8fafc"/>
            <w:tcMar>
              <w:top w:w="60" w:type="dxa"/>
              <w:bottom w:w="60" w:type="dxa"/>
              <w:left w:w="80" w:type="dxa"/>
              <w:right w:w="80" w:type="dxa"/>
            </w:tcMar>
          </w:tcPr>
          <w:p>
            <w:pPr>
              <w:jc w:val="left"/>
            </w:pPr>
            <w:r>
              <w:rPr>
                <w:sz w:val="15"/>
              </w:rPr>
              <w:t>Cloud Carbon Footprint [5]</w:t>
            </w:r>
          </w:p>
        </w:tc>
        <w:tc>
          <w:tcPr>
            <w:tcW w:type="dxa" w:w="1680"/>
            <w:shd w:val="clear" w:color="auto" w:fill="f8fafc"/>
            <w:tcMar>
              <w:top w:w="60" w:type="dxa"/>
              <w:bottom w:w="60" w:type="dxa"/>
              <w:left w:w="80" w:type="dxa"/>
              <w:right w:w="80" w:type="dxa"/>
            </w:tcMar>
          </w:tcPr>
          <w:p>
            <w:pPr>
              <w:jc w:val="center"/>
            </w:pPr>
            <w:r>
              <w:rPr>
                <w:sz w:val="15"/>
              </w:rPr>
              <w:t>Multi-Cloud Cost Accounting</w:t>
            </w:r>
          </w:p>
        </w:tc>
        <w:tc>
          <w:tcPr>
            <w:tcW w:type="dxa" w:w="1680"/>
            <w:shd w:val="clear" w:color="auto" w:fill="f8fafc"/>
            <w:tcMar>
              <w:top w:w="60" w:type="dxa"/>
              <w:bottom w:w="60" w:type="dxa"/>
              <w:left w:w="80" w:type="dxa"/>
              <w:right w:w="80" w:type="dxa"/>
            </w:tcMar>
          </w:tcPr>
          <w:p>
            <w:pPr>
              <w:jc w:val="center"/>
            </w:pPr>
            <w:r>
              <w:rPr>
                <w:sz w:val="15"/>
              </w:rPr>
              <w:t>Billing Data Heuristics</w:t>
            </w:r>
          </w:p>
        </w:tc>
        <w:tc>
          <w:tcPr>
            <w:tcW w:type="dxa" w:w="1680"/>
            <w:shd w:val="clear" w:color="auto" w:fill="f8fafc"/>
            <w:tcMar>
              <w:top w:w="60" w:type="dxa"/>
              <w:bottom w:w="60" w:type="dxa"/>
              <w:left w:w="80" w:type="dxa"/>
              <w:right w:w="80" w:type="dxa"/>
            </w:tcMar>
          </w:tcPr>
          <w:p>
            <w:pPr>
              <w:jc w:val="center"/>
            </w:pPr>
            <w:r>
              <w:rPr>
                <w:sz w:val="15"/>
              </w:rPr>
              <w:t>None (Cloud Usage)</w:t>
            </w:r>
          </w:p>
        </w:tc>
        <w:tc>
          <w:tcPr>
            <w:tcW w:type="dxa" w:w="1680"/>
            <w:shd w:val="clear" w:color="auto" w:fill="f8fafc"/>
            <w:tcMar>
              <w:top w:w="60" w:type="dxa"/>
              <w:bottom w:w="60" w:type="dxa"/>
              <w:left w:w="80" w:type="dxa"/>
              <w:right w:w="80" w:type="dxa"/>
            </w:tcMar>
          </w:tcPr>
          <w:p>
            <w:pPr>
              <w:jc w:val="center"/>
            </w:pPr>
            <w:r>
              <w:rPr>
                <w:sz w:val="15"/>
              </w:rPr>
              <w:t>Estimated MT CO2e</w:t>
            </w:r>
          </w:p>
        </w:tc>
        <w:tc>
          <w:tcPr>
            <w:tcW w:type="dxa" w:w="1680"/>
            <w:shd w:val="clear" w:color="auto" w:fill="f8fafc"/>
            <w:tcMar>
              <w:top w:w="60" w:type="dxa"/>
              <w:bottom w:w="60" w:type="dxa"/>
              <w:left w:w="80" w:type="dxa"/>
              <w:right w:w="80" w:type="dxa"/>
            </w:tcMar>
          </w:tcPr>
          <w:p>
            <w:pPr>
              <w:jc w:val="center"/>
            </w:pPr>
            <w:r>
              <w:rPr>
                <w:sz w:val="15"/>
              </w:rPr>
              <w:t>None (Cloud CSV)</w:t>
            </w:r>
          </w:p>
        </w:tc>
      </w:tr>
      <w:tr>
        <w:tc>
          <w:tcPr>
            <w:tcW w:type="dxa" w:w="1680"/>
            <w:shd w:val="clear" w:color="auto" w:fill="ffffff"/>
            <w:tcMar>
              <w:top w:w="60" w:type="dxa"/>
              <w:bottom w:w="60" w:type="dxa"/>
              <w:left w:w="80" w:type="dxa"/>
              <w:right w:w="80" w:type="dxa"/>
            </w:tcMar>
          </w:tcPr>
          <w:p>
            <w:pPr>
              <w:jc w:val="left"/>
            </w:pPr>
            <w:r>
              <w:rPr>
                <w:sz w:val="15"/>
              </w:rPr>
              <w:t>CarbonTrail / BNZ [7], [8]</w:t>
            </w:r>
          </w:p>
        </w:tc>
        <w:tc>
          <w:tcPr>
            <w:tcW w:type="dxa" w:w="1680"/>
            <w:shd w:val="clear" w:color="auto" w:fill="ffffff"/>
            <w:tcMar>
              <w:top w:w="60" w:type="dxa"/>
              <w:bottom w:w="60" w:type="dxa"/>
              <w:left w:w="80" w:type="dxa"/>
              <w:right w:w="80" w:type="dxa"/>
            </w:tcMar>
          </w:tcPr>
          <w:p>
            <w:pPr>
              <w:jc w:val="center"/>
            </w:pPr>
            <w:r>
              <w:rPr>
                <w:sz w:val="15"/>
              </w:rPr>
              <w:t>SME Spend Accounting</w:t>
            </w:r>
          </w:p>
        </w:tc>
        <w:tc>
          <w:tcPr>
            <w:tcW w:type="dxa" w:w="1680"/>
            <w:shd w:val="clear" w:color="auto" w:fill="ffffff"/>
            <w:tcMar>
              <w:top w:w="60" w:type="dxa"/>
              <w:bottom w:w="60" w:type="dxa"/>
              <w:left w:w="80" w:type="dxa"/>
              <w:right w:w="80" w:type="dxa"/>
            </w:tcMar>
          </w:tcPr>
          <w:p>
            <w:pPr>
              <w:jc w:val="center"/>
            </w:pPr>
            <w:r>
              <w:rPr>
                <w:sz w:val="15"/>
              </w:rPr>
              <w:t>None (Spend-based MCC)</w:t>
            </w:r>
          </w:p>
        </w:tc>
        <w:tc>
          <w:tcPr>
            <w:tcW w:type="dxa" w:w="1680"/>
            <w:shd w:val="clear" w:color="auto" w:fill="ffffff"/>
            <w:tcMar>
              <w:top w:w="60" w:type="dxa"/>
              <w:bottom w:w="60" w:type="dxa"/>
              <w:left w:w="80" w:type="dxa"/>
              <w:right w:w="80" w:type="dxa"/>
            </w:tcMar>
          </w:tcPr>
          <w:p>
            <w:pPr>
              <w:jc w:val="center"/>
            </w:pPr>
            <w:r>
              <w:rPr>
                <w:sz w:val="15"/>
              </w:rPr>
              <w:t>Business Transactions</w:t>
            </w:r>
          </w:p>
        </w:tc>
        <w:tc>
          <w:tcPr>
            <w:tcW w:type="dxa" w:w="1680"/>
            <w:shd w:val="clear" w:color="auto" w:fill="ffffff"/>
            <w:tcMar>
              <w:top w:w="60" w:type="dxa"/>
              <w:bottom w:w="60" w:type="dxa"/>
              <w:left w:w="80" w:type="dxa"/>
              <w:right w:w="80" w:type="dxa"/>
            </w:tcMar>
          </w:tcPr>
          <w:p>
            <w:pPr>
              <w:jc w:val="center"/>
            </w:pPr>
            <w:r>
              <w:rPr>
                <w:sz w:val="15"/>
              </w:rPr>
              <w:t>Spend Proxy Scope 3</w:t>
            </w:r>
          </w:p>
        </w:tc>
        <w:tc>
          <w:tcPr>
            <w:tcW w:type="dxa" w:w="1680"/>
            <w:shd w:val="clear" w:color="auto" w:fill="ffffff"/>
            <w:tcMar>
              <w:top w:w="60" w:type="dxa"/>
              <w:bottom w:w="60" w:type="dxa"/>
              <w:left w:w="80" w:type="dxa"/>
              <w:right w:w="80" w:type="dxa"/>
            </w:tcMar>
          </w:tcPr>
          <w:p>
            <w:pPr>
              <w:jc w:val="center"/>
            </w:pPr>
            <w:r>
              <w:rPr>
                <w:sz w:val="15"/>
              </w:rPr>
              <w:t>Database Records</w:t>
            </w:r>
          </w:p>
        </w:tc>
      </w:tr>
      <w:tr>
        <w:tc>
          <w:tcPr>
            <w:tcW w:type="dxa" w:w="1680"/>
            <w:shd w:val="clear" w:color="auto" w:fill="f8fafc"/>
            <w:tcMar>
              <w:top w:w="60" w:type="dxa"/>
              <w:bottom w:w="60" w:type="dxa"/>
              <w:left w:w="80" w:type="dxa"/>
              <w:right w:w="80" w:type="dxa"/>
            </w:tcMar>
          </w:tcPr>
          <w:p>
            <w:pPr>
              <w:jc w:val="left"/>
            </w:pPr>
            <w:r>
              <w:rPr>
                <w:sz w:val="15"/>
              </w:rPr>
              <w:t>Hubblo Scaphandre [9]</w:t>
            </w:r>
          </w:p>
        </w:tc>
        <w:tc>
          <w:tcPr>
            <w:tcW w:type="dxa" w:w="1680"/>
            <w:shd w:val="clear" w:color="auto" w:fill="f8fafc"/>
            <w:tcMar>
              <w:top w:w="60" w:type="dxa"/>
              <w:bottom w:w="60" w:type="dxa"/>
              <w:left w:w="80" w:type="dxa"/>
              <w:right w:w="80" w:type="dxa"/>
            </w:tcMar>
          </w:tcPr>
          <w:p>
            <w:pPr>
              <w:jc w:val="center"/>
            </w:pPr>
            <w:r>
              <w:rPr>
                <w:sz w:val="15"/>
              </w:rPr>
              <w:t>Linux Energy Monitoring</w:t>
            </w:r>
          </w:p>
        </w:tc>
        <w:tc>
          <w:tcPr>
            <w:tcW w:type="dxa" w:w="1680"/>
            <w:shd w:val="clear" w:color="auto" w:fill="f8fafc"/>
            <w:tcMar>
              <w:top w:w="60" w:type="dxa"/>
              <w:bottom w:w="60" w:type="dxa"/>
              <w:left w:w="80" w:type="dxa"/>
              <w:right w:w="80" w:type="dxa"/>
            </w:tcMar>
          </w:tcPr>
          <w:p>
            <w:pPr>
              <w:jc w:val="center"/>
            </w:pPr>
            <w:r>
              <w:rPr>
                <w:sz w:val="15"/>
              </w:rPr>
              <w:t>Linux Powercap Sysfs</w:t>
            </w:r>
          </w:p>
        </w:tc>
        <w:tc>
          <w:tcPr>
            <w:tcW w:type="dxa" w:w="1680"/>
            <w:shd w:val="clear" w:color="auto" w:fill="f8fafc"/>
            <w:tcMar>
              <w:top w:w="60" w:type="dxa"/>
              <w:bottom w:w="60" w:type="dxa"/>
              <w:left w:w="80" w:type="dxa"/>
              <w:right w:w="80" w:type="dxa"/>
            </w:tcMar>
          </w:tcPr>
          <w:p>
            <w:pPr>
              <w:jc w:val="center"/>
            </w:pPr>
            <w:r>
              <w:rPr>
                <w:sz w:val="15"/>
              </w:rPr>
              <w:t>None (Process PIDs)</w:t>
            </w:r>
          </w:p>
        </w:tc>
        <w:tc>
          <w:tcPr>
            <w:tcW w:type="dxa" w:w="1680"/>
            <w:shd w:val="clear" w:color="auto" w:fill="f8fafc"/>
            <w:tcMar>
              <w:top w:w="60" w:type="dxa"/>
              <w:bottom w:w="60" w:type="dxa"/>
              <w:left w:w="80" w:type="dxa"/>
              <w:right w:w="80" w:type="dxa"/>
            </w:tcMar>
          </w:tcPr>
          <w:p>
            <w:pPr>
              <w:jc w:val="center"/>
            </w:pPr>
            <w:r>
              <w:rPr>
                <w:sz w:val="15"/>
              </w:rPr>
              <w:t>None (Raw Joules)</w:t>
            </w:r>
          </w:p>
        </w:tc>
        <w:tc>
          <w:tcPr>
            <w:tcW w:type="dxa" w:w="1680"/>
            <w:shd w:val="clear" w:color="auto" w:fill="f8fafc"/>
            <w:tcMar>
              <w:top w:w="60" w:type="dxa"/>
              <w:bottom w:w="60" w:type="dxa"/>
              <w:left w:w="80" w:type="dxa"/>
              <w:right w:w="80" w:type="dxa"/>
            </w:tcMar>
          </w:tcPr>
          <w:p>
            <w:pPr>
              <w:jc w:val="center"/>
            </w:pPr>
            <w:r>
              <w:rPr>
                <w:sz w:val="15"/>
              </w:rPr>
              <w:t>None (Prometheus TSDB)</w:t>
            </w:r>
          </w:p>
        </w:tc>
      </w:tr>
      <w:tr>
        <w:tc>
          <w:tcPr>
            <w:tcW w:type="dxa" w:w="1680"/>
            <w:shd w:val="clear" w:color="auto" w:fill="ffffff"/>
            <w:tcMar>
              <w:top w:w="60" w:type="dxa"/>
              <w:bottom w:w="60" w:type="dxa"/>
              <w:left w:w="80" w:type="dxa"/>
              <w:right w:w="80" w:type="dxa"/>
            </w:tcMar>
          </w:tcPr>
          <w:p>
            <w:pPr>
              <w:jc w:val="left"/>
            </w:pPr>
            <w:r>
              <w:rPr>
                <w:sz w:val="15"/>
              </w:rPr>
              <w:t>ISO/IEC 21031 (SCI) [10]</w:t>
            </w:r>
          </w:p>
        </w:tc>
        <w:tc>
          <w:tcPr>
            <w:tcW w:type="dxa" w:w="1680"/>
            <w:shd w:val="clear" w:color="auto" w:fill="ffffff"/>
            <w:tcMar>
              <w:top w:w="60" w:type="dxa"/>
              <w:bottom w:w="60" w:type="dxa"/>
              <w:left w:w="80" w:type="dxa"/>
              <w:right w:w="80" w:type="dxa"/>
            </w:tcMar>
          </w:tcPr>
          <w:p>
            <w:pPr>
              <w:jc w:val="center"/>
            </w:pPr>
            <w:r>
              <w:rPr>
                <w:sz w:val="15"/>
              </w:rPr>
              <w:t>International Standard</w:t>
            </w:r>
          </w:p>
        </w:tc>
        <w:tc>
          <w:tcPr>
            <w:tcW w:type="dxa" w:w="1680"/>
            <w:shd w:val="clear" w:color="auto" w:fill="ffffff"/>
            <w:tcMar>
              <w:top w:w="60" w:type="dxa"/>
              <w:bottom w:w="60" w:type="dxa"/>
              <w:left w:w="80" w:type="dxa"/>
              <w:right w:w="80" w:type="dxa"/>
            </w:tcMar>
          </w:tcPr>
          <w:p>
            <w:pPr>
              <w:jc w:val="center"/>
            </w:pPr>
            <w:r>
              <w:rPr>
                <w:sz w:val="15"/>
              </w:rPr>
              <w:t>Conceptual Specification</w:t>
            </w:r>
          </w:p>
        </w:tc>
        <w:tc>
          <w:tcPr>
            <w:tcW w:type="dxa" w:w="1680"/>
            <w:shd w:val="clear" w:color="auto" w:fill="ffffff"/>
            <w:tcMar>
              <w:top w:w="60" w:type="dxa"/>
              <w:bottom w:w="60" w:type="dxa"/>
              <w:left w:w="80" w:type="dxa"/>
              <w:right w:w="80" w:type="dxa"/>
            </w:tcMar>
          </w:tcPr>
          <w:p>
            <w:pPr>
              <w:jc w:val="center"/>
            </w:pPr>
            <w:r>
              <w:rPr>
                <w:sz w:val="15"/>
              </w:rPr>
              <w:t>Theoretical Functional Unit</w:t>
            </w:r>
          </w:p>
        </w:tc>
        <w:tc>
          <w:tcPr>
            <w:tcW w:type="dxa" w:w="1680"/>
            <w:shd w:val="clear" w:color="auto" w:fill="ffffff"/>
            <w:tcMar>
              <w:top w:w="60" w:type="dxa"/>
              <w:bottom w:w="60" w:type="dxa"/>
              <w:left w:w="80" w:type="dxa"/>
              <w:right w:w="80" w:type="dxa"/>
            </w:tcMar>
          </w:tcPr>
          <w:p>
            <w:pPr>
              <w:jc w:val="center"/>
            </w:pPr>
            <w:r>
              <w:rPr>
                <w:sz w:val="15"/>
              </w:rPr>
              <w:t>Rate: (O+M)/R</w:t>
            </w:r>
          </w:p>
        </w:tc>
        <w:tc>
          <w:tcPr>
            <w:tcW w:type="dxa" w:w="1680"/>
            <w:shd w:val="clear" w:color="auto" w:fill="ffffff"/>
            <w:tcMar>
              <w:top w:w="60" w:type="dxa"/>
              <w:bottom w:w="60" w:type="dxa"/>
              <w:left w:w="80" w:type="dxa"/>
              <w:right w:w="80" w:type="dxa"/>
            </w:tcMar>
          </w:tcPr>
          <w:p>
            <w:pPr>
              <w:jc w:val="center"/>
            </w:pPr>
            <w:r>
              <w:rPr>
                <w:sz w:val="15"/>
              </w:rPr>
              <w:t>Methodological Spec</w:t>
            </w:r>
          </w:p>
        </w:tc>
      </w:tr>
      <w:tr>
        <w:tc>
          <w:tcPr>
            <w:tcW w:type="dxa" w:w="1680"/>
            <w:shd w:val="clear" w:color="auto" w:fill="ecfdf5"/>
            <w:tcMar>
              <w:top w:w="60" w:type="dxa"/>
              <w:bottom w:w="60" w:type="dxa"/>
              <w:left w:w="80" w:type="dxa"/>
              <w:right w:w="80" w:type="dxa"/>
            </w:tcMar>
          </w:tcPr>
          <w:p>
            <w:pPr>
              <w:jc w:val="left"/>
            </w:pPr>
            <w:r>
              <w:rPr>
                <w:b/>
                <w:color w:val="065F46"/>
                <w:sz w:val="15"/>
              </w:rPr>
              <w:t>Green-Finance (Ours)</w:t>
            </w:r>
          </w:p>
        </w:tc>
        <w:tc>
          <w:tcPr>
            <w:tcW w:type="dxa" w:w="1680"/>
            <w:shd w:val="clear" w:color="auto" w:fill="ecfdf5"/>
            <w:tcMar>
              <w:top w:w="60" w:type="dxa"/>
              <w:bottom w:w="60" w:type="dxa"/>
              <w:left w:w="80" w:type="dxa"/>
              <w:right w:w="80" w:type="dxa"/>
            </w:tcMar>
          </w:tcPr>
          <w:p>
            <w:pPr>
              <w:jc w:val="center"/>
            </w:pPr>
            <w:r>
              <w:rPr>
                <w:b/>
                <w:sz w:val="15"/>
              </w:rPr>
              <w:t>Sustainable Banking Core</w:t>
            </w:r>
          </w:p>
        </w:tc>
        <w:tc>
          <w:tcPr>
            <w:tcW w:type="dxa" w:w="1680"/>
            <w:shd w:val="clear" w:color="auto" w:fill="ecfdf5"/>
            <w:tcMar>
              <w:top w:w="60" w:type="dxa"/>
              <w:bottom w:w="60" w:type="dxa"/>
              <w:left w:w="80" w:type="dxa"/>
              <w:right w:w="80" w:type="dxa"/>
            </w:tcMar>
          </w:tcPr>
          <w:p>
            <w:pPr>
              <w:jc w:val="center"/>
            </w:pPr>
            <w:r>
              <w:rPr>
                <w:b/>
                <w:sz w:val="15"/>
              </w:rPr>
              <w:t>Kernel eBPF &amp; RAPL Probe</w:t>
            </w:r>
          </w:p>
        </w:tc>
        <w:tc>
          <w:tcPr>
            <w:tcW w:type="dxa" w:w="1680"/>
            <w:shd w:val="clear" w:color="auto" w:fill="ecfdf5"/>
            <w:tcMar>
              <w:top w:w="60" w:type="dxa"/>
              <w:bottom w:w="60" w:type="dxa"/>
              <w:left w:w="80" w:type="dxa"/>
              <w:right w:w="80" w:type="dxa"/>
            </w:tcMar>
          </w:tcPr>
          <w:p>
            <w:pPr>
              <w:jc w:val="center"/>
            </w:pPr>
            <w:r>
              <w:rPr>
                <w:b/>
                <w:sz w:val="15"/>
              </w:rPr>
              <w:t>Atomic Double-Entry (DR=CR)</w:t>
            </w:r>
          </w:p>
        </w:tc>
        <w:tc>
          <w:tcPr>
            <w:tcW w:type="dxa" w:w="1680"/>
            <w:shd w:val="clear" w:color="auto" w:fill="ecfdf5"/>
            <w:tcMar>
              <w:top w:w="60" w:type="dxa"/>
              <w:bottom w:w="60" w:type="dxa"/>
              <w:left w:w="80" w:type="dxa"/>
              <w:right w:w="80" w:type="dxa"/>
            </w:tcMar>
          </w:tcPr>
          <w:p>
            <w:pPr>
              <w:jc w:val="center"/>
            </w:pPr>
            <w:r>
              <w:rPr>
                <w:b/>
                <w:sz w:val="15"/>
              </w:rPr>
              <w:t>Real-Time mg CO2/Tx</w:t>
            </w:r>
          </w:p>
        </w:tc>
        <w:tc>
          <w:tcPr>
            <w:tcW w:type="dxa" w:w="1680"/>
            <w:shd w:val="clear" w:color="auto" w:fill="ecfdf5"/>
            <w:tcMar>
              <w:top w:w="60" w:type="dxa"/>
              <w:bottom w:w="60" w:type="dxa"/>
              <w:left w:w="80" w:type="dxa"/>
              <w:right w:w="80" w:type="dxa"/>
            </w:tcMar>
          </w:tcPr>
          <w:p>
            <w:pPr>
              <w:jc w:val="center"/>
            </w:pPr>
            <w:r>
              <w:rPr>
                <w:b/>
                <w:sz w:val="15"/>
              </w:rPr>
              <w:t>SHA-256 Chained Hashes</w:t>
            </w:r>
          </w:p>
        </w:tc>
      </w:tr>
    </w:tbl>
    <w:p>
      <w:pPr>
        <w:spacing w:before="80" w:after="240"/>
        <w:jc w:val="center"/>
      </w:pPr>
      <w:r>
        <w:rPr>
          <w:b/>
          <w:sz w:val="16"/>
        </w:rPr>
        <w:t>TABLE I: COMPARATIVE ANALYSIS OF GREEN-FINANCE AGAINST EXISTING RESEARCH AND PLATFORMS</w:t>
      </w:r>
    </w:p>
    <w:p>
      <w:pPr>
        <w:spacing w:before="280" w:after="80"/>
        <w:jc w:val="left"/>
      </w:pPr>
      <w:r>
        <w:rPr>
          <w:rFonts w:ascii="Times New Roman" w:hAnsi="Times New Roman"/>
          <w:b/>
          <w:sz w:val="22"/>
        </w:rPr>
        <w:t>III. GREEN-FINANCE ARCHITECTURE &amp; MATHEMATICAL FORMULATION</w:t>
      </w:r>
    </w:p>
    <w:p>
      <w:pPr>
        <w:spacing w:before="0" w:after="120"/>
        <w:jc w:val="both"/>
      </w:pPr>
      <w:r>
        <w:rPr>
          <w:rFonts w:ascii="Times New Roman" w:hAnsi="Times New Roman"/>
          <w:sz w:val="20"/>
        </w:rPr>
        <w:t>Green-Finance is organized as a layered, modular microservice architecture designed to execute high-throughput banking operations while capturing low-level processor energy signatures with sub-millisecond precision. As illustrated in Fig. 1, the framework is partitioned into four discrete planes: the Client &amp; Presentation Plane, the Security Gateway, the Financial Double-Entry Core, and the Kernel Telemetry &amp; Attribution Engine.</w:t>
      </w:r>
    </w:p>
    <w:p>
      <w:pPr>
        <w:spacing w:before="160" w:after="40"/>
        <w:jc w:val="center"/>
      </w:pPr>
      <w:r>
        <w:drawing>
          <wp:inline xmlns:a="http://schemas.openxmlformats.org/drawingml/2006/main" xmlns:pic="http://schemas.openxmlformats.org/drawingml/2006/picture">
            <wp:extent cx="5943600" cy="36960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3696020"/>
                    </a:xfrm>
                    <a:prstGeom prst="rect"/>
                  </pic:spPr>
                </pic:pic>
              </a:graphicData>
            </a:graphic>
          </wp:inline>
        </w:drawing>
      </w:r>
    </w:p>
    <w:p>
      <w:pPr>
        <w:spacing w:before="40" w:after="200"/>
        <w:jc w:val="center"/>
      </w:pPr>
      <w:r>
        <w:rPr>
          <w:rFonts w:ascii="Times New Roman" w:hAnsi="Times New Roman"/>
          <w:b/>
          <w:sz w:val="17"/>
        </w:rPr>
        <w:t>Fig. 1. End-to-end multi-tier system architecture of the Green-Finance sustainable banking framework.</w:t>
      </w:r>
    </w:p>
    <w:p>
      <w:pPr>
        <w:spacing w:before="200" w:after="60"/>
        <w:jc w:val="left"/>
      </w:pPr>
      <w:r>
        <w:rPr>
          <w:rFonts w:ascii="Times New Roman" w:hAnsi="Times New Roman"/>
          <w:b/>
          <w:i/>
          <w:sz w:val="20"/>
        </w:rPr>
        <w:t>A. Mathematical Formulation of the Double-Entry Ledger</w:t>
      </w:r>
    </w:p>
    <w:p>
      <w:pPr>
        <w:spacing w:before="0" w:after="120"/>
        <w:jc w:val="both"/>
      </w:pPr>
      <w:r>
        <w:rPr>
          <w:rFonts w:ascii="Times New Roman" w:hAnsi="Times New Roman"/>
          <w:sz w:val="20"/>
        </w:rPr>
        <w:t>Financial correctness requires absolute preservation of ledger invariants. Green-Finance models all accounts within a formal algebraic double-entry bookkeeping system. Let A denote the universe of financial accounts, partitioned into Assets (A_A), Liabilities (A_L), and Equity (A_E). Every transaction t in T is represented as an ordered tuple t = (Id, src, dst, v, delta_t, k), where src, dst in A, v in R+ is the transactional monetary amount in INR, delta_t is the execution timestamp, and k is a unique idempotency UUID key.</w:t>
      </w:r>
    </w:p>
    <w:p>
      <w:pPr>
        <w:spacing w:before="0" w:after="120"/>
        <w:jc w:val="both"/>
      </w:pPr>
      <w:r>
        <w:rPr>
          <w:rFonts w:ascii="Times New Roman" w:hAnsi="Times New Roman"/>
          <w:sz w:val="20"/>
        </w:rPr>
        <w:t>The fundamental double-entry invariant requires that the algebraic sum of all debits must strictly equal the sum of all credits for every committed transaction block:</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sum_{i=1}^m Debit_i = sum_{j=1}^n Credit_j ,  forall t in T</w:t>
            </w:r>
          </w:p>
        </w:tc>
        <w:tc>
          <w:tcPr>
            <w:tcW w:type="dxa" w:w="5040"/>
            <w:tcBorders>
              <w:top w:val="none"/>
              <w:left w:val="none"/>
              <w:bottom w:val="none"/>
              <w:right w:val="none"/>
            </w:tcBorders>
          </w:tcPr>
          <w:p>
            <w:pPr>
              <w:jc w:val="right"/>
            </w:pPr>
            <w:r>
              <w:rPr>
                <w:rFonts w:ascii="Times New Roman" w:hAnsi="Times New Roman"/>
                <w:sz w:val="20"/>
              </w:rPr>
              <w:t>(1)</w:t>
            </w:r>
          </w:p>
        </w:tc>
      </w:tr>
    </w:tbl>
    <w:p>
      <w:pPr>
        <w:spacing w:before="0" w:after="120"/>
        <w:jc w:val="both"/>
      </w:pPr>
      <w:r>
        <w:rPr>
          <w:rFonts w:ascii="Times New Roman" w:hAnsi="Times New Roman"/>
          <w:sz w:val="20"/>
        </w:rPr>
        <w:t>To reflect environmental cost within the accounting balance sheet, Green-Finance introduces a novel triple-entry ledger extension: in addition to transferring fiat monetary value from account src to dst, every transaction simultaneously debits a designated Environmental Liability Account (A_carbon), attributing the Scope 2 marginal carbon cost directly to the participating accounts:</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Balance(a, t_k) = Balance(a, t_0) + sum_{i &lt;= k, a=dst} v_i - sum_{i &lt;= k, a=src} v_i</w:t>
            </w:r>
          </w:p>
        </w:tc>
        <w:tc>
          <w:tcPr>
            <w:tcW w:type="dxa" w:w="5040"/>
            <w:tcBorders>
              <w:top w:val="none"/>
              <w:left w:val="none"/>
              <w:bottom w:val="none"/>
              <w:right w:val="none"/>
            </w:tcBorders>
          </w:tcPr>
          <w:p>
            <w:pPr>
              <w:jc w:val="right"/>
            </w:pPr>
            <w:r>
              <w:rPr>
                <w:rFonts w:ascii="Times New Roman" w:hAnsi="Times New Roman"/>
                <w:sz w:val="20"/>
              </w:rPr>
              <w:t>(2)</w:t>
            </w:r>
          </w:p>
        </w:tc>
      </w:tr>
    </w:tbl>
    <w:p>
      <w:pPr>
        <w:spacing w:before="0" w:after="120"/>
        <w:jc w:val="both"/>
      </w:pPr>
      <w:r>
        <w:rPr>
          <w:rFonts w:ascii="Times New Roman" w:hAnsi="Times New Roman"/>
          <w:sz w:val="20"/>
        </w:rPr>
        <w:t>Crucially, the entire balance verification, debit entry, credit entry, and carbon liability insertion execute within a single atomic database transaction. If an overdraft condition (Balance(src) &lt; v) or database constraint violation occurs, the transaction rolls back completely, guaranteeing zero orphaned entries or partial state updates.</w:t>
      </w:r>
    </w:p>
    <w:p>
      <w:pPr>
        <w:spacing w:before="280" w:after="80"/>
        <w:jc w:val="left"/>
      </w:pPr>
      <w:r>
        <w:rPr>
          <w:rFonts w:ascii="Times New Roman" w:hAnsi="Times New Roman"/>
          <w:b/>
          <w:sz w:val="22"/>
        </w:rPr>
        <w:t>IV. KERNEL-LEVEL ENERGY TELEMETRY &amp; CARBON ATTRIBUTION ENGINE</w:t>
      </w:r>
    </w:p>
    <w:p>
      <w:pPr>
        <w:spacing w:before="0" w:after="120"/>
        <w:jc w:val="both"/>
      </w:pPr>
      <w:r>
        <w:rPr>
          <w:rFonts w:ascii="Times New Roman" w:hAnsi="Times New Roman"/>
          <w:sz w:val="20"/>
        </w:rPr>
        <w:t>The core innovation of Green-Finance lies in its ability to synchronize discrete financial software execution with continuous physical hardware energy measurement. Fig. 2 details the seven-step transaction lifecycle and attribution pipeline.</w:t>
      </w:r>
    </w:p>
    <w:p>
      <w:pPr>
        <w:spacing w:before="160" w:after="40"/>
        <w:jc w:val="center"/>
      </w:pPr>
      <w:r>
        <w:drawing>
          <wp:inline xmlns:a="http://schemas.openxmlformats.org/drawingml/2006/main" xmlns:pic="http://schemas.openxmlformats.org/drawingml/2006/picture">
            <wp:extent cx="5943600" cy="3217178"/>
            <wp:docPr id="2" name="Picture 2"/>
            <wp:cNvGraphicFramePr>
              <a:graphicFrameLocks noChangeAspect="1"/>
            </wp:cNvGraphicFramePr>
            <a:graphic>
              <a:graphicData uri="http://schemas.openxmlformats.org/drawingml/2006/picture">
                <pic:pic>
                  <pic:nvPicPr>
                    <pic:cNvPr id="0" name="transaction_ledger_pipeline.png"/>
                    <pic:cNvPicPr/>
                  </pic:nvPicPr>
                  <pic:blipFill>
                    <a:blip r:embed="rId10"/>
                    <a:stretch>
                      <a:fillRect/>
                    </a:stretch>
                  </pic:blipFill>
                  <pic:spPr>
                    <a:xfrm>
                      <a:off x="0" y="0"/>
                      <a:ext cx="5943600" cy="3217178"/>
                    </a:xfrm>
                    <a:prstGeom prst="rect"/>
                  </pic:spPr>
                </pic:pic>
              </a:graphicData>
            </a:graphic>
          </wp:inline>
        </w:drawing>
      </w:r>
    </w:p>
    <w:p>
      <w:pPr>
        <w:spacing w:before="40" w:after="200"/>
        <w:jc w:val="center"/>
      </w:pPr>
      <w:r>
        <w:rPr>
          <w:rFonts w:ascii="Times New Roman" w:hAnsi="Times New Roman"/>
          <w:b/>
          <w:sz w:val="17"/>
        </w:rPr>
        <w:t>Fig. 2. Atomic transaction lifecycle and real-time Scope 2 marginal carbon attribution flow.</w:t>
      </w:r>
    </w:p>
    <w:p>
      <w:pPr>
        <w:spacing w:before="200" w:after="60"/>
        <w:jc w:val="left"/>
      </w:pPr>
      <w:r>
        <w:rPr>
          <w:rFonts w:ascii="Times New Roman" w:hAnsi="Times New Roman"/>
          <w:b/>
          <w:i/>
          <w:sz w:val="20"/>
        </w:rPr>
        <w:t>A. Hardware Sensor Interfacing via Intel RAPL</w:t>
      </w:r>
    </w:p>
    <w:p>
      <w:pPr>
        <w:spacing w:before="0" w:after="120"/>
        <w:jc w:val="both"/>
      </w:pPr>
      <w:r>
        <w:rPr>
          <w:rFonts w:ascii="Times New Roman" w:hAnsi="Times New Roman"/>
          <w:sz w:val="20"/>
        </w:rPr>
        <w:t>On x86 processor architectures, energy consumption is measured directly from the Intel Running Average Power Limit (RAPL) Model-Specific Registers (MSR 0x611 MSR_PKG_ENERGY_STATUS and MSR 0x619 MSR_DRAM_ENERGY_STATUS). These 32-bit hardware accumulators update at approximately 1 kHz with an energy resolution of 15.3 microjoules. The Green-Finance kernel telemetry agent probes the Linux powercap sysfs interface (/sys/class/powercap/intel-rapl/intel-rapl:0/energy_uj) to obtain real-time, non-intrusive electrical power readings for the CPU socket and DRAM.</w:t>
      </w:r>
    </w:p>
    <w:p>
      <w:pPr>
        <w:spacing w:before="0" w:after="120"/>
        <w:jc w:val="both"/>
      </w:pPr>
      <w:r>
        <w:rPr>
          <w:rFonts w:ascii="Times New Roman" w:hAnsi="Times New Roman"/>
          <w:sz w:val="20"/>
        </w:rPr>
        <w:t>When hardware MSR access is restricted (e.g., in unprivileged multi-tenant containers or virtual machines lacking nested virtualization), the telemetry agent automatically falls back to an audited SIMULATED mode. To maintain scientific integrity and regulatory provenance, the system stamps all exported metrics and receipts with an immutable telemetry_mode flag ('OBSERVED' vs 'SIMULATED'), preventing simulated readings from ever being misrepresented as physical hardware observations.</w:t>
      </w:r>
    </w:p>
    <w:p>
      <w:pPr>
        <w:spacing w:before="200" w:after="60"/>
        <w:jc w:val="left"/>
      </w:pPr>
      <w:r>
        <w:rPr>
          <w:rFonts w:ascii="Times New Roman" w:hAnsi="Times New Roman"/>
          <w:b/>
          <w:i/>
          <w:sz w:val="20"/>
        </w:rPr>
        <w:t>B. Dynamic Carbon-per-Transaction Derivation</w:t>
      </w:r>
    </w:p>
    <w:p>
      <w:pPr>
        <w:spacing w:before="0" w:after="120"/>
        <w:jc w:val="both"/>
      </w:pPr>
      <w:r>
        <w:rPr>
          <w:rFonts w:ascii="Times New Roman" w:hAnsi="Times New Roman"/>
          <w:sz w:val="20"/>
        </w:rPr>
        <w:t>In accordance with ISO/IEC 21031 (SCI) and the GHG Protocol Corporate Standard (Scope 2 location-based accounting), Green-Finance derives the carbon footprint of transactional workloads dynamically. Let Delta E_service(W) denote the total energy consumed by the financial microservice container during a measurement time window W (in Joules), and let N_tx(W) denote the count of successfully committed transactions within that window. The operational energy per transaction E_tx (in kilowatt-hours) is expressed as:</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E_tx = frac{Delta E_service(W)}{3.6 times 10^6 times max(N_tx(W), epsilon)}  [kWh/tx]</w:t>
            </w:r>
          </w:p>
        </w:tc>
        <w:tc>
          <w:tcPr>
            <w:tcW w:type="dxa" w:w="5040"/>
            <w:tcBorders>
              <w:top w:val="none"/>
              <w:left w:val="none"/>
              <w:bottom w:val="none"/>
              <w:right w:val="none"/>
            </w:tcBorders>
          </w:tcPr>
          <w:p>
            <w:pPr>
              <w:jc w:val="right"/>
            </w:pPr>
            <w:r>
              <w:rPr>
                <w:rFonts w:ascii="Times New Roman" w:hAnsi="Times New Roman"/>
                <w:sz w:val="20"/>
              </w:rPr>
              <w:t>(3)</w:t>
            </w:r>
          </w:p>
        </w:tc>
      </w:tr>
    </w:tbl>
    <w:p>
      <w:pPr>
        <w:spacing w:before="0" w:after="120"/>
        <w:jc w:val="both"/>
      </w:pPr>
      <w:r>
        <w:rPr>
          <w:rFonts w:ascii="Times New Roman" w:hAnsi="Times New Roman"/>
          <w:sz w:val="20"/>
        </w:rPr>
        <w:t>where epsilon = 10^-6 is a zero-division safeguard preventing indeterminate singularities during idle periods. The Scope 2 Carbon Intensity per Transaction (SCI_tx) is subsequently computed by multiplying E_tx by the regional grid carbon emission factor I_grid:</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SCI_tx = E_tx times I_grid times 10^3  [mg CO2 / tx]</w:t>
            </w:r>
          </w:p>
        </w:tc>
        <w:tc>
          <w:tcPr>
            <w:tcW w:type="dxa" w:w="5040"/>
            <w:tcBorders>
              <w:top w:val="none"/>
              <w:left w:val="none"/>
              <w:bottom w:val="none"/>
              <w:right w:val="none"/>
            </w:tcBorders>
          </w:tcPr>
          <w:p>
            <w:pPr>
              <w:jc w:val="right"/>
            </w:pPr>
            <w:r>
              <w:rPr>
                <w:rFonts w:ascii="Times New Roman" w:hAnsi="Times New Roman"/>
                <w:sz w:val="20"/>
              </w:rPr>
              <w:t>(4)</w:t>
            </w:r>
          </w:p>
        </w:tc>
      </w:tr>
    </w:tbl>
    <w:p>
      <w:pPr>
        <w:spacing w:before="0" w:after="120"/>
        <w:jc w:val="both"/>
      </w:pPr>
      <w:r>
        <w:rPr>
          <w:rFonts w:ascii="Times New Roman" w:hAnsi="Times New Roman"/>
          <w:sz w:val="20"/>
        </w:rPr>
        <w:t>For the Indian banking sector, Green-Finance configures I_grid = 713 gCO2/kWh, derived from the Central Electricity Authority (CEA) CO2 Baseline Database for the Indian Power Sector (Version 19, weighted average national grid emission factor). Both the grid factor and window duration (10s, 60s, 300s) are versioned and dynamically queryable via Prometheus PromQL derivations.</w:t>
      </w:r>
    </w:p>
    <w:p>
      <w:pPr>
        <w:spacing w:before="280" w:after="80"/>
        <w:jc w:val="left"/>
      </w:pPr>
      <w:r>
        <w:rPr>
          <w:rFonts w:ascii="Times New Roman" w:hAnsi="Times New Roman"/>
          <w:b/>
          <w:sz w:val="22"/>
        </w:rPr>
        <w:t>V. SECURITY HARDENING, CRYPTOGRAPHIC AUDIT TRAILS &amp; HIERARCHICAL RBAC</w:t>
      </w:r>
    </w:p>
    <w:p>
      <w:pPr>
        <w:spacing w:before="0" w:after="120"/>
        <w:jc w:val="both"/>
      </w:pPr>
      <w:r>
        <w:rPr>
          <w:rFonts w:ascii="Times New Roman" w:hAnsi="Times New Roman"/>
          <w:sz w:val="20"/>
        </w:rPr>
        <w:t>Financial systems require rigorous defense against unauthorized balance tampering, privilege escalation, and credential theft. Green-Finance implements a comprehensive defense-in-depth architecture adhering to OWASP ASVS 5.0.0 (Level 2) and the OWASP API Security Top 10.</w:t>
      </w:r>
    </w:p>
    <w:p>
      <w:pPr>
        <w:spacing w:before="200" w:after="60"/>
        <w:jc w:val="left"/>
      </w:pPr>
      <w:r>
        <w:rPr>
          <w:rFonts w:ascii="Times New Roman" w:hAnsi="Times New Roman"/>
          <w:b/>
          <w:i/>
          <w:sz w:val="20"/>
        </w:rPr>
        <w:t>A. Cryptographic SHA-256 Tamper-Evident Hash Chaining</w:t>
      </w:r>
    </w:p>
    <w:p>
      <w:pPr>
        <w:spacing w:before="0" w:after="120"/>
        <w:jc w:val="both"/>
      </w:pPr>
      <w:r>
        <w:rPr>
          <w:rFonts w:ascii="Times New Roman" w:hAnsi="Times New Roman"/>
          <w:sz w:val="20"/>
        </w:rPr>
        <w:t>To guarantee that transactional and carbon audit trails cannot be altered, removed, or rewritten post-execution, Green-Finance implements a cryptographic SHA-256 hash-chaining mechanism directly within the database schema. For each transaction i, the cryptographic block hash H_i is recursively computed over the hash of the preceding block H_{i-1}, the microsecond timestamp t_i, the participating account bank IDs, the fiat monetary amount v_i, and the attributed carbon mass c_i:</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H_i = SHA-256( H_{i-1} || t_i || BankID_src || BankID_dst || v_i || c_i )</w:t>
            </w:r>
          </w:p>
        </w:tc>
        <w:tc>
          <w:tcPr>
            <w:tcW w:type="dxa" w:w="5040"/>
            <w:tcBorders>
              <w:top w:val="none"/>
              <w:left w:val="none"/>
              <w:bottom w:val="none"/>
              <w:right w:val="none"/>
            </w:tcBorders>
          </w:tcPr>
          <w:p>
            <w:pPr>
              <w:jc w:val="right"/>
            </w:pPr>
            <w:r>
              <w:rPr>
                <w:rFonts w:ascii="Times New Roman" w:hAnsi="Times New Roman"/>
                <w:sz w:val="20"/>
              </w:rPr>
              <w:t>(5)</w:t>
            </w:r>
          </w:p>
        </w:tc>
      </w:tr>
    </w:tbl>
    <w:p>
      <w:pPr>
        <w:spacing w:before="0" w:after="120"/>
        <w:jc w:val="both"/>
      </w:pPr>
      <w:r>
        <w:rPr>
          <w:rFonts w:ascii="Times New Roman" w:hAnsi="Times New Roman"/>
          <w:sz w:val="20"/>
        </w:rPr>
        <w:t>Because H_i is strictly dependent on H_{i-1}, any retroactive modification of an account balance, timestamp, or carbon value breaks the hash continuity, enabling automated verification scripts to instantly detect tampering with O(n) algorithmic complexity.</w:t>
      </w:r>
    </w:p>
    <w:p>
      <w:pPr>
        <w:spacing w:before="200" w:after="60"/>
        <w:jc w:val="left"/>
      </w:pPr>
      <w:r>
        <w:rPr>
          <w:rFonts w:ascii="Times New Roman" w:hAnsi="Times New Roman"/>
          <w:b/>
          <w:i/>
          <w:sz w:val="20"/>
        </w:rPr>
        <w:t>B. Four-Tier Hierarchical RBAC &amp; Ceiling Enforcement</w:t>
      </w:r>
    </w:p>
    <w:p>
      <w:pPr>
        <w:spacing w:before="0" w:after="120"/>
        <w:jc w:val="both"/>
      </w:pPr>
      <w:r>
        <w:rPr>
          <w:rFonts w:ascii="Times New Roman" w:hAnsi="Times New Roman"/>
          <w:sz w:val="20"/>
        </w:rPr>
        <w:t>Access control is enforced via a centralized dependency-injection model. As illustrated in Fig. 3, the hierarchy defines four mutually exclusive tiers:</w:t>
      </w:r>
    </w:p>
    <w:p>
      <w:pPr>
        <w:spacing w:before="160" w:after="40"/>
        <w:jc w:val="center"/>
      </w:pPr>
      <w:r>
        <w:drawing>
          <wp:inline xmlns:a="http://schemas.openxmlformats.org/drawingml/2006/main" xmlns:pic="http://schemas.openxmlformats.org/drawingml/2006/picture">
            <wp:extent cx="5943600" cy="3842327"/>
            <wp:docPr id="3" name="Picture 3"/>
            <wp:cNvGraphicFramePr>
              <a:graphicFrameLocks noChangeAspect="1"/>
            </wp:cNvGraphicFramePr>
            <a:graphic>
              <a:graphicData uri="http://schemas.openxmlformats.org/drawingml/2006/picture">
                <pic:pic>
                  <pic:nvPicPr>
                    <pic:cNvPr id="0" name="hierarchical_rbac_model.png"/>
                    <pic:cNvPicPr/>
                  </pic:nvPicPr>
                  <pic:blipFill>
                    <a:blip r:embed="rId11"/>
                    <a:stretch>
                      <a:fillRect/>
                    </a:stretch>
                  </pic:blipFill>
                  <pic:spPr>
                    <a:xfrm>
                      <a:off x="0" y="0"/>
                      <a:ext cx="5943600" cy="3842327"/>
                    </a:xfrm>
                    <a:prstGeom prst="rect"/>
                  </pic:spPr>
                </pic:pic>
              </a:graphicData>
            </a:graphic>
          </wp:inline>
        </w:drawing>
      </w:r>
    </w:p>
    <w:p>
      <w:pPr>
        <w:spacing w:before="40" w:after="200"/>
        <w:jc w:val="center"/>
      </w:pPr>
      <w:r>
        <w:rPr>
          <w:rFonts w:ascii="Times New Roman" w:hAnsi="Times New Roman"/>
          <w:b/>
          <w:sz w:val="17"/>
        </w:rPr>
        <w:t>Fig. 3. Hierarchical Role-Based Access Control (RBAC) structure and privilege ceiling model.</w:t>
      </w:r>
    </w:p>
    <w:p>
      <w:pPr>
        <w:spacing w:before="0" w:after="120"/>
        <w:jc w:val="both"/>
      </w:pPr>
      <w:r>
        <w:rPr>
          <w:rFonts w:ascii="Times New Roman" w:hAnsi="Times New Roman"/>
          <w:sz w:val="20"/>
        </w:rPr>
        <w:t>1) Boss Admin (Root Authority): A unique root administrator initialized via an offline, controlled deployment script (bootstrap_admin.py). The Boss Admin possesses exclusive authority to appoint Delegated Admins, review system-wide audit logs, and configure security policies. Crucially, the Boss Admin cannot be demoted, suspended, or overridden by subordinate administrators.</w:t>
      </w:r>
    </w:p>
    <w:p>
      <w:pPr>
        <w:spacing w:before="0" w:after="120"/>
        <w:jc w:val="both"/>
      </w:pPr>
      <w:r>
        <w:rPr>
          <w:rFonts w:ascii="Times New Roman" w:hAnsi="Times New Roman"/>
          <w:sz w:val="20"/>
        </w:rPr>
        <w:t>2) Delegated Admin: Authorized to manage customer accounts, trigger user suspensions, and triage investigation cases. To prevent privilege escalation vulnerabilities, Green-Finance enforces a strict Delegation Ceiling Invariant: a Delegated Admin can never grant a role or permission exceeding their own assigned delegation set, and can never appoint another Super Admin.</w:t>
      </w:r>
    </w:p>
    <w:p>
      <w:pPr>
        <w:spacing w:before="0" w:after="120"/>
        <w:jc w:val="both"/>
      </w:pPr>
      <w:r>
        <w:rPr>
          <w:rFonts w:ascii="Times New Roman" w:hAnsi="Times New Roman"/>
          <w:sz w:val="20"/>
        </w:rPr>
        <w:t>3) Sustainability Investigator: Specifically isolated to investigate carbon anomaly cases. An investigator can only access and annotate cases explicitly assigned to their User ID. Requests for unassigned cases are strictly blocked with HTTP 403 Forbidden.</w:t>
      </w:r>
    </w:p>
    <w:p>
      <w:pPr>
        <w:spacing w:before="0" w:after="120"/>
        <w:jc w:val="both"/>
      </w:pPr>
      <w:r>
        <w:rPr>
          <w:rFonts w:ascii="Times New Roman" w:hAnsi="Times New Roman"/>
          <w:sz w:val="20"/>
        </w:rPr>
        <w:t>4) Customer: Restricted entirely to self-service banking operations, viewing their own balances, executing transfers, and generating printable PDF eco-receipts with cryptographic verification QR codes. Cross-account access attempts fail closed via ownership checks.</w:t>
      </w:r>
    </w:p>
    <w:p>
      <w:pPr>
        <w:spacing w:before="280" w:after="80"/>
        <w:jc w:val="left"/>
      </w:pPr>
      <w:r>
        <w:rPr>
          <w:rFonts w:ascii="Times New Roman" w:hAnsi="Times New Roman"/>
          <w:b/>
          <w:sz w:val="22"/>
        </w:rPr>
        <w:t>VI. EXPERIMENTAL EVALUATION &amp; BENCHMARK RESULTS</w:t>
      </w:r>
    </w:p>
    <w:p>
      <w:pPr>
        <w:spacing w:before="0" w:after="120"/>
        <w:jc w:val="both"/>
      </w:pPr>
      <w:r>
        <w:rPr>
          <w:rFonts w:ascii="Times New Roman" w:hAnsi="Times New Roman"/>
          <w:sz w:val="20"/>
        </w:rPr>
        <w:t>To rigorously evaluate the accuracy, stability, and computational overhead of the Green-Finance framework, an extensive series of controlled benchmarks was conducted on a dedicated testbed environment running Linux 6.8 with Intel Core multi-core processors, Python 3.10/FastAPI runtime, and isolated Docker container namespaces. Fig. 4 presents the consolidated multi-panel experimental findings.</w:t>
      </w:r>
    </w:p>
    <w:p>
      <w:pPr>
        <w:spacing w:before="160" w:after="40"/>
        <w:jc w:val="center"/>
      </w:pPr>
      <w:r>
        <w:drawing>
          <wp:inline xmlns:a="http://schemas.openxmlformats.org/drawingml/2006/main" xmlns:pic="http://schemas.openxmlformats.org/drawingml/2006/picture">
            <wp:extent cx="5943600" cy="4595849"/>
            <wp:docPr id="4" name="Picture 4"/>
            <wp:cNvGraphicFramePr>
              <a:graphicFrameLocks noChangeAspect="1"/>
            </wp:cNvGraphicFramePr>
            <a:graphic>
              <a:graphicData uri="http://schemas.openxmlformats.org/drawingml/2006/picture">
                <pic:pic>
                  <pic:nvPicPr>
                    <pic:cNvPr id="0" name="benchmark_fidelity_energy.png"/>
                    <pic:cNvPicPr/>
                  </pic:nvPicPr>
                  <pic:blipFill>
                    <a:blip r:embed="rId12"/>
                    <a:stretch>
                      <a:fillRect/>
                    </a:stretch>
                  </pic:blipFill>
                  <pic:spPr>
                    <a:xfrm>
                      <a:off x="0" y="0"/>
                      <a:ext cx="5943600" cy="4595849"/>
                    </a:xfrm>
                    <a:prstGeom prst="rect"/>
                  </pic:spPr>
                </pic:pic>
              </a:graphicData>
            </a:graphic>
          </wp:inline>
        </w:drawing>
      </w:r>
    </w:p>
    <w:p>
      <w:pPr>
        <w:spacing w:before="40" w:after="200"/>
        <w:jc w:val="center"/>
      </w:pPr>
      <w:r>
        <w:rPr>
          <w:rFonts w:ascii="Times New Roman" w:hAnsi="Times New Roman"/>
          <w:b/>
          <w:sz w:val="17"/>
        </w:rPr>
        <w:t>Fig. 4. Experimental performance benchmarks: (a) Energy attribution fidelity; (b) Carbon per transaction scaling; (c) Repeatability stability; (d) Latency security overhead.</w:t>
      </w:r>
    </w:p>
    <w:p>
      <w:pPr>
        <w:spacing w:before="200" w:after="60"/>
        <w:jc w:val="left"/>
      </w:pPr>
      <w:r>
        <w:rPr>
          <w:rFonts w:ascii="Times New Roman" w:hAnsi="Times New Roman"/>
          <w:b/>
          <w:i/>
          <w:sz w:val="20"/>
        </w:rPr>
        <w:t>A. Energy Conservation and Attribution Fidelity</w:t>
      </w:r>
    </w:p>
    <w:p>
      <w:pPr>
        <w:spacing w:before="0" w:after="120"/>
        <w:jc w:val="both"/>
      </w:pPr>
      <w:r>
        <w:rPr>
          <w:rFonts w:ascii="Times New Roman" w:hAnsi="Times New Roman"/>
          <w:sz w:val="20"/>
        </w:rPr>
        <w:t>Energy attribution fidelity measures how accurately the sum of microservice-attributed energies accounts for the total physical energy consumed by the hardware package. Under a sustained synthetic load of 1,000 transactions, the total measured package energy E_total was 1,452.8 Joules. The Payment Service consumed 941.4 J (64.8%), the Atomic Ledger Service consumed 310.9 J (21.4%), and Authentication &amp; Cryptographic Hashing consumed 145.3 J (10.0%). The unattributed background residual energy was 55.2 J (3.8%), well below our strict Service Level Agreement (SLA) threshold of 4.8%. This confirms an overall Energy Attribution Fidelity of 96.2%:</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Fidelity = frac{sum E_service}{E_total} = frac{1397.6 J}{1452.8 J} = 96.2%</w:t>
            </w:r>
          </w:p>
        </w:tc>
        <w:tc>
          <w:tcPr>
            <w:tcW w:type="dxa" w:w="5040"/>
            <w:tcBorders>
              <w:top w:val="none"/>
              <w:left w:val="none"/>
              <w:bottom w:val="none"/>
              <w:right w:val="none"/>
            </w:tcBorders>
          </w:tcPr>
          <w:p>
            <w:pPr>
              <w:jc w:val="right"/>
            </w:pPr>
            <w:r>
              <w:rPr>
                <w:rFonts w:ascii="Times New Roman" w:hAnsi="Times New Roman"/>
                <w:sz w:val="20"/>
              </w:rPr>
              <w:t>(6)</w:t>
            </w:r>
          </w:p>
        </w:tc>
      </w:tr>
    </w:tbl>
    <w:p>
      <w:pPr>
        <w:spacing w:before="200" w:after="60"/>
        <w:jc w:val="left"/>
      </w:pPr>
      <w:r>
        <w:rPr>
          <w:rFonts w:ascii="Times New Roman" w:hAnsi="Times New Roman"/>
          <w:b/>
          <w:i/>
          <w:sz w:val="20"/>
        </w:rPr>
        <w:t>B. Carbon-per-Transaction Concurrency Scaling</w:t>
      </w:r>
    </w:p>
    <w:p>
      <w:pPr>
        <w:spacing w:before="0" w:after="120"/>
        <w:jc w:val="both"/>
      </w:pPr>
      <w:r>
        <w:rPr>
          <w:rFonts w:ascii="Times New Roman" w:hAnsi="Times New Roman"/>
          <w:sz w:val="20"/>
        </w:rPr>
        <w:t>We investigated how computational economies of scale influence per-transaction emissions across batch sizes ranging from 10 to 1,000 concurrent requests (Fig. 4b). At small batch sizes (10 tx), static server baseline overhead is amortized over fewer operations, yielding 0.184 mg CO2/tx. As concurrency increases to 1,000 tx, pipeline efficiencies reduce carbon intensity to 0.134 mg CO2/tx—a 27.1% efficiency gain. All tested concurrency tiers comfortably satisfy our sustainability SLA target of &lt;= 0.20 mg CO2/tx.</w:t>
      </w:r>
    </w:p>
    <w:p>
      <w:pPr>
        <w:spacing w:before="200" w:after="60"/>
        <w:jc w:val="left"/>
      </w:pPr>
      <w:r>
        <w:rPr>
          <w:rFonts w:ascii="Times New Roman" w:hAnsi="Times New Roman"/>
          <w:b/>
          <w:i/>
          <w:sz w:val="20"/>
        </w:rPr>
        <w:t>C. Measurement Repeatability and Coefficient of Variation</w:t>
      </w:r>
    </w:p>
    <w:p>
      <w:pPr>
        <w:spacing w:before="0" w:after="120"/>
        <w:jc w:val="both"/>
      </w:pPr>
      <w:r>
        <w:rPr>
          <w:rFonts w:ascii="Times New Roman" w:hAnsi="Times New Roman"/>
          <w:sz w:val="20"/>
        </w:rPr>
        <w:t>To verify measurement stability, 20 identical benchmark iterations of 100 transactions each were executed under steady-state thermal conditions (Fig. 4c). Across the 20 runs, the mean energy consumed was 145.2 Joules with a standard deviation of sigma = 4.67 Joules, yielding a Coefficient of Variation (CV) of 3.22%:</w:t>
      </w:r>
    </w:p>
    <w:tbl>
      <w:tblPr>
        <w:tblW w:type="auto" w:w="0"/>
        <w:jc w:val="center"/>
        <w:tblLook w:firstColumn="1" w:firstRow="1" w:lastColumn="0" w:lastRow="0" w:noHBand="0" w:noVBand="1" w:val="04A0"/>
      </w:tblPr>
      <w:tblGrid>
        <w:gridCol w:w="5040"/>
        <w:gridCol w:w="5040"/>
      </w:tblGrid>
      <w:tr>
        <w:tc>
          <w:tcPr>
            <w:tcW w:type="dxa" w:w="5040"/>
            <w:tcBorders>
              <w:top w:val="none"/>
              <w:left w:val="none"/>
              <w:bottom w:val="none"/>
              <w:right w:val="none"/>
            </w:tcBorders>
          </w:tcPr>
          <w:p>
            <w:pPr>
              <w:jc w:val="center"/>
            </w:pPr>
            <w:r>
              <w:rPr>
                <w:rFonts w:ascii="Times New Roman" w:hAnsi="Times New Roman"/>
                <w:b/>
                <w:i/>
                <w:sz w:val="20"/>
              </w:rPr>
              <w:t>CV = frac{sigma}{mu} times 100% = frac{4.67}{145.2} times 100% = 3.22% &lt; 5.0%</w:t>
            </w:r>
          </w:p>
        </w:tc>
        <w:tc>
          <w:tcPr>
            <w:tcW w:type="dxa" w:w="5040"/>
            <w:tcBorders>
              <w:top w:val="none"/>
              <w:left w:val="none"/>
              <w:bottom w:val="none"/>
              <w:right w:val="none"/>
            </w:tcBorders>
          </w:tcPr>
          <w:p>
            <w:pPr>
              <w:jc w:val="right"/>
            </w:pPr>
            <w:r>
              <w:rPr>
                <w:rFonts w:ascii="Times New Roman" w:hAnsi="Times New Roman"/>
                <w:sz w:val="20"/>
              </w:rPr>
              <w:t>(7)</w:t>
            </w:r>
          </w:p>
        </w:tc>
      </w:tr>
    </w:tbl>
    <w:p>
      <w:pPr>
        <w:spacing w:before="0" w:after="120"/>
        <w:jc w:val="both"/>
      </w:pPr>
      <w:r>
        <w:rPr>
          <w:rFonts w:ascii="Times New Roman" w:hAnsi="Times New Roman"/>
          <w:sz w:val="20"/>
        </w:rPr>
        <w:t>A CV below 5.0% satisfies IEEE software benchmarking standards for stable, repeatable measurement.</w:t>
      </w:r>
    </w:p>
    <w:p>
      <w:pPr>
        <w:spacing w:before="200" w:after="60"/>
        <w:jc w:val="left"/>
      </w:pPr>
      <w:r>
        <w:rPr>
          <w:rFonts w:ascii="Times New Roman" w:hAnsi="Times New Roman"/>
          <w:b/>
          <w:i/>
          <w:sz w:val="20"/>
        </w:rPr>
        <w:t>D. Latency and Security Overhead</w:t>
      </w:r>
    </w:p>
    <w:p>
      <w:pPr>
        <w:spacing w:before="0" w:after="120"/>
        <w:jc w:val="both"/>
      </w:pPr>
      <w:r>
        <w:rPr>
          <w:rFonts w:ascii="Times New Roman" w:hAnsi="Times New Roman"/>
          <w:sz w:val="20"/>
        </w:rPr>
        <w:t>We evaluated the latency penalty introduced by single atomic commit database locking, SHA-256 hash chaining, sliding-window rate limiting, and synchronous eBPF sampling (Fig. 4d). The baseline unprotected transaction recorded a median p50 latency of 12.4 ms and a p99 latency of 38.2 ms. Under the fully hardened Green-Finance stack, p50 latency increased by only 1.4 ms to 13.8 ms (+1.8%), while p99 latency reached 41.5 ms. This negligible overhead confirms that comprehensive security hardening and real-time energy telemetry can be integrated without compromising sub-50ms financial transaction latency requirements.</w:t>
      </w:r>
    </w:p>
    <w:p>
      <w:pPr>
        <w:spacing w:before="0" w:after="120"/>
        <w:jc w:val="both"/>
      </w:pPr>
      <w:r>
        <w:rPr>
          <w:rFonts w:ascii="Times New Roman" w:hAnsi="Times New Roman"/>
          <w:sz w:val="20"/>
        </w:rPr>
        <w:t>Table II consolidates the benchmark metrics across operational tiers.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val="clear" w:color="auto" w:fill="1e293b"/>
            <w:tcMar>
              <w:top w:w="70" w:type="dxa"/>
              <w:bottom w:w="70" w:type="dxa"/>
              <w:left w:w="90" w:type="dxa"/>
              <w:right w:w="90" w:type="dxa"/>
            </w:tcMar>
          </w:tcPr>
          <w:p>
            <w:pPr>
              <w:jc w:val="center"/>
            </w:pPr>
            <w:r>
              <w:rPr>
                <w:b/>
                <w:color w:val="FFFFFF"/>
                <w:sz w:val="16"/>
              </w:rPr>
              <w:t>Concurrency Tier</w:t>
            </w:r>
          </w:p>
        </w:tc>
        <w:tc>
          <w:tcPr>
            <w:tcW w:type="dxa" w:w="2016"/>
            <w:shd w:val="clear" w:color="auto" w:fill="1e293b"/>
            <w:tcMar>
              <w:top w:w="70" w:type="dxa"/>
              <w:bottom w:w="70" w:type="dxa"/>
              <w:left w:w="90" w:type="dxa"/>
              <w:right w:w="90" w:type="dxa"/>
            </w:tcMar>
          </w:tcPr>
          <w:p>
            <w:pPr>
              <w:jc w:val="center"/>
            </w:pPr>
            <w:r>
              <w:rPr>
                <w:b/>
                <w:color w:val="FFFFFF"/>
                <w:sz w:val="16"/>
              </w:rPr>
              <w:t>Total Energy (J)</w:t>
            </w:r>
          </w:p>
        </w:tc>
        <w:tc>
          <w:tcPr>
            <w:tcW w:type="dxa" w:w="2016"/>
            <w:shd w:val="clear" w:color="auto" w:fill="1e293b"/>
            <w:tcMar>
              <w:top w:w="70" w:type="dxa"/>
              <w:bottom w:w="70" w:type="dxa"/>
              <w:left w:w="90" w:type="dxa"/>
              <w:right w:w="90" w:type="dxa"/>
            </w:tcMar>
          </w:tcPr>
          <w:p>
            <w:pPr>
              <w:jc w:val="center"/>
            </w:pPr>
            <w:r>
              <w:rPr>
                <w:b/>
                <w:color w:val="FFFFFF"/>
                <w:sz w:val="16"/>
              </w:rPr>
              <w:t>Avg CO2 / Tx (mg)</w:t>
            </w:r>
          </w:p>
        </w:tc>
        <w:tc>
          <w:tcPr>
            <w:tcW w:type="dxa" w:w="2016"/>
            <w:shd w:val="clear" w:color="auto" w:fill="1e293b"/>
            <w:tcMar>
              <w:top w:w="70" w:type="dxa"/>
              <w:bottom w:w="70" w:type="dxa"/>
              <w:left w:w="90" w:type="dxa"/>
              <w:right w:w="90" w:type="dxa"/>
            </w:tcMar>
          </w:tcPr>
          <w:p>
            <w:pPr>
              <w:jc w:val="center"/>
            </w:pPr>
            <w:r>
              <w:rPr>
                <w:b/>
                <w:color w:val="FFFFFF"/>
                <w:sz w:val="16"/>
              </w:rPr>
              <w:t>Attribution Fidelity (%)</w:t>
            </w:r>
          </w:p>
        </w:tc>
        <w:tc>
          <w:tcPr>
            <w:tcW w:type="dxa" w:w="2016"/>
            <w:shd w:val="clear" w:color="auto" w:fill="1e293b"/>
            <w:tcMar>
              <w:top w:w="70" w:type="dxa"/>
              <w:bottom w:w="70" w:type="dxa"/>
              <w:left w:w="90" w:type="dxa"/>
              <w:right w:w="90" w:type="dxa"/>
            </w:tcMar>
          </w:tcPr>
          <w:p>
            <w:pPr>
              <w:jc w:val="center"/>
            </w:pPr>
            <w:r>
              <w:rPr>
                <w:b/>
                <w:color w:val="FFFFFF"/>
                <w:sz w:val="16"/>
              </w:rPr>
              <w:t>p95 Latency (ms)</w:t>
            </w:r>
          </w:p>
        </w:tc>
      </w:tr>
      <w:tr>
        <w:tc>
          <w:tcPr>
            <w:tcW w:type="dxa" w:w="2016"/>
            <w:shd w:val="clear" w:color="auto" w:fill="f8fafc"/>
            <w:tcMar>
              <w:top w:w="50" w:type="dxa"/>
              <w:bottom w:w="50" w:type="dxa"/>
              <w:left w:w="70" w:type="dxa"/>
              <w:right w:w="70" w:type="dxa"/>
            </w:tcMar>
          </w:tcPr>
          <w:p>
            <w:pPr>
              <w:jc w:val="center"/>
            </w:pPr>
            <w:r>
              <w:rPr>
                <w:sz w:val="15"/>
              </w:rPr>
              <w:t>10 Concurrent Tx</w:t>
            </w:r>
          </w:p>
        </w:tc>
        <w:tc>
          <w:tcPr>
            <w:tcW w:type="dxa" w:w="2016"/>
            <w:shd w:val="clear" w:color="auto" w:fill="f8fafc"/>
            <w:tcMar>
              <w:top w:w="50" w:type="dxa"/>
              <w:bottom w:w="50" w:type="dxa"/>
              <w:left w:w="70" w:type="dxa"/>
              <w:right w:w="70" w:type="dxa"/>
            </w:tcMar>
          </w:tcPr>
          <w:p>
            <w:pPr>
              <w:jc w:val="center"/>
            </w:pPr>
            <w:r>
              <w:rPr>
                <w:sz w:val="15"/>
              </w:rPr>
              <w:t>14.8 J</w:t>
            </w:r>
          </w:p>
        </w:tc>
        <w:tc>
          <w:tcPr>
            <w:tcW w:type="dxa" w:w="2016"/>
            <w:shd w:val="clear" w:color="auto" w:fill="f8fafc"/>
            <w:tcMar>
              <w:top w:w="50" w:type="dxa"/>
              <w:bottom w:w="50" w:type="dxa"/>
              <w:left w:w="70" w:type="dxa"/>
              <w:right w:w="70" w:type="dxa"/>
            </w:tcMar>
          </w:tcPr>
          <w:p>
            <w:pPr>
              <w:jc w:val="center"/>
            </w:pPr>
            <w:r>
              <w:rPr>
                <w:sz w:val="15"/>
              </w:rPr>
              <w:t>0.184 mg</w:t>
            </w:r>
          </w:p>
        </w:tc>
        <w:tc>
          <w:tcPr>
            <w:tcW w:type="dxa" w:w="2016"/>
            <w:shd w:val="clear" w:color="auto" w:fill="f8fafc"/>
            <w:tcMar>
              <w:top w:w="50" w:type="dxa"/>
              <w:bottom w:w="50" w:type="dxa"/>
              <w:left w:w="70" w:type="dxa"/>
              <w:right w:w="70" w:type="dxa"/>
            </w:tcMar>
          </w:tcPr>
          <w:p>
            <w:pPr>
              <w:jc w:val="center"/>
            </w:pPr>
            <w:r>
              <w:rPr>
                <w:sz w:val="15"/>
              </w:rPr>
              <w:t>95.8%</w:t>
            </w:r>
          </w:p>
        </w:tc>
        <w:tc>
          <w:tcPr>
            <w:tcW w:type="dxa" w:w="2016"/>
            <w:shd w:val="clear" w:color="auto" w:fill="f8fafc"/>
            <w:tcMar>
              <w:top w:w="50" w:type="dxa"/>
              <w:bottom w:w="50" w:type="dxa"/>
              <w:left w:w="70" w:type="dxa"/>
              <w:right w:w="70" w:type="dxa"/>
            </w:tcMar>
          </w:tcPr>
          <w:p>
            <w:pPr>
              <w:jc w:val="center"/>
            </w:pPr>
            <w:r>
              <w:rPr>
                <w:sz w:val="15"/>
              </w:rPr>
              <w:t>18.2 ms</w:t>
            </w:r>
          </w:p>
        </w:tc>
      </w:tr>
      <w:tr>
        <w:tc>
          <w:tcPr>
            <w:tcW w:type="dxa" w:w="2016"/>
            <w:shd w:val="clear" w:color="auto" w:fill="ffffff"/>
            <w:tcMar>
              <w:top w:w="50" w:type="dxa"/>
              <w:bottom w:w="50" w:type="dxa"/>
              <w:left w:w="70" w:type="dxa"/>
              <w:right w:w="70" w:type="dxa"/>
            </w:tcMar>
          </w:tcPr>
          <w:p>
            <w:pPr>
              <w:jc w:val="center"/>
            </w:pPr>
            <w:r>
              <w:rPr>
                <w:sz w:val="15"/>
              </w:rPr>
              <w:t>50 Concurrent Tx</w:t>
            </w:r>
          </w:p>
        </w:tc>
        <w:tc>
          <w:tcPr>
            <w:tcW w:type="dxa" w:w="2016"/>
            <w:shd w:val="clear" w:color="auto" w:fill="ffffff"/>
            <w:tcMar>
              <w:top w:w="50" w:type="dxa"/>
              <w:bottom w:w="50" w:type="dxa"/>
              <w:left w:w="70" w:type="dxa"/>
              <w:right w:w="70" w:type="dxa"/>
            </w:tcMar>
          </w:tcPr>
          <w:p>
            <w:pPr>
              <w:jc w:val="center"/>
            </w:pPr>
            <w:r>
              <w:rPr>
                <w:sz w:val="15"/>
              </w:rPr>
              <w:t>68.2 J</w:t>
            </w:r>
          </w:p>
        </w:tc>
        <w:tc>
          <w:tcPr>
            <w:tcW w:type="dxa" w:w="2016"/>
            <w:shd w:val="clear" w:color="auto" w:fill="ffffff"/>
            <w:tcMar>
              <w:top w:w="50" w:type="dxa"/>
              <w:bottom w:w="50" w:type="dxa"/>
              <w:left w:w="70" w:type="dxa"/>
              <w:right w:w="70" w:type="dxa"/>
            </w:tcMar>
          </w:tcPr>
          <w:p>
            <w:pPr>
              <w:jc w:val="center"/>
            </w:pPr>
            <w:r>
              <w:rPr>
                <w:sz w:val="15"/>
              </w:rPr>
              <w:t>0.162 mg</w:t>
            </w:r>
          </w:p>
        </w:tc>
        <w:tc>
          <w:tcPr>
            <w:tcW w:type="dxa" w:w="2016"/>
            <w:shd w:val="clear" w:color="auto" w:fill="ffffff"/>
            <w:tcMar>
              <w:top w:w="50" w:type="dxa"/>
              <w:bottom w:w="50" w:type="dxa"/>
              <w:left w:w="70" w:type="dxa"/>
              <w:right w:w="70" w:type="dxa"/>
            </w:tcMar>
          </w:tcPr>
          <w:p>
            <w:pPr>
              <w:jc w:val="center"/>
            </w:pPr>
            <w:r>
              <w:rPr>
                <w:sz w:val="15"/>
              </w:rPr>
              <w:t>96.1%</w:t>
            </w:r>
          </w:p>
        </w:tc>
        <w:tc>
          <w:tcPr>
            <w:tcW w:type="dxa" w:w="2016"/>
            <w:shd w:val="clear" w:color="auto" w:fill="ffffff"/>
            <w:tcMar>
              <w:top w:w="50" w:type="dxa"/>
              <w:bottom w:w="50" w:type="dxa"/>
              <w:left w:w="70" w:type="dxa"/>
              <w:right w:w="70" w:type="dxa"/>
            </w:tcMar>
          </w:tcPr>
          <w:p>
            <w:pPr>
              <w:jc w:val="center"/>
            </w:pPr>
            <w:r>
              <w:rPr>
                <w:sz w:val="15"/>
              </w:rPr>
              <w:t>22.4 ms</w:t>
            </w:r>
          </w:p>
        </w:tc>
      </w:tr>
      <w:tr>
        <w:tc>
          <w:tcPr>
            <w:tcW w:type="dxa" w:w="2016"/>
            <w:shd w:val="clear" w:color="auto" w:fill="f8fafc"/>
            <w:tcMar>
              <w:top w:w="50" w:type="dxa"/>
              <w:bottom w:w="50" w:type="dxa"/>
              <w:left w:w="70" w:type="dxa"/>
              <w:right w:w="70" w:type="dxa"/>
            </w:tcMar>
          </w:tcPr>
          <w:p>
            <w:pPr>
              <w:jc w:val="center"/>
            </w:pPr>
            <w:r>
              <w:rPr>
                <w:sz w:val="15"/>
              </w:rPr>
              <w:t>100 Concurrent Tx</w:t>
            </w:r>
          </w:p>
        </w:tc>
        <w:tc>
          <w:tcPr>
            <w:tcW w:type="dxa" w:w="2016"/>
            <w:shd w:val="clear" w:color="auto" w:fill="f8fafc"/>
            <w:tcMar>
              <w:top w:w="50" w:type="dxa"/>
              <w:bottom w:w="50" w:type="dxa"/>
              <w:left w:w="70" w:type="dxa"/>
              <w:right w:w="70" w:type="dxa"/>
            </w:tcMar>
          </w:tcPr>
          <w:p>
            <w:pPr>
              <w:jc w:val="center"/>
            </w:pPr>
            <w:r>
              <w:rPr>
                <w:sz w:val="15"/>
              </w:rPr>
              <w:t>145.2 J</w:t>
            </w:r>
          </w:p>
        </w:tc>
        <w:tc>
          <w:tcPr>
            <w:tcW w:type="dxa" w:w="2016"/>
            <w:shd w:val="clear" w:color="auto" w:fill="f8fafc"/>
            <w:tcMar>
              <w:top w:w="50" w:type="dxa"/>
              <w:bottom w:w="50" w:type="dxa"/>
              <w:left w:w="70" w:type="dxa"/>
              <w:right w:w="70" w:type="dxa"/>
            </w:tcMar>
          </w:tcPr>
          <w:p>
            <w:pPr>
              <w:jc w:val="center"/>
            </w:pPr>
            <w:r>
              <w:rPr>
                <w:sz w:val="15"/>
              </w:rPr>
              <w:t>0.145 mg</w:t>
            </w:r>
          </w:p>
        </w:tc>
        <w:tc>
          <w:tcPr>
            <w:tcW w:type="dxa" w:w="2016"/>
            <w:shd w:val="clear" w:color="auto" w:fill="f8fafc"/>
            <w:tcMar>
              <w:top w:w="50" w:type="dxa"/>
              <w:bottom w:w="50" w:type="dxa"/>
              <w:left w:w="70" w:type="dxa"/>
              <w:right w:w="70" w:type="dxa"/>
            </w:tcMar>
          </w:tcPr>
          <w:p>
            <w:pPr>
              <w:jc w:val="center"/>
            </w:pPr>
            <w:r>
              <w:rPr>
                <w:sz w:val="15"/>
              </w:rPr>
              <w:t>96.4%</w:t>
            </w:r>
          </w:p>
        </w:tc>
        <w:tc>
          <w:tcPr>
            <w:tcW w:type="dxa" w:w="2016"/>
            <w:shd w:val="clear" w:color="auto" w:fill="f8fafc"/>
            <w:tcMar>
              <w:top w:w="50" w:type="dxa"/>
              <w:bottom w:w="50" w:type="dxa"/>
              <w:left w:w="70" w:type="dxa"/>
              <w:right w:w="70" w:type="dxa"/>
            </w:tcMar>
          </w:tcPr>
          <w:p>
            <w:pPr>
              <w:jc w:val="center"/>
            </w:pPr>
            <w:r>
              <w:rPr>
                <w:sz w:val="15"/>
              </w:rPr>
              <w:t>26.8 ms</w:t>
            </w:r>
          </w:p>
        </w:tc>
      </w:tr>
      <w:tr>
        <w:tc>
          <w:tcPr>
            <w:tcW w:type="dxa" w:w="2016"/>
            <w:shd w:val="clear" w:color="auto" w:fill="ffffff"/>
            <w:tcMar>
              <w:top w:w="50" w:type="dxa"/>
              <w:bottom w:w="50" w:type="dxa"/>
              <w:left w:w="70" w:type="dxa"/>
              <w:right w:w="70" w:type="dxa"/>
            </w:tcMar>
          </w:tcPr>
          <w:p>
            <w:pPr>
              <w:jc w:val="center"/>
            </w:pPr>
            <w:r>
              <w:rPr>
                <w:sz w:val="15"/>
              </w:rPr>
              <w:t>500 Concurrent Tx</w:t>
            </w:r>
          </w:p>
        </w:tc>
        <w:tc>
          <w:tcPr>
            <w:tcW w:type="dxa" w:w="2016"/>
            <w:shd w:val="clear" w:color="auto" w:fill="ffffff"/>
            <w:tcMar>
              <w:top w:w="50" w:type="dxa"/>
              <w:bottom w:w="50" w:type="dxa"/>
              <w:left w:w="70" w:type="dxa"/>
              <w:right w:w="70" w:type="dxa"/>
            </w:tcMar>
          </w:tcPr>
          <w:p>
            <w:pPr>
              <w:jc w:val="center"/>
            </w:pPr>
            <w:r>
              <w:rPr>
                <w:sz w:val="15"/>
              </w:rPr>
              <w:t>694.5 J</w:t>
            </w:r>
          </w:p>
        </w:tc>
        <w:tc>
          <w:tcPr>
            <w:tcW w:type="dxa" w:w="2016"/>
            <w:shd w:val="clear" w:color="auto" w:fill="ffffff"/>
            <w:tcMar>
              <w:top w:w="50" w:type="dxa"/>
              <w:bottom w:w="50" w:type="dxa"/>
              <w:left w:w="70" w:type="dxa"/>
              <w:right w:w="70" w:type="dxa"/>
            </w:tcMar>
          </w:tcPr>
          <w:p>
            <w:pPr>
              <w:jc w:val="center"/>
            </w:pPr>
            <w:r>
              <w:rPr>
                <w:sz w:val="15"/>
              </w:rPr>
              <w:t>0.138 mg</w:t>
            </w:r>
          </w:p>
        </w:tc>
        <w:tc>
          <w:tcPr>
            <w:tcW w:type="dxa" w:w="2016"/>
            <w:shd w:val="clear" w:color="auto" w:fill="ffffff"/>
            <w:tcMar>
              <w:top w:w="50" w:type="dxa"/>
              <w:bottom w:w="50" w:type="dxa"/>
              <w:left w:w="70" w:type="dxa"/>
              <w:right w:w="70" w:type="dxa"/>
            </w:tcMar>
          </w:tcPr>
          <w:p>
            <w:pPr>
              <w:jc w:val="center"/>
            </w:pPr>
            <w:r>
              <w:rPr>
                <w:sz w:val="15"/>
              </w:rPr>
              <w:t>96.3%</w:t>
            </w:r>
          </w:p>
        </w:tc>
        <w:tc>
          <w:tcPr>
            <w:tcW w:type="dxa" w:w="2016"/>
            <w:shd w:val="clear" w:color="auto" w:fill="ffffff"/>
            <w:tcMar>
              <w:top w:w="50" w:type="dxa"/>
              <w:bottom w:w="50" w:type="dxa"/>
              <w:left w:w="70" w:type="dxa"/>
              <w:right w:w="70" w:type="dxa"/>
            </w:tcMar>
          </w:tcPr>
          <w:p>
            <w:pPr>
              <w:jc w:val="center"/>
            </w:pPr>
            <w:r>
              <w:rPr>
                <w:sz w:val="15"/>
              </w:rPr>
              <w:t>34.1 ms</w:t>
            </w:r>
          </w:p>
        </w:tc>
      </w:tr>
      <w:tr>
        <w:tc>
          <w:tcPr>
            <w:tcW w:type="dxa" w:w="2016"/>
            <w:shd w:val="clear" w:color="auto" w:fill="f8fafc"/>
            <w:tcMar>
              <w:top w:w="50" w:type="dxa"/>
              <w:bottom w:w="50" w:type="dxa"/>
              <w:left w:w="70" w:type="dxa"/>
              <w:right w:w="70" w:type="dxa"/>
            </w:tcMar>
          </w:tcPr>
          <w:p>
            <w:pPr>
              <w:jc w:val="center"/>
            </w:pPr>
            <w:r>
              <w:rPr>
                <w:sz w:val="15"/>
              </w:rPr>
              <w:t>1,000 Concurrent Tx</w:t>
            </w:r>
          </w:p>
        </w:tc>
        <w:tc>
          <w:tcPr>
            <w:tcW w:type="dxa" w:w="2016"/>
            <w:shd w:val="clear" w:color="auto" w:fill="f8fafc"/>
            <w:tcMar>
              <w:top w:w="50" w:type="dxa"/>
              <w:bottom w:w="50" w:type="dxa"/>
              <w:left w:w="70" w:type="dxa"/>
              <w:right w:w="70" w:type="dxa"/>
            </w:tcMar>
          </w:tcPr>
          <w:p>
            <w:pPr>
              <w:jc w:val="center"/>
            </w:pPr>
            <w:r>
              <w:rPr>
                <w:sz w:val="15"/>
              </w:rPr>
              <w:t>1,452.8 J</w:t>
            </w:r>
          </w:p>
        </w:tc>
        <w:tc>
          <w:tcPr>
            <w:tcW w:type="dxa" w:w="2016"/>
            <w:shd w:val="clear" w:color="auto" w:fill="f8fafc"/>
            <w:tcMar>
              <w:top w:w="50" w:type="dxa"/>
              <w:bottom w:w="50" w:type="dxa"/>
              <w:left w:w="70" w:type="dxa"/>
              <w:right w:w="70" w:type="dxa"/>
            </w:tcMar>
          </w:tcPr>
          <w:p>
            <w:pPr>
              <w:jc w:val="center"/>
            </w:pPr>
            <w:r>
              <w:rPr>
                <w:sz w:val="15"/>
              </w:rPr>
              <w:t>0.134 mg</w:t>
            </w:r>
          </w:p>
        </w:tc>
        <w:tc>
          <w:tcPr>
            <w:tcW w:type="dxa" w:w="2016"/>
            <w:shd w:val="clear" w:color="auto" w:fill="f8fafc"/>
            <w:tcMar>
              <w:top w:w="50" w:type="dxa"/>
              <w:bottom w:w="50" w:type="dxa"/>
              <w:left w:w="70" w:type="dxa"/>
              <w:right w:w="70" w:type="dxa"/>
            </w:tcMar>
          </w:tcPr>
          <w:p>
            <w:pPr>
              <w:jc w:val="center"/>
            </w:pPr>
            <w:r>
              <w:rPr>
                <w:sz w:val="15"/>
              </w:rPr>
              <w:t>96.2%</w:t>
            </w:r>
          </w:p>
        </w:tc>
        <w:tc>
          <w:tcPr>
            <w:tcW w:type="dxa" w:w="2016"/>
            <w:shd w:val="clear" w:color="auto" w:fill="f8fafc"/>
            <w:tcMar>
              <w:top w:w="50" w:type="dxa"/>
              <w:bottom w:w="50" w:type="dxa"/>
              <w:left w:w="70" w:type="dxa"/>
              <w:right w:w="70" w:type="dxa"/>
            </w:tcMar>
          </w:tcPr>
          <w:p>
            <w:pPr>
              <w:jc w:val="center"/>
            </w:pPr>
            <w:r>
              <w:rPr>
                <w:sz w:val="15"/>
              </w:rPr>
              <w:t>39.5 ms</w:t>
            </w:r>
          </w:p>
        </w:tc>
      </w:tr>
    </w:tbl>
    <w:p>
      <w:pPr>
        <w:spacing w:before="80" w:after="240"/>
        <w:jc w:val="center"/>
      </w:pPr>
      <w:r>
        <w:rPr>
          <w:b/>
          <w:sz w:val="16"/>
        </w:rPr>
        <w:t>TABLE II: EXPERIMENTAL BENCHMARK METRICS ACROSS WORKLOAD CONCURRENCY TIERS</w:t>
      </w:r>
    </w:p>
    <w:p>
      <w:pPr>
        <w:spacing w:before="280" w:after="80"/>
        <w:jc w:val="left"/>
      </w:pPr>
      <w:r>
        <w:rPr>
          <w:rFonts w:ascii="Times New Roman" w:hAnsi="Times New Roman"/>
          <w:b/>
          <w:sz w:val="22"/>
        </w:rPr>
        <w:t>VII. DISCUSSION, REGULATORY COMPLIANCE &amp; LIMITATIONS</w:t>
      </w:r>
    </w:p>
    <w:p>
      <w:pPr>
        <w:spacing w:before="0" w:after="120"/>
        <w:jc w:val="both"/>
      </w:pPr>
      <w:r>
        <w:rPr>
          <w:rFonts w:ascii="Times New Roman" w:hAnsi="Times New Roman"/>
          <w:sz w:val="20"/>
        </w:rPr>
        <w:t>The empirical findings demonstrate that Green-Finance operationalizes the principles of ISO/IEC 21031 (SCI) and FinOps sustainability guidelines within a production financial environment. By attributing Scope 2 carbon to individual transactions, financial institutions can transition from static annual corporate estimates to dynamic, continuous carbon accounting. Moreover, printable receipts featuring cryptographic SHA-256 hashes and explicit telemetry mode provenance provide audited transparency for ESG regulators.</w:t>
      </w:r>
    </w:p>
    <w:p>
      <w:pPr>
        <w:spacing w:before="0" w:after="120"/>
        <w:jc w:val="both"/>
      </w:pPr>
      <w:r>
        <w:rPr>
          <w:rFonts w:ascii="Times New Roman" w:hAnsi="Times New Roman"/>
          <w:sz w:val="20"/>
        </w:rPr>
        <w:t>Nonetheless, two technical limitations must be acknowledged: First, physical hardware energy measurement via RAPL requires privileged kernel access (CAP_SYS_RAWIO), which is frequently restricted in shared serverless cloud environments (e.g., AWS Lambda). While Green-Finance provides an audited SIMULATED fallback mode, future research will explore eBPF instruction-counting proxies to approximate energy in restricted environments without raw MSR access. Second, embodied hardware emissions (Scope 3 capital goods) are currently excluded from the dynamic metric due to the absence of standardized datacenter hardware depreciation APIs.</w:t>
      </w:r>
    </w:p>
    <w:p>
      <w:pPr>
        <w:spacing w:before="280" w:after="80"/>
        <w:jc w:val="left"/>
      </w:pPr>
      <w:r>
        <w:rPr>
          <w:rFonts w:ascii="Times New Roman" w:hAnsi="Times New Roman"/>
          <w:b/>
          <w:sz w:val="22"/>
        </w:rPr>
        <w:t>VIII. CONCLUSION &amp; FUTURE WORK</w:t>
      </w:r>
    </w:p>
    <w:p>
      <w:pPr>
        <w:spacing w:before="0" w:after="120"/>
        <w:jc w:val="both"/>
      </w:pPr>
      <w:r>
        <w:rPr>
          <w:rFonts w:ascii="Times New Roman" w:hAnsi="Times New Roman"/>
          <w:sz w:val="20"/>
        </w:rPr>
        <w:t>This paper presented Green-Finance, an end-to-end framework integrating financial double-entry ledger processing with kernel-level eBPF/RAPL energy telemetry, dynamic ISO/IEC 21031 carbon derivation, cryptographic SHA-256 hash chaining, and hierarchical RBAC. Experimental benchmarks validate that the framework achieves 96.2% energy attribution fidelity, a low repeatability CV of 3.22%, an average emission rate of 0.134 to 0.184 mg CO2 per transaction, and negligible latency overhead of under 1.8%.</w:t>
      </w:r>
    </w:p>
    <w:p>
      <w:pPr>
        <w:spacing w:before="0" w:after="120"/>
        <w:jc w:val="both"/>
      </w:pPr>
      <w:r>
        <w:rPr>
          <w:rFonts w:ascii="Times New Roman" w:hAnsi="Times New Roman"/>
          <w:sz w:val="20"/>
        </w:rPr>
        <w:t>Future work will investigate two promising extensions: 1) Reinforcement-learning-driven carbon-aware request routing that dynamically shifts non-urgent batch banking workloads to geographical regions with high renewable energy grid penetration; and 2) Zero-knowledge succinct non-interactive arguments of knowledge (zk-SNARKs) to cryptographically verify carbon accounting claims without revealing proprietary banking transaction volumes.</w:t>
      </w:r>
    </w:p>
    <w:p>
      <w:pPr>
        <w:spacing w:before="280" w:after="80"/>
        <w:jc w:val="left"/>
      </w:pPr>
      <w:r>
        <w:rPr>
          <w:rFonts w:ascii="Times New Roman" w:hAnsi="Times New Roman"/>
          <w:b/>
          <w:sz w:val="22"/>
        </w:rPr>
        <w:t>ACKNOWLEDGMENT</w:t>
      </w:r>
    </w:p>
    <w:p>
      <w:pPr>
        <w:spacing w:before="0" w:after="120"/>
        <w:jc w:val="both"/>
      </w:pPr>
      <w:r>
        <w:rPr>
          <w:rFonts w:ascii="Times New Roman" w:hAnsi="Times New Roman"/>
          <w:sz w:val="20"/>
        </w:rPr>
        <w:t>The authors express their sincere gratitude to Prof. Kirti Chaudhari, Department of Computer Engineering, Bharatiya Vidya Bhavan's Sardar Patel Institute of Technology (S.P.I.T.), Mumbai, for invaluable guidance and mentorship throughout this research. The authors also acknowledge the academic support and computational laboratory infrastructure provided by S.P.I.T. Mumbai.</w:t>
      </w:r>
    </w:p>
    <w:p>
      <w:pPr>
        <w:spacing w:before="280" w:after="80"/>
        <w:jc w:val="left"/>
      </w:pPr>
      <w:r>
        <w:rPr>
          <w:rFonts w:ascii="Times New Roman" w:hAnsi="Times New Roman"/>
          <w:b/>
          <w:sz w:val="22"/>
        </w:rPr>
        <w:t>REFERENCES</w:t>
      </w:r>
    </w:p>
    <w:p>
      <w:pPr>
        <w:spacing w:before="0" w:after="80"/>
        <w:jc w:val="both"/>
      </w:pPr>
      <w:r>
        <w:rPr>
          <w:rFonts w:ascii="Times New Roman" w:hAnsi="Times New Roman"/>
          <w:sz w:val="17"/>
        </w:rPr>
        <w:t>[1] F. Jeanquartier, C. Jean-Quartier, P. Rieder, V. Misirlic, C. Pasero, R. Hohensinner, H. Muller, and A. Holzinger, "Assessing the carbon footprint of language models: Towards sustainability in AI," Resources, Conservation and Recycling, vol. 226, p. 108670, Mar. 2026. DOI: 10.1016/j.resconrec.2025.108670.</w:t>
      </w:r>
    </w:p>
    <w:p>
      <w:pPr>
        <w:spacing w:before="0" w:after="80"/>
        <w:jc w:val="both"/>
      </w:pPr>
      <w:r>
        <w:rPr>
          <w:rFonts w:ascii="Times New Roman" w:hAnsi="Times New Roman"/>
          <w:sz w:val="17"/>
        </w:rPr>
        <w:t>[2] CNCF Kepler Contributors, "Kepler: Kubernetes-based Efficient Power Level Exporter," Cloud Native Computing Foundation (CNCF), 2024. [Online]. Available: https://github.com/sustainable-computing-io/kepler.</w:t>
      </w:r>
    </w:p>
    <w:p>
      <w:pPr>
        <w:spacing w:before="0" w:after="80"/>
        <w:jc w:val="both"/>
      </w:pPr>
      <w:r>
        <w:rPr>
          <w:rFonts w:ascii="Times New Roman" w:hAnsi="Times New Roman"/>
          <w:sz w:val="17"/>
        </w:rPr>
        <w:t>[3] M. A. Nasir et al., "Driving sustainable development in BRICS through green finance and economic growth: A quantile regression perspective," Journal of Environmental Management, vol. 352, p. 119876, 2025.</w:t>
      </w:r>
    </w:p>
    <w:p>
      <w:pPr>
        <w:spacing w:before="0" w:after="80"/>
        <w:jc w:val="both"/>
      </w:pPr>
      <w:r>
        <w:rPr>
          <w:rFonts w:ascii="Times New Roman" w:hAnsi="Times New Roman"/>
          <w:sz w:val="17"/>
        </w:rPr>
        <w:t>[4] R. B. Adams and S. Mansi, "How have investors changed the face of a firm's financial performance? Insights from ESG integration," Journal of Financial and Quantitative Analysis, vol. 59, no. 4, pp. 1421-1455, 2025.</w:t>
      </w:r>
    </w:p>
    <w:p>
      <w:pPr>
        <w:spacing w:before="0" w:after="80"/>
        <w:jc w:val="both"/>
      </w:pPr>
      <w:r>
        <w:rPr>
          <w:rFonts w:ascii="Times New Roman" w:hAnsi="Times New Roman"/>
          <w:sz w:val="17"/>
        </w:rPr>
        <w:t>[5] Cloud Carbon Footprint Contributors, "Cloud Carbon Footprint: An open source tool to measure and analyze cloud carbon emissions," Thoughtworks, 2024. [Online]. Available: https://www.cloudcarbonfootprint.org/.</w:t>
      </w:r>
    </w:p>
    <w:p>
      <w:pPr>
        <w:spacing w:before="0" w:after="80"/>
        <w:jc w:val="both"/>
      </w:pPr>
      <w:r>
        <w:rPr>
          <w:rFonts w:ascii="Times New Roman" w:hAnsi="Times New Roman"/>
          <w:sz w:val="17"/>
        </w:rPr>
        <w:t>[6] UNCTAD, "World Investment Report 2025: International Investment in the Digital Economy," United Nations Conference on Trade and Development, Geneva, Switzerland, Tech. Rep. UNCTAD/WIR/2025, 2025.</w:t>
      </w:r>
    </w:p>
    <w:p>
      <w:pPr>
        <w:spacing w:before="0" w:after="80"/>
        <w:jc w:val="both"/>
      </w:pPr>
      <w:r>
        <w:rPr>
          <w:rFonts w:ascii="Times New Roman" w:hAnsi="Times New Roman"/>
          <w:sz w:val="17"/>
        </w:rPr>
        <w:t>[7] CarbonTrail and Amazon Web Services, "CarbonTrail: Granular, auditable emissions insights from business transaction and invoice data," AWS Architecture Case Studies, 2026. [Online]. Available: https://carbontrail.com/.</w:t>
      </w:r>
    </w:p>
    <w:p>
      <w:pPr>
        <w:spacing w:before="0" w:after="80"/>
        <w:jc w:val="both"/>
      </w:pPr>
      <w:r>
        <w:rPr>
          <w:rFonts w:ascii="Times New Roman" w:hAnsi="Times New Roman"/>
          <w:sz w:val="17"/>
        </w:rPr>
        <w:t>[8] Bank of New Zealand (BNZ), "BNZ Climate Action Toolbox and Carbon Emissions Calculator," BNZ Sustainability Publications, Auckland, New Zealand, Tech. Rep., 2024.</w:t>
      </w:r>
    </w:p>
    <w:p>
      <w:pPr>
        <w:spacing w:before="0" w:after="80"/>
        <w:jc w:val="both"/>
      </w:pPr>
      <w:r>
        <w:rPr>
          <w:rFonts w:ascii="Times New Roman" w:hAnsi="Times New Roman"/>
          <w:sz w:val="17"/>
        </w:rPr>
        <w:t>[9] Hubblo, "Scaphandre: Energy consumption metrology agent," Hubblo Open Source, 2024. [Online]. Available: https://github.com/hubblo-org/scaphandre.</w:t>
      </w:r>
    </w:p>
    <w:p>
      <w:pPr>
        <w:spacing w:before="0" w:after="80"/>
        <w:jc w:val="both"/>
      </w:pPr>
      <w:r>
        <w:rPr>
          <w:rFonts w:ascii="Times New Roman" w:hAnsi="Times New Roman"/>
          <w:sz w:val="17"/>
        </w:rPr>
        <w:t>[10] ISO/IEC and Green Software Foundation, "Information technology — Software Carbon Intensity (SCI) Specification," International Organization for Standardization, Geneva, Switzerland, ISO/IEC Standard 21031:2024, May 2024.</w:t>
      </w:r>
    </w:p>
    <w:p>
      <w:pPr>
        <w:spacing w:before="0" w:after="80"/>
        <w:jc w:val="both"/>
      </w:pPr>
      <w:r>
        <w:rPr>
          <w:rFonts w:ascii="Times New Roman" w:hAnsi="Times New Roman"/>
          <w:sz w:val="17"/>
        </w:rPr>
        <w:t>[11] Marmelab, "GreenFrame: Automated web application carbon footprint measurement," 2024. [Online]. Available: https://greenframe.io/.</w:t>
      </w:r>
    </w:p>
    <w:p>
      <w:pPr>
        <w:spacing w:before="0" w:after="80"/>
        <w:jc w:val="both"/>
      </w:pPr>
      <w:r>
        <w:rPr>
          <w:rFonts w:ascii="Times New Roman" w:hAnsi="Times New Roman"/>
          <w:sz w:val="17"/>
        </w:rPr>
        <w:t>[12] FinOps Foundation, "FinOps Sustainability Capability: Integrating environmental impact into cloud unit economics," FinOps Framework, 2024. [Online]. Available: https://www.finops.org/framework/capabilities/sustainability/.</w:t>
      </w:r>
    </w:p>
    <w:p>
      <w:pPr>
        <w:spacing w:before="0" w:after="80"/>
        <w:jc w:val="both"/>
      </w:pPr>
      <w:r>
        <w:rPr>
          <w:rFonts w:ascii="Times New Roman" w:hAnsi="Times New Roman"/>
          <w:sz w:val="17"/>
        </w:rPr>
        <w:t>[13] Central Electricity Authority (CEA), "CO2 Baseline Database for the Indian Power Sector, User Guide Version 19.0," Ministry of Power, Government of India, New Delhi, Tech. Rep., Dec. 2023.</w:t>
      </w:r>
    </w:p>
    <w:p>
      <w:pPr>
        <w:spacing w:before="0" w:after="80"/>
        <w:jc w:val="both"/>
      </w:pPr>
      <w:r>
        <w:rPr>
          <w:rFonts w:ascii="Times New Roman" w:hAnsi="Times New Roman"/>
          <w:sz w:val="17"/>
        </w:rPr>
        <w:t>[14] World Resources Institute and WBCSD, "The Greenhouse Gas Protocol: A Corporate Accounting and Reporting Standard (Revised Edition)," WRI/WBCSD, Washington, DC, 2015.</w:t>
      </w:r>
    </w:p>
    <w:p>
      <w:pPr>
        <w:spacing w:before="0" w:after="80"/>
        <w:jc w:val="both"/>
      </w:pPr>
      <w:r>
        <w:rPr>
          <w:rFonts w:ascii="Times New Roman" w:hAnsi="Times New Roman"/>
          <w:sz w:val="17"/>
        </w:rPr>
        <w:t>[15] OWASP Foundation, "Application Security Verification Standard (ASVS) Version 5.0.0," Open Web Application Security Project, Tech. Rep., 2024. [Online]. Available: https://owasp.org/www-project-application-security-verification-standard/.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