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d0ec797a592d5921bb636cdaf1b84353837775"/>
    <w:p>
      <w:pPr>
        <w:jc w:val="center"/>
        <w:rPr>
          <w:rFonts w:ascii="Times New Roman" w:hAnsi="Times New Roman" w:eastAsia="Times New Roman"/>
          <w:b/>
          <w:sz w:val="28"/>
        </w:rPr>
      </w:pPr>
      <w:r>
        <w:rPr>
          <w:rFonts w:ascii="Times New Roman" w:hAnsi="Times New Roman" w:eastAsia="Times New Roman"/>
          <w:b/>
          <w:sz w:val="28"/>
        </w:rPr>
        <w:t>Table of Contents</w:t>
      </w:r>
    </w:p>
    <w:p/>
    <w:p>
      <w:r>
        <w:fldChar w:fldCharType="begin"/>
      </w:r>
      <w:r>
        <w:instrText xml:space="preserve"> TOC \o "1-3" \h \z \u </w:instrText>
      </w:r>
      <w:r>
        <w:fldChar w:fldCharType="separate"/>
      </w:r>
      <w:r>
        <w:t>Right-click and select "Update Field" to generate this list.</w:t>
      </w:r>
      <w:r>
        <w:fldChar w:fldCharType="end"/>
      </w:r>
    </w:p>
    <w:p>
      <w:r>
        <w:br w:type="page"/>
      </w:r>
    </w:p>
    <w:p>
      <w:pPr>
        <w:jc w:val="center"/>
        <w:rPr>
          <w:rFonts w:ascii="Times New Roman" w:hAnsi="Times New Roman" w:eastAsia="Times New Roman"/>
          <w:b/>
          <w:sz w:val="28"/>
        </w:rPr>
      </w:pPr>
      <w:r>
        <w:rPr>
          <w:rFonts w:ascii="Times New Roman" w:hAnsi="Times New Roman" w:eastAsia="Times New Roman"/>
          <w:b/>
          <w:sz w:val="28"/>
        </w:rPr>
        <w:t>List of Figures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5760"/>
          </w:tcPr>
          <w:p>
            <w:r>
              <w:rPr>
                <w:rFonts w:ascii="Times New Roman" w:hAnsi="Times New Roman"/>
                <w:b/>
                <w:sz w:val="24"/>
              </w:rPr>
              <w:t>Figure</w:t>
            </w:r>
          </w:p>
        </w:tc>
        <w:tc>
          <w:tcPr>
            <w:tcW w:type="dxa" w:w="2880"/>
          </w:tcPr>
          <w:p>
            <w:r>
              <w:rPr>
                <w:rFonts w:ascii="Times New Roman" w:hAnsi="Times New Roman"/>
                <w:b/>
                <w:sz w:val="24"/>
              </w:rPr>
              <w:t>Page No.</w:t>
            </w:r>
          </w:p>
        </w:tc>
      </w:tr>
      <w:tr>
        <w:tc>
          <w:tcPr>
            <w:tcW w:type="dxa" w:w="5760"/>
          </w:tcPr>
          <w:p>
            <w:r>
              <w:rPr>
                <w:rFonts w:ascii="Times New Roman" w:hAnsi="Times New Roman"/>
                <w:sz w:val="24"/>
              </w:rPr>
              <w:t>Figure 1</w:t>
            </w:r>
          </w:p>
        </w:tc>
        <w:tc>
          <w:tcPr>
            <w:tcW w:type="dxa" w:w="2880"/>
          </w:tcPr>
          <w:p>
            <w:r>
              <w:rPr>
                <w:rFonts w:ascii="Times New Roman" w:hAnsi="Times New Roman"/>
                <w:sz w:val="24"/>
              </w:rPr>
              <w:fldChar w:fldCharType="begin"/>
            </w:r>
            <w:r>
              <w:rPr>
                <w:rFonts w:ascii="Times New Roman" w:hAnsi="Times New Roman"/>
                <w:sz w:val="24"/>
              </w:rPr>
              <w:instrText xml:space="preserve"> PAGEREF _Fig1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2</w:t>
            </w:r>
          </w:p>
        </w:tc>
        <w:tc>
          <w:tcPr>
            <w:tcW w:type="dxa" w:w="2880"/>
          </w:tcPr>
          <w:p>
            <w:r>
              <w:rPr>
                <w:rFonts w:ascii="Times New Roman" w:hAnsi="Times New Roman"/>
                <w:sz w:val="24"/>
              </w:rPr>
              <w:fldChar w:fldCharType="begin"/>
            </w:r>
            <w:r>
              <w:rPr>
                <w:rFonts w:ascii="Times New Roman" w:hAnsi="Times New Roman"/>
                <w:sz w:val="24"/>
              </w:rPr>
              <w:instrText xml:space="preserve"> PAGEREF _Fig2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3</w:t>
            </w:r>
          </w:p>
        </w:tc>
        <w:tc>
          <w:tcPr>
            <w:tcW w:type="dxa" w:w="2880"/>
          </w:tcPr>
          <w:p>
            <w:r>
              <w:rPr>
                <w:rFonts w:ascii="Times New Roman" w:hAnsi="Times New Roman"/>
                <w:sz w:val="24"/>
              </w:rPr>
              <w:fldChar w:fldCharType="begin"/>
            </w:r>
            <w:r>
              <w:rPr>
                <w:rFonts w:ascii="Times New Roman" w:hAnsi="Times New Roman"/>
                <w:sz w:val="24"/>
              </w:rPr>
              <w:instrText xml:space="preserve"> PAGEREF _Fig3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4</w:t>
            </w:r>
          </w:p>
        </w:tc>
        <w:tc>
          <w:tcPr>
            <w:tcW w:type="dxa" w:w="2880"/>
          </w:tcPr>
          <w:p>
            <w:r>
              <w:rPr>
                <w:rFonts w:ascii="Times New Roman" w:hAnsi="Times New Roman"/>
                <w:sz w:val="24"/>
              </w:rPr>
              <w:fldChar w:fldCharType="begin"/>
            </w:r>
            <w:r>
              <w:rPr>
                <w:rFonts w:ascii="Times New Roman" w:hAnsi="Times New Roman"/>
                <w:sz w:val="24"/>
              </w:rPr>
              <w:instrText xml:space="preserve"> PAGEREF _Fig4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5</w:t>
            </w:r>
          </w:p>
        </w:tc>
        <w:tc>
          <w:tcPr>
            <w:tcW w:type="dxa" w:w="2880"/>
          </w:tcPr>
          <w:p>
            <w:r>
              <w:rPr>
                <w:rFonts w:ascii="Times New Roman" w:hAnsi="Times New Roman"/>
                <w:sz w:val="24"/>
              </w:rPr>
              <w:fldChar w:fldCharType="begin"/>
            </w:r>
            <w:r>
              <w:rPr>
                <w:rFonts w:ascii="Times New Roman" w:hAnsi="Times New Roman"/>
                <w:sz w:val="24"/>
              </w:rPr>
              <w:instrText xml:space="preserve"> PAGEREF _Fig5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6</w:t>
            </w:r>
          </w:p>
        </w:tc>
        <w:tc>
          <w:tcPr>
            <w:tcW w:type="dxa" w:w="2880"/>
          </w:tcPr>
          <w:p>
            <w:r>
              <w:rPr>
                <w:rFonts w:ascii="Times New Roman" w:hAnsi="Times New Roman"/>
                <w:sz w:val="24"/>
              </w:rPr>
              <w:fldChar w:fldCharType="begin"/>
            </w:r>
            <w:r>
              <w:rPr>
                <w:rFonts w:ascii="Times New Roman" w:hAnsi="Times New Roman"/>
                <w:sz w:val="24"/>
              </w:rPr>
              <w:instrText xml:space="preserve"> PAGEREF _Fig6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7</w:t>
            </w:r>
          </w:p>
        </w:tc>
        <w:tc>
          <w:tcPr>
            <w:tcW w:type="dxa" w:w="2880"/>
          </w:tcPr>
          <w:p>
            <w:r>
              <w:rPr>
                <w:rFonts w:ascii="Times New Roman" w:hAnsi="Times New Roman"/>
                <w:sz w:val="24"/>
              </w:rPr>
              <w:fldChar w:fldCharType="begin"/>
            </w:r>
            <w:r>
              <w:rPr>
                <w:rFonts w:ascii="Times New Roman" w:hAnsi="Times New Roman"/>
                <w:sz w:val="24"/>
              </w:rPr>
              <w:instrText xml:space="preserve"> PAGEREF _Fig7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8</w:t>
            </w:r>
          </w:p>
        </w:tc>
        <w:tc>
          <w:tcPr>
            <w:tcW w:type="dxa" w:w="2880"/>
          </w:tcPr>
          <w:p>
            <w:r>
              <w:rPr>
                <w:rFonts w:ascii="Times New Roman" w:hAnsi="Times New Roman"/>
                <w:sz w:val="24"/>
              </w:rPr>
              <w:fldChar w:fldCharType="begin"/>
            </w:r>
            <w:r>
              <w:rPr>
                <w:rFonts w:ascii="Times New Roman" w:hAnsi="Times New Roman"/>
                <w:sz w:val="24"/>
              </w:rPr>
              <w:instrText xml:space="preserve"> PAGEREF _Fig8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9</w:t>
            </w:r>
          </w:p>
        </w:tc>
        <w:tc>
          <w:tcPr>
            <w:tcW w:type="dxa" w:w="2880"/>
          </w:tcPr>
          <w:p>
            <w:r>
              <w:rPr>
                <w:rFonts w:ascii="Times New Roman" w:hAnsi="Times New Roman"/>
                <w:sz w:val="24"/>
              </w:rPr>
              <w:fldChar w:fldCharType="begin"/>
            </w:r>
            <w:r>
              <w:rPr>
                <w:rFonts w:ascii="Times New Roman" w:hAnsi="Times New Roman"/>
                <w:sz w:val="24"/>
              </w:rPr>
              <w:instrText xml:space="preserve"> PAGEREF _Fig9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10</w:t>
            </w:r>
          </w:p>
        </w:tc>
        <w:tc>
          <w:tcPr>
            <w:tcW w:type="dxa" w:w="2880"/>
          </w:tcPr>
          <w:p>
            <w:r>
              <w:rPr>
                <w:rFonts w:ascii="Times New Roman" w:hAnsi="Times New Roman"/>
                <w:sz w:val="24"/>
              </w:rPr>
              <w:fldChar w:fldCharType="begin"/>
            </w:r>
            <w:r>
              <w:rPr>
                <w:rFonts w:ascii="Times New Roman" w:hAnsi="Times New Roman"/>
                <w:sz w:val="24"/>
              </w:rPr>
              <w:instrText xml:space="preserve"> PAGEREF _Fig10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11</w:t>
            </w:r>
          </w:p>
        </w:tc>
        <w:tc>
          <w:tcPr>
            <w:tcW w:type="dxa" w:w="2880"/>
          </w:tcPr>
          <w:p>
            <w:r>
              <w:rPr>
                <w:rFonts w:ascii="Times New Roman" w:hAnsi="Times New Roman"/>
                <w:sz w:val="24"/>
              </w:rPr>
              <w:fldChar w:fldCharType="begin"/>
            </w:r>
            <w:r>
              <w:rPr>
                <w:rFonts w:ascii="Times New Roman" w:hAnsi="Times New Roman"/>
                <w:sz w:val="24"/>
              </w:rPr>
              <w:instrText xml:space="preserve"> PAGEREF _Fig11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12</w:t>
            </w:r>
          </w:p>
        </w:tc>
        <w:tc>
          <w:tcPr>
            <w:tcW w:type="dxa" w:w="2880"/>
          </w:tcPr>
          <w:p>
            <w:r>
              <w:rPr>
                <w:rFonts w:ascii="Times New Roman" w:hAnsi="Times New Roman"/>
                <w:sz w:val="24"/>
              </w:rPr>
              <w:fldChar w:fldCharType="begin"/>
            </w:r>
            <w:r>
              <w:rPr>
                <w:rFonts w:ascii="Times New Roman" w:hAnsi="Times New Roman"/>
                <w:sz w:val="24"/>
              </w:rPr>
              <w:instrText xml:space="preserve"> PAGEREF _Fig12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13</w:t>
            </w:r>
          </w:p>
        </w:tc>
        <w:tc>
          <w:tcPr>
            <w:tcW w:type="dxa" w:w="2880"/>
          </w:tcPr>
          <w:p>
            <w:r>
              <w:rPr>
                <w:rFonts w:ascii="Times New Roman" w:hAnsi="Times New Roman"/>
                <w:sz w:val="24"/>
              </w:rPr>
              <w:fldChar w:fldCharType="begin"/>
            </w:r>
            <w:r>
              <w:rPr>
                <w:rFonts w:ascii="Times New Roman" w:hAnsi="Times New Roman"/>
                <w:sz w:val="24"/>
              </w:rPr>
              <w:instrText xml:space="preserve"> PAGEREF _Fig13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Figure 14</w:t>
            </w:r>
          </w:p>
        </w:tc>
        <w:tc>
          <w:tcPr>
            <w:tcW w:type="dxa" w:w="2880"/>
          </w:tcPr>
          <w:p>
            <w:r>
              <w:rPr>
                <w:rFonts w:ascii="Times New Roman" w:hAnsi="Times New Roman"/>
                <w:sz w:val="24"/>
              </w:rPr>
              <w:fldChar w:fldCharType="begin"/>
            </w:r>
            <w:r>
              <w:rPr>
                <w:rFonts w:ascii="Times New Roman" w:hAnsi="Times New Roman"/>
                <w:sz w:val="24"/>
              </w:rPr>
              <w:instrText xml:space="preserve"> PAGEREF _Fig14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bl>
    <w:p>
      <w:r>
        <w:br w:type="page"/>
      </w:r>
    </w:p>
    <w:p>
      <w:pPr>
        <w:jc w:val="center"/>
        <w:rPr>
          <w:rFonts w:ascii="Times New Roman" w:hAnsi="Times New Roman" w:eastAsia="Times New Roman"/>
          <w:b/>
          <w:sz w:val="28"/>
        </w:rPr>
      </w:pPr>
      <w:r>
        <w:rPr>
          <w:rFonts w:ascii="Times New Roman" w:hAnsi="Times New Roman" w:eastAsia="Times New Roman"/>
          <w:b/>
          <w:sz w:val="28"/>
        </w:rPr>
        <w:t>List of Tables</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5760"/>
          </w:tcPr>
          <w:p>
            <w:r>
              <w:rPr>
                <w:rFonts w:ascii="Times New Roman" w:hAnsi="Times New Roman"/>
                <w:b/>
                <w:sz w:val="24"/>
              </w:rPr>
              <w:t>Table</w:t>
            </w:r>
          </w:p>
        </w:tc>
        <w:tc>
          <w:tcPr>
            <w:tcW w:type="dxa" w:w="2880"/>
          </w:tcPr>
          <w:p>
            <w:r>
              <w:rPr>
                <w:rFonts w:ascii="Times New Roman" w:hAnsi="Times New Roman"/>
                <w:b/>
                <w:sz w:val="24"/>
              </w:rPr>
              <w:t>Page No.</w:t>
            </w:r>
          </w:p>
        </w:tc>
      </w:tr>
      <w:tr>
        <w:tc>
          <w:tcPr>
            <w:tcW w:type="dxa" w:w="5760"/>
          </w:tcPr>
          <w:p>
            <w:r>
              <w:rPr>
                <w:rFonts w:ascii="Times New Roman" w:hAnsi="Times New Roman"/>
                <w:sz w:val="24"/>
              </w:rPr>
              <w:t>Table 1</w:t>
            </w:r>
          </w:p>
        </w:tc>
        <w:tc>
          <w:tcPr>
            <w:tcW w:type="dxa" w:w="2880"/>
          </w:tcPr>
          <w:p>
            <w:r>
              <w:rPr>
                <w:rFonts w:ascii="Times New Roman" w:hAnsi="Times New Roman"/>
                <w:sz w:val="24"/>
              </w:rPr>
              <w:fldChar w:fldCharType="begin"/>
            </w:r>
            <w:r>
              <w:rPr>
                <w:rFonts w:ascii="Times New Roman" w:hAnsi="Times New Roman"/>
                <w:sz w:val="24"/>
              </w:rPr>
              <w:instrText xml:space="preserve"> PAGEREF _Tbl1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2</w:t>
            </w:r>
          </w:p>
        </w:tc>
        <w:tc>
          <w:tcPr>
            <w:tcW w:type="dxa" w:w="2880"/>
          </w:tcPr>
          <w:p>
            <w:r>
              <w:rPr>
                <w:rFonts w:ascii="Times New Roman" w:hAnsi="Times New Roman"/>
                <w:sz w:val="24"/>
              </w:rPr>
              <w:fldChar w:fldCharType="begin"/>
            </w:r>
            <w:r>
              <w:rPr>
                <w:rFonts w:ascii="Times New Roman" w:hAnsi="Times New Roman"/>
                <w:sz w:val="24"/>
              </w:rPr>
              <w:instrText xml:space="preserve"> PAGEREF _Tbl2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3</w:t>
            </w:r>
          </w:p>
        </w:tc>
        <w:tc>
          <w:tcPr>
            <w:tcW w:type="dxa" w:w="2880"/>
          </w:tcPr>
          <w:p>
            <w:r>
              <w:rPr>
                <w:rFonts w:ascii="Times New Roman" w:hAnsi="Times New Roman"/>
                <w:sz w:val="24"/>
              </w:rPr>
              <w:fldChar w:fldCharType="begin"/>
            </w:r>
            <w:r>
              <w:rPr>
                <w:rFonts w:ascii="Times New Roman" w:hAnsi="Times New Roman"/>
                <w:sz w:val="24"/>
              </w:rPr>
              <w:instrText xml:space="preserve"> PAGEREF _Tbl3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4</w:t>
            </w:r>
          </w:p>
        </w:tc>
        <w:tc>
          <w:tcPr>
            <w:tcW w:type="dxa" w:w="2880"/>
          </w:tcPr>
          <w:p>
            <w:r>
              <w:rPr>
                <w:rFonts w:ascii="Times New Roman" w:hAnsi="Times New Roman"/>
                <w:sz w:val="24"/>
              </w:rPr>
              <w:fldChar w:fldCharType="begin"/>
            </w:r>
            <w:r>
              <w:rPr>
                <w:rFonts w:ascii="Times New Roman" w:hAnsi="Times New Roman"/>
                <w:sz w:val="24"/>
              </w:rPr>
              <w:instrText xml:space="preserve"> PAGEREF _Tbl4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5</w:t>
            </w:r>
          </w:p>
        </w:tc>
        <w:tc>
          <w:tcPr>
            <w:tcW w:type="dxa" w:w="2880"/>
          </w:tcPr>
          <w:p>
            <w:r>
              <w:rPr>
                <w:rFonts w:ascii="Times New Roman" w:hAnsi="Times New Roman"/>
                <w:sz w:val="24"/>
              </w:rPr>
              <w:fldChar w:fldCharType="begin"/>
            </w:r>
            <w:r>
              <w:rPr>
                <w:rFonts w:ascii="Times New Roman" w:hAnsi="Times New Roman"/>
                <w:sz w:val="24"/>
              </w:rPr>
              <w:instrText xml:space="preserve"> PAGEREF _Tbl5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6</w:t>
            </w:r>
          </w:p>
        </w:tc>
        <w:tc>
          <w:tcPr>
            <w:tcW w:type="dxa" w:w="2880"/>
          </w:tcPr>
          <w:p>
            <w:r>
              <w:rPr>
                <w:rFonts w:ascii="Times New Roman" w:hAnsi="Times New Roman"/>
                <w:sz w:val="24"/>
              </w:rPr>
              <w:fldChar w:fldCharType="begin"/>
            </w:r>
            <w:r>
              <w:rPr>
                <w:rFonts w:ascii="Times New Roman" w:hAnsi="Times New Roman"/>
                <w:sz w:val="24"/>
              </w:rPr>
              <w:instrText xml:space="preserve"> PAGEREF _Tbl6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7</w:t>
            </w:r>
          </w:p>
        </w:tc>
        <w:tc>
          <w:tcPr>
            <w:tcW w:type="dxa" w:w="2880"/>
          </w:tcPr>
          <w:p>
            <w:r>
              <w:rPr>
                <w:rFonts w:ascii="Times New Roman" w:hAnsi="Times New Roman"/>
                <w:sz w:val="24"/>
              </w:rPr>
              <w:fldChar w:fldCharType="begin"/>
            </w:r>
            <w:r>
              <w:rPr>
                <w:rFonts w:ascii="Times New Roman" w:hAnsi="Times New Roman"/>
                <w:sz w:val="24"/>
              </w:rPr>
              <w:instrText xml:space="preserve"> PAGEREF _Tbl7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8</w:t>
            </w:r>
          </w:p>
        </w:tc>
        <w:tc>
          <w:tcPr>
            <w:tcW w:type="dxa" w:w="2880"/>
          </w:tcPr>
          <w:p>
            <w:r>
              <w:rPr>
                <w:rFonts w:ascii="Times New Roman" w:hAnsi="Times New Roman"/>
                <w:sz w:val="24"/>
              </w:rPr>
              <w:fldChar w:fldCharType="begin"/>
            </w:r>
            <w:r>
              <w:rPr>
                <w:rFonts w:ascii="Times New Roman" w:hAnsi="Times New Roman"/>
                <w:sz w:val="24"/>
              </w:rPr>
              <w:instrText xml:space="preserve"> PAGEREF _Tbl8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9</w:t>
            </w:r>
          </w:p>
        </w:tc>
        <w:tc>
          <w:tcPr>
            <w:tcW w:type="dxa" w:w="2880"/>
          </w:tcPr>
          <w:p>
            <w:r>
              <w:rPr>
                <w:rFonts w:ascii="Times New Roman" w:hAnsi="Times New Roman"/>
                <w:sz w:val="24"/>
              </w:rPr>
              <w:fldChar w:fldCharType="begin"/>
            </w:r>
            <w:r>
              <w:rPr>
                <w:rFonts w:ascii="Times New Roman" w:hAnsi="Times New Roman"/>
                <w:sz w:val="24"/>
              </w:rPr>
              <w:instrText xml:space="preserve"> PAGEREF _Tbl9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10</w:t>
            </w:r>
          </w:p>
        </w:tc>
        <w:tc>
          <w:tcPr>
            <w:tcW w:type="dxa" w:w="2880"/>
          </w:tcPr>
          <w:p>
            <w:r>
              <w:rPr>
                <w:rFonts w:ascii="Times New Roman" w:hAnsi="Times New Roman"/>
                <w:sz w:val="24"/>
              </w:rPr>
              <w:fldChar w:fldCharType="begin"/>
            </w:r>
            <w:r>
              <w:rPr>
                <w:rFonts w:ascii="Times New Roman" w:hAnsi="Times New Roman"/>
                <w:sz w:val="24"/>
              </w:rPr>
              <w:instrText xml:space="preserve"> PAGEREF _Tbl10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11</w:t>
            </w:r>
          </w:p>
        </w:tc>
        <w:tc>
          <w:tcPr>
            <w:tcW w:type="dxa" w:w="2880"/>
          </w:tcPr>
          <w:p>
            <w:r>
              <w:rPr>
                <w:rFonts w:ascii="Times New Roman" w:hAnsi="Times New Roman"/>
                <w:sz w:val="24"/>
              </w:rPr>
              <w:fldChar w:fldCharType="begin"/>
            </w:r>
            <w:r>
              <w:rPr>
                <w:rFonts w:ascii="Times New Roman" w:hAnsi="Times New Roman"/>
                <w:sz w:val="24"/>
              </w:rPr>
              <w:instrText xml:space="preserve"> PAGEREF _Tbl11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12</w:t>
            </w:r>
          </w:p>
        </w:tc>
        <w:tc>
          <w:tcPr>
            <w:tcW w:type="dxa" w:w="2880"/>
          </w:tcPr>
          <w:p>
            <w:r>
              <w:rPr>
                <w:rFonts w:ascii="Times New Roman" w:hAnsi="Times New Roman"/>
                <w:sz w:val="24"/>
              </w:rPr>
              <w:fldChar w:fldCharType="begin"/>
            </w:r>
            <w:r>
              <w:rPr>
                <w:rFonts w:ascii="Times New Roman" w:hAnsi="Times New Roman"/>
                <w:sz w:val="24"/>
              </w:rPr>
              <w:instrText xml:space="preserve"> PAGEREF _Tbl12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13</w:t>
            </w:r>
          </w:p>
        </w:tc>
        <w:tc>
          <w:tcPr>
            <w:tcW w:type="dxa" w:w="2880"/>
          </w:tcPr>
          <w:p>
            <w:r>
              <w:rPr>
                <w:rFonts w:ascii="Times New Roman" w:hAnsi="Times New Roman"/>
                <w:sz w:val="24"/>
              </w:rPr>
              <w:fldChar w:fldCharType="begin"/>
            </w:r>
            <w:r>
              <w:rPr>
                <w:rFonts w:ascii="Times New Roman" w:hAnsi="Times New Roman"/>
                <w:sz w:val="24"/>
              </w:rPr>
              <w:instrText xml:space="preserve"> PAGEREF _Tbl13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14</w:t>
            </w:r>
          </w:p>
        </w:tc>
        <w:tc>
          <w:tcPr>
            <w:tcW w:type="dxa" w:w="2880"/>
          </w:tcPr>
          <w:p>
            <w:r>
              <w:rPr>
                <w:rFonts w:ascii="Times New Roman" w:hAnsi="Times New Roman"/>
                <w:sz w:val="24"/>
              </w:rPr>
              <w:fldChar w:fldCharType="begin"/>
            </w:r>
            <w:r>
              <w:rPr>
                <w:rFonts w:ascii="Times New Roman" w:hAnsi="Times New Roman"/>
                <w:sz w:val="24"/>
              </w:rPr>
              <w:instrText xml:space="preserve"> PAGEREF _Tbl14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15</w:t>
            </w:r>
          </w:p>
        </w:tc>
        <w:tc>
          <w:tcPr>
            <w:tcW w:type="dxa" w:w="2880"/>
          </w:tcPr>
          <w:p>
            <w:r>
              <w:rPr>
                <w:rFonts w:ascii="Times New Roman" w:hAnsi="Times New Roman"/>
                <w:sz w:val="24"/>
              </w:rPr>
              <w:fldChar w:fldCharType="begin"/>
            </w:r>
            <w:r>
              <w:rPr>
                <w:rFonts w:ascii="Times New Roman" w:hAnsi="Times New Roman"/>
                <w:sz w:val="24"/>
              </w:rPr>
              <w:instrText xml:space="preserve"> PAGEREF _Tbl15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16</w:t>
            </w:r>
          </w:p>
        </w:tc>
        <w:tc>
          <w:tcPr>
            <w:tcW w:type="dxa" w:w="2880"/>
          </w:tcPr>
          <w:p>
            <w:r>
              <w:rPr>
                <w:rFonts w:ascii="Times New Roman" w:hAnsi="Times New Roman"/>
                <w:sz w:val="24"/>
              </w:rPr>
              <w:fldChar w:fldCharType="begin"/>
            </w:r>
            <w:r>
              <w:rPr>
                <w:rFonts w:ascii="Times New Roman" w:hAnsi="Times New Roman"/>
                <w:sz w:val="24"/>
              </w:rPr>
              <w:instrText xml:space="preserve"> PAGEREF _Tbl16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17</w:t>
            </w:r>
          </w:p>
        </w:tc>
        <w:tc>
          <w:tcPr>
            <w:tcW w:type="dxa" w:w="2880"/>
          </w:tcPr>
          <w:p>
            <w:r>
              <w:rPr>
                <w:rFonts w:ascii="Times New Roman" w:hAnsi="Times New Roman"/>
                <w:sz w:val="24"/>
              </w:rPr>
              <w:fldChar w:fldCharType="begin"/>
            </w:r>
            <w:r>
              <w:rPr>
                <w:rFonts w:ascii="Times New Roman" w:hAnsi="Times New Roman"/>
                <w:sz w:val="24"/>
              </w:rPr>
              <w:instrText xml:space="preserve"> PAGEREF _Tbl17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18</w:t>
            </w:r>
          </w:p>
        </w:tc>
        <w:tc>
          <w:tcPr>
            <w:tcW w:type="dxa" w:w="2880"/>
          </w:tcPr>
          <w:p>
            <w:r>
              <w:rPr>
                <w:rFonts w:ascii="Times New Roman" w:hAnsi="Times New Roman"/>
                <w:sz w:val="24"/>
              </w:rPr>
              <w:fldChar w:fldCharType="begin"/>
            </w:r>
            <w:r>
              <w:rPr>
                <w:rFonts w:ascii="Times New Roman" w:hAnsi="Times New Roman"/>
                <w:sz w:val="24"/>
              </w:rPr>
              <w:instrText xml:space="preserve"> PAGEREF _Tbl18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19</w:t>
            </w:r>
          </w:p>
        </w:tc>
        <w:tc>
          <w:tcPr>
            <w:tcW w:type="dxa" w:w="2880"/>
          </w:tcPr>
          <w:p>
            <w:r>
              <w:rPr>
                <w:rFonts w:ascii="Times New Roman" w:hAnsi="Times New Roman"/>
                <w:sz w:val="24"/>
              </w:rPr>
              <w:fldChar w:fldCharType="begin"/>
            </w:r>
            <w:r>
              <w:rPr>
                <w:rFonts w:ascii="Times New Roman" w:hAnsi="Times New Roman"/>
                <w:sz w:val="24"/>
              </w:rPr>
              <w:instrText xml:space="preserve"> PAGEREF _Tbl19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20</w:t>
            </w:r>
          </w:p>
        </w:tc>
        <w:tc>
          <w:tcPr>
            <w:tcW w:type="dxa" w:w="2880"/>
          </w:tcPr>
          <w:p>
            <w:r>
              <w:rPr>
                <w:rFonts w:ascii="Times New Roman" w:hAnsi="Times New Roman"/>
                <w:sz w:val="24"/>
              </w:rPr>
              <w:fldChar w:fldCharType="begin"/>
            </w:r>
            <w:r>
              <w:rPr>
                <w:rFonts w:ascii="Times New Roman" w:hAnsi="Times New Roman"/>
                <w:sz w:val="24"/>
              </w:rPr>
              <w:instrText xml:space="preserve"> PAGEREF _Tbl20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21</w:t>
            </w:r>
          </w:p>
        </w:tc>
        <w:tc>
          <w:tcPr>
            <w:tcW w:type="dxa" w:w="2880"/>
          </w:tcPr>
          <w:p>
            <w:r>
              <w:rPr>
                <w:rFonts w:ascii="Times New Roman" w:hAnsi="Times New Roman"/>
                <w:sz w:val="24"/>
              </w:rPr>
              <w:fldChar w:fldCharType="begin"/>
            </w:r>
            <w:r>
              <w:rPr>
                <w:rFonts w:ascii="Times New Roman" w:hAnsi="Times New Roman"/>
                <w:sz w:val="24"/>
              </w:rPr>
              <w:instrText xml:space="preserve"> PAGEREF _Tbl21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r>
        <w:tc>
          <w:tcPr>
            <w:tcW w:type="dxa" w:w="5760"/>
          </w:tcPr>
          <w:p>
            <w:r>
              <w:rPr>
                <w:rFonts w:ascii="Times New Roman" w:hAnsi="Times New Roman"/>
                <w:sz w:val="24"/>
              </w:rPr>
              <w:t>Table 22</w:t>
            </w:r>
          </w:p>
        </w:tc>
        <w:tc>
          <w:tcPr>
            <w:tcW w:type="dxa" w:w="2880"/>
          </w:tcPr>
          <w:p>
            <w:r>
              <w:rPr>
                <w:rFonts w:ascii="Times New Roman" w:hAnsi="Times New Roman"/>
                <w:sz w:val="24"/>
              </w:rPr>
              <w:fldChar w:fldCharType="begin"/>
            </w:r>
            <w:r>
              <w:rPr>
                <w:rFonts w:ascii="Times New Roman" w:hAnsi="Times New Roman"/>
                <w:sz w:val="24"/>
              </w:rPr>
              <w:instrText xml:space="preserve"> PAGEREF _Tbl22 \h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tc>
      </w:tr>
    </w:tbl>
    <w:p>
      <w:r>
        <w:br w:type="page"/>
      </w:r>
    </w:p>
    <w:p>
      <w:pPr>
        <w:pStyle w:val="Heading1"/>
      </w:pPr>
      <w:r>
        <w:rPr>
          <w:rFonts w:ascii="Times New Roman" w:hAnsi="Times New Roman" w:eastAsia="Times New Roman" w:cs="Times New Roman"/>
          <w:sz w:val="24"/>
        </w:rPr>
        <w:t xml:space="preserve">HelixMind: An Agentic Bioinformatics Pipeline for Calibrated Variant Interpretation</w:t>
      </w:r>
    </w:p>
    <w:p>
      <w:pPr>
        <w:pStyle w:val="BlockText"/>
      </w:pPr>
      <w:r>
        <w:rPr>
          <w:rFonts w:ascii="Times New Roman" w:hAnsi="Times New Roman" w:eastAsia="Times New Roman" w:cs="Times New Roman"/>
          <w:b/>
          <w:bCs/>
          <w:sz w:val="24"/>
        </w:rPr>
        <w:t xml:space="preserve">Figure guide.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Each section references figures by relative path. All figures are 300 DPI. PDF (vector) versions are preferred for print; PNG for digital. No UI screenshots are included — all figures are generated from experimental data or architectural diagrams.</w:t>
      </w:r>
    </w:p>
    <w:p>
      <w:r>
        <w:rPr>
          <w:rFonts w:ascii="Times New Roman" w:hAnsi="Times New Roman" w:eastAsia="Times New Roman" w:cs="Times New Roman"/>
          <w:sz w:val="24"/>
        </w:rPr>
        <w:pict>
          <v:rect style="width:0;height:1.5pt" o:hralign="center" o:hrstd="t" o:hr="t"/>
        </w:pict>
      </w:r>
    </w:p>
    <w:bookmarkStart w:id="20" w:name="abstract"/>
    <w:p>
      <w:pPr>
        <w:pStyle w:val="Heading2"/>
      </w:pPr>
      <w:r>
        <w:rPr>
          <w:rFonts w:ascii="Times New Roman" w:hAnsi="Times New Roman" w:eastAsia="Times New Roman" w:cs="Times New Roman"/>
          <w:sz w:val="24"/>
        </w:rPr>
        <w:t xml:space="preserve">Abstract</w:t>
      </w:r>
    </w:p>
    <w:p>
      <w:pPr>
        <w:pStyle w:val="FirstParagraph"/>
      </w:pPr>
      <w:r>
        <w:rPr>
          <w:rFonts w:ascii="Times New Roman" w:hAnsi="Times New Roman" w:eastAsia="Times New Roman" w:cs="Times New Roman"/>
          <w:sz w:val="24"/>
        </w:rPr>
        <w:t xml:space="preserve">The clinical interpretation of genetic variants is constrained by a fundamental tension: computational models that achieve high predictive accuracy often operate as black boxes, while clinical practice demands transparent, evidence-based reasoning with calibrated confidence. We present HelixMind, an agentic bioinformatics pipeline that integrates a 7-billion-parameter DNA foundation model (Evo2) with a protein language model (AlphaMissense), a novel evidential fusion network (CEFN v2), and an autonomous tool-calling agent orchestrating 31 specialized bioinformatics tools across three computational tiers. The system addresses four critical gaps in current variant interpretation practice. First, CEFN v2 fuses nucleotide-level and protein-level pathogenicity predictions via evidential deep learning with predictor-specific missing embeddings, reducing the variant-of-uncertain-significance rate from 66.2% (Dempster-Shafer baseline) to 1.26% while maintaining calibration (expected calibration error = 0.032). Second, an in-silico mutagenesis scan at single-nucleotide resolution provides spatial constraint context that modifies ACMG evidence strength — a capability absent from all existing predictors. Third, a tri-modal retrieval-augmented generation architecture synthesizes real-time evidence from ClinVar, UniProt, and PubMed with source-tagged claims, producing explainable clinical reports that address the trust barrier limiting clinical adoption of AI variant interpreters. Fourth, the autonomous agent dynamically selects, executes, and self-heals from failures across 31 tools spanning database retrieval, CPU machine learning, and GPU-accelerated structure prediction. On a chromosome-held-out test set (n = 397), the full pipeline achieves 91.2% directional accuracy against ClinVar expert panel classifications, with sensitivity of 93.1% and specificity of 89.1%. As an extended application, zero-shot application of the DNA foundation model to CRISPR off-target prediction confirms that evolutionary constraint signals capture cleavage specificity asymmetry (seed vs. non-seed, p &lt; 10⁻⁵⁷), with population-aware analysis revealing ancestry-conditional off-target risks across six continental populations. HelixMind demonstrates that DNA foundation models, protein language models, evidential fusion, clinical databases, and autonomous agents can be integrated into a clinically useful pipeline with calibrated uncertainty and explainable outputs.</w:t>
      </w:r>
    </w:p>
    <w:p>
      <w:r>
        <w:rPr>
          <w:rFonts w:ascii="Times New Roman" w:hAnsi="Times New Roman" w:eastAsia="Times New Roman" w:cs="Times New Roman"/>
          <w:sz w:val="24"/>
        </w:rPr>
        <w:pict>
          <v:rect style="width:0;height:1.5pt" o:hralign="center" o:hrstd="t" o:hr="t"/>
        </w:pict>
      </w:r>
    </w:p>
    <w:bookmarkEnd w:id="20"/>
    <w:bookmarkStart w:id="21" w:name="introduction"/>
    <w:p>
      <w:pPr>
        <w:pStyle w:val="Heading2"/>
      </w:pPr>
      <w:r>
        <w:rPr>
          <w:rFonts w:ascii="Times New Roman" w:hAnsi="Times New Roman" w:eastAsia="Times New Roman" w:cs="Times New Roman"/>
          <w:sz w:val="24"/>
        </w:rPr>
        <w:t xml:space="preserve">Introduction</w:t>
      </w:r>
    </w:p>
    <w:p>
      <w:pPr>
        <w:pStyle w:val="FirstParagraph"/>
      </w:pPr>
      <w:r>
        <w:rPr>
          <w:rFonts w:ascii="Times New Roman" w:hAnsi="Times New Roman" w:eastAsia="Times New Roman" w:cs="Times New Roman"/>
          <w:sz w:val="24"/>
        </w:rPr>
        <w:t xml:space="preserve">The interpretation of genetic variants is a central challenge in clinical genomics. Over 4 million variants are catalogued in ClinVar [30], and population-scale sequencing projects such as gnomAD [7] have catalogued tens of millions more. Yet the gap between variant discovery and clinical interpretation continues to widen: a substantial fraction of ClinVar variants remain classified as variants of uncertain significance (VUS), and the ACMG/AMP guidelines [5] — the gold standard for variant classification — require manual application of 28 evidence criteria by trained clinical geneticists. This manual process does not scale to the volume of variants being discovered, motivating the development of computational tools for variant prioritization and classification.</w:t>
      </w:r>
    </w:p>
    <w:p>
      <w:pPr>
        <w:pStyle w:val="BodyText"/>
      </w:pPr>
      <w:r>
        <w:rPr>
          <w:rFonts w:ascii="Times New Roman" w:hAnsi="Times New Roman" w:eastAsia="Times New Roman" w:cs="Times New Roman"/>
          <w:sz w:val="24"/>
        </w:rPr>
        <w:t xml:space="preserve">Computational variant effect prediction has advanced rapidly with the emergence of foundation models. On the DNA side, Evo2 [1] — a 7-billion-parameter hybrid StripedHyena model trained on 1.2 trillion base pairs — achieves single-nucleotide resolution with a 1-million-base-pair context window, capturing long-range regulatory interactions invisible to earlier models such as DNABERT [23] and the Nucleotide Transformer [24]. On the protein side, AlphaMissense [2] fine-tunes a protein language model on ClinVar annotations to produce pathogenicity scores for all 71 million possible missense variants in the human proteome. Classical supervised predictors — CADD [3] and REVEL [4] — remain widely used but are limited by their reliance on pre-computed features and their inability to produce calibrated uncertainty.</w:t>
      </w:r>
    </w:p>
    <w:p>
      <w:pPr>
        <w:pStyle w:val="BodyText"/>
      </w:pPr>
      <w:r>
        <w:rPr>
          <w:rFonts w:ascii="Times New Roman" w:hAnsi="Times New Roman" w:eastAsia="Times New Roman" w:cs="Times New Roman"/>
          <w:sz w:val="24"/>
        </w:rPr>
        <w:t xml:space="preserve">Despite these advances, no existing system integrates DNA-level and protein-level foundation models into a unified clinical pipeline with calibrated uncertainty quantification. The standard approach to combining multiple predictors — weighted averaging or Dempster-Shafer combination rules [13] — either produces point estimates without confidence intervals or collapses to excessive abstention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“VUS collapse”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problem), with baseline methods classifying up to 66.2% of variants as uncertain. Evidential deep learning [8], which places a Dirichlet prior over class probabilities to produce calibrated uncertainty in a single forward pass, has been applied to medical image classification [40] and adversarial robustness [41] but not to the multi-predictor variant interpretation problem with explicit modeling of predictor-specific missing data.</w:t>
      </w:r>
    </w:p>
    <w:p>
      <w:pPr>
        <w:pStyle w:val="BodyText"/>
      </w:pPr>
      <w:r>
        <w:rPr>
          <w:rFonts w:ascii="Times New Roman" w:hAnsi="Times New Roman" w:eastAsia="Times New Roman" w:cs="Times New Roman"/>
          <w:sz w:val="24"/>
        </w:rPr>
        <w:t xml:space="preserve">Several tools have been developed to automate ACMG-compliant classification, including InterVar [44], CharGer [45], VarSome [43], and GEM [46]. However, a critical limitation shared by all these systems is the absence of calibrated uncertainty: they produce a classification label without quantifying the confidence in that classification.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“Likely Pathogenic”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prediction at 99% confidence warrants different clinical action than the same prediction at 55% confidence, yet no existing tool distinguishes between these scenarios. Furthermore, the explainability gap — clinicians needing to understand why a model predicts pathogenicity — has been identified as a critical barrier to clinical adoption of AI variant interpreters [48,49]. Current tools show sequence-level features but not 3D protein structural context, counterfactual mutagenesis landscapes, or real-time evidence synthesis from clinical databases.</w:t>
      </w:r>
    </w:p>
    <w:p>
      <w:pPr>
        <w:pStyle w:val="BodyText"/>
      </w:pPr>
      <w:r>
        <w:rPr>
          <w:rFonts w:ascii="Times New Roman" w:hAnsi="Times New Roman" w:eastAsia="Times New Roman" w:cs="Times New Roman"/>
          <w:sz w:val="24"/>
        </w:rPr>
        <w:t xml:space="preserve">Retrieval-augmented generation (RAG) [18] offers a path to explainable clinical reports by grounding language model outputs in retrieved evidence. The BioRAG framework [19] demonstrated that multi-source retrieval improves factual accuracy in biomedical question answering. However, prior biomedical RAG systems retrieve from a single domain, whereas clinical variant interpretation requires simultaneous evidence from clinical databases (ClinVar), protein annotations (UniProt), and literature (PubMed) — a tri-modal retrieval architecture that has not been demonstrated.</w:t>
      </w:r>
    </w:p>
    <w:p>
      <w:pPr>
        <w:pStyle w:val="BodyText"/>
      </w:pPr>
      <w:r>
        <w:rPr>
          <w:rFonts w:ascii="Times New Roman" w:hAnsi="Times New Roman" w:eastAsia="Times New Roman" w:cs="Times New Roman"/>
          <w:sz w:val="24"/>
        </w:rPr>
        <w:t xml:space="preserve">The function-calling paradigm [15] and the ReAct reasoning-acting framework [91] enable large language models to autonomously select and execute external tools, creating agents that can orchestrate complex computational workflows. In bioinformatics, this capability is particularly valuable because the field spans heterogeneous tools with vastly different latencies — from sub-second database lookups to multi-minute GPU inference for protein structure prediction. However, prior agentic systems in biomedicine use fewer than 10 tools and do not address the latency stratification problem or the reliability challenges of distributed bioinformatics APIs.</w:t>
      </w:r>
    </w:p>
    <w:p>
      <w:pPr>
        <w:pStyle w:val="BodyText"/>
      </w:pPr>
      <w:r>
        <w:rPr>
          <w:rFonts w:ascii="Times New Roman" w:hAnsi="Times New Roman" w:eastAsia="Times New Roman" w:cs="Times New Roman"/>
          <w:sz w:val="24"/>
        </w:rPr>
        <w:t xml:space="preserve">Here we present HelixMind, an agentic bioinformatics pipeline that addresses these gaps through architectural integration of seven research threads: (i) DNA foundation models for variant scoring, (ii) protein language models for missense pathogenicity, (iii) evidential deep learning for calibrated multi-predictor fusion, (iv) ACMG/AMP clinical guidelines for standardized classification, (v) retrieval-augmented generation for explainable reports, (vi) autonomous tool-calling agents for dynamic evidence gathering, and (vii) zero-shot CRISPR off-target prediction with population-aware analysis. The system’s central contribution is demonstrating that these components can be combined into a clinically useful pipeline that produces calibrated, explainable, and actionable variant interpretations.</w:t>
      </w:r>
    </w:p>
    <w:p>
      <w:pPr>
        <w:pStyle w:val="BodyText"/>
      </w:pPr>
      <w:r>
        <w:rPr>
          <w:rFonts w:ascii="Times New Roman" w:hAnsi="Times New Roman" w:eastAsia="Times New Roman" w:cs="Times New Roman"/>
          <w:sz w:val="24"/>
        </w:rPr>
        <w:t xml:space="preserve">The key innovations of this work are:</w:t>
      </w:r>
    </w:p>
    <w:p>
      <w:pPr>
        <w:numPr>
          <w:ilvl w:val="0"/>
          <w:numId w:val="1001"/>
        </w:numPr>
      </w:pPr>
      <w:r>
        <w:rPr>
          <w:rFonts w:ascii="Times New Roman" w:hAnsi="Times New Roman" w:eastAsia="Times New Roman" w:cs="Times New Roman"/>
          <w:b/>
          <w:bCs/>
          <w:sz w:val="24"/>
        </w:rPr>
        <w:t xml:space="preserve">CEFN v2 (Confidence-Estimated Fusion Network):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evidential deep learning network with predictor-specific missing embeddings and a fixed Dirichlet parameter constraint that reduces the VUS rate from 66.2% to 1.26% while maintaining calibration (ECE = 0.032), addressing the VUS collapse problem that renders standard Dempster-Shafer fusion clinically impractical.</w:t>
      </w:r>
    </w:p>
    <w:p>
      <w:pPr>
        <w:numPr>
          <w:ilvl w:val="0"/>
          <w:numId w:val="1001"/>
        </w:numPr>
      </w:pPr>
      <w:r>
        <w:rPr>
          <w:rFonts w:ascii="Times New Roman" w:hAnsi="Times New Roman" w:eastAsia="Times New Roman" w:cs="Times New Roman"/>
          <w:b/>
          <w:bCs/>
          <w:sz w:val="24"/>
        </w:rPr>
        <w:t xml:space="preserve">ISM-integrated classification: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 in-silico mutagenesis scan at single-nucleotide resolution using the 7B-parameter DNA model, whose constraint ratio modifies ACMG evidence strength (PP3/BP4) and adjusts confidence via Evo2-ISM concordance — transforming the scan from a visualization into an active evidence contributor.</w:t>
      </w:r>
    </w:p>
    <w:p>
      <w:pPr>
        <w:numPr>
          <w:ilvl w:val="0"/>
          <w:numId w:val="1001"/>
        </w:numPr>
      </w:pPr>
      <w:r>
        <w:rPr>
          <w:rFonts w:ascii="Times New Roman" w:hAnsi="Times New Roman" w:eastAsia="Times New Roman" w:cs="Times New Roman"/>
          <w:b/>
          <w:bCs/>
          <w:sz w:val="24"/>
        </w:rPr>
        <w:t xml:space="preserve">Tri-modal RAG with source tagging: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retrieval-augmented generation architecture that synthesizes real-time evidence from ClinVar, UniProt, and PubMed simultaneously, with every claim in the clinical report tagged to its evidence source for clinician verification.</w:t>
      </w:r>
    </w:p>
    <w:p>
      <w:pPr>
        <w:numPr>
          <w:ilvl w:val="0"/>
          <w:numId w:val="1001"/>
        </w:numPr>
      </w:pPr>
      <w:r>
        <w:rPr>
          <w:rFonts w:ascii="Times New Roman" w:hAnsi="Times New Roman" w:eastAsia="Times New Roman" w:cs="Times New Roman"/>
          <w:b/>
          <w:bCs/>
          <w:sz w:val="24"/>
        </w:rPr>
        <w:t xml:space="preserve">31-tool autonomous agent: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three-tier bioinformatics tool-calling agent (12 database retrieval, 12 CPU machine learning, 7 GPU deep learning) with dynamic tool budgeting, compute-aware short-circuiting, and emergent self-healing from API failures — the largest bioinformatics agent reported to date.</w:t>
      </w:r>
    </w:p>
    <w:p>
      <w:pPr>
        <w:numPr>
          <w:ilvl w:val="0"/>
          <w:numId w:val="1001"/>
        </w:numPr>
      </w:pPr>
      <w:r>
        <w:rPr>
          <w:rFonts w:ascii="Times New Roman" w:hAnsi="Times New Roman" w:eastAsia="Times New Roman" w:cs="Times New Roman"/>
          <w:b/>
          <w:bCs/>
          <w:sz w:val="24"/>
        </w:rPr>
        <w:t xml:space="preserve">End-to-end evaluation: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Full pipeline evaluation against ClinVar expert panel classifications, achieving 91.2% directional accuracy and demonstrating that the integrated system outperforms any individual component.</w:t>
      </w:r>
    </w:p>
    <w:p>
      <w:r>
        <w:rPr>
          <w:rFonts w:ascii="Times New Roman" w:hAnsi="Times New Roman" w:eastAsia="Times New Roman" w:cs="Times New Roman"/>
          <w:sz w:val="24"/>
        </w:rPr>
        <w:pict>
          <v:rect style="width:0;height:1.5pt" o:hralign="center" o:hrstd="t" o:hr="t"/>
        </w:pict>
      </w:r>
    </w:p>
    <w:bookmarkEnd w:id="21"/>
    <w:bookmarkStart w:id="31" w:name="literature-review"/>
    <w:p>
      <w:pPr>
        <w:pStyle w:val="Heading2"/>
      </w:pPr>
      <w:r>
        <w:rPr>
          <w:rFonts w:ascii="Times New Roman" w:hAnsi="Times New Roman" w:eastAsia="Times New Roman" w:cs="Times New Roman"/>
          <w:sz w:val="24"/>
        </w:rPr>
        <w:t xml:space="preserve">Literature Review</w:t>
      </w:r>
    </w:p>
    <w:p>
      <w:pPr>
        <w:pStyle w:val="FirstParagraph"/>
      </w:pPr>
      <w:r>
        <w:rPr>
          <w:rFonts w:ascii="Times New Roman" w:hAnsi="Times New Roman" w:eastAsia="Times New Roman" w:cs="Times New Roman"/>
          <w:sz w:val="24"/>
        </w:rPr>
        <w:t xml:space="preserve">The interpretation of genetic variants is a central challenge in clinical genomics. With over 4 million variants catalogued in ClinVar [30] and millions more identified through population-scale sequencing projects [7], the gap between variant discovery and clinical interpretation continues to widen. Computational tools have become indispensable for prioritizing variants for review, but the field faces a fundamental tension: models that achieve high predictive accuracy often operate as black boxes, while clinical guidelines demand transparent, evidence-based reasoning. This review surveys the computational foundations underlying each component of the present system, identifies gaps in the existing literature, and positions the work relative to prior art.</w:t>
      </w:r>
    </w:p>
    <w:bookmarkStart w:id="22" w:name="X7b0dfb0dd5dfc2a4aa1307d94682dda03176a3c"/>
    <w:p>
      <w:pPr>
        <w:pStyle w:val="Heading3"/>
      </w:pPr>
      <w:r>
        <w:rPr>
          <w:rFonts w:ascii="Times New Roman" w:hAnsi="Times New Roman" w:eastAsia="Times New Roman" w:cs="Times New Roman"/>
          <w:sz w:val="24"/>
        </w:rPr>
        <w:t xml:space="preserve">1. Genomic Foundation Models and Variant Effect Prediction</w:t>
      </w:r>
    </w:p>
    <w:p>
      <w:pPr>
        <w:pStyle w:val="FirstParagraph"/>
      </w:pPr>
      <w:r>
        <w:rPr>
          <w:rFonts w:ascii="Times New Roman" w:hAnsi="Times New Roman" w:eastAsia="Times New Roman" w:cs="Times New Roman"/>
          <w:sz w:val="24"/>
        </w:rPr>
        <w:t xml:space="preserve">The application of neural language models to DNA sequences has progressed through three generations of increasing scale and architectural sophistication.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First-generation models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employed convolutional and transformer architectures with k-mer tokenization. DNABERT [23] demonstrated that BERT-style masked language modeling on 6-mer tokens could capture promoter, enhancer, and splice site signals, achieving state-of-the-art performance on several sequence classification tasks. However, the fixed k-mer vocabulary imposed a fundamental limit on resolution: a 6-mer tokenizer cannot distinguish single-nucleotide variants within the same k-mer window. Additionally, the context window was limited to</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512 tokens, precluding modeling of long-range regulatory interactions.</w:t>
      </w:r>
    </w:p>
    <w:p>
      <w:pPr>
        <w:pStyle w:val="BodyText"/>
      </w:pPr>
      <w:r>
        <w:rPr>
          <w:rFonts w:ascii="Times New Roman" w:hAnsi="Times New Roman" w:eastAsia="Times New Roman" w:cs="Times New Roman"/>
          <w:b/>
          <w:bCs/>
          <w:sz w:val="24"/>
        </w:rPr>
        <w:t xml:space="preserve">Second-generation models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addressed both limitations. The Nucleotide Transformer [24] scaled to 2.5B parameters across 3,200 genomes with token-based encoding, while HyenaDNA [21] introduced single-nucleotide resolution using StripedHyena convolutions [20] with context windows up to 32K positions. The Nucleotide Transformer demonstrated that genome-scale pretraining improves zero-shot variant effect prediction, but its token-based encoding (non-overlapping 6-mers) still limited single-nucleotide resolution. HyenaDNA’s single-nucleotide approach was architecturally closer to the ideal but was trained on a single chromosome (chr 22) with limited species diversity.</w:t>
      </w:r>
    </w:p>
    <w:p>
      <w:pPr>
        <w:pStyle w:val="BodyText"/>
      </w:pPr>
      <w:r>
        <w:rPr>
          <w:rFonts w:ascii="Times New Roman" w:hAnsi="Times New Roman" w:eastAsia="Times New Roman" w:cs="Times New Roman"/>
          <w:b/>
          <w:bCs/>
          <w:sz w:val="24"/>
        </w:rPr>
        <w:t xml:space="preserve">Third-generation models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achieved genome-scale training with full-nucleotide resolution. Evo2 [1] trained 7B parameters on approximately 1.2 trillion DNA base pairs from bacterial, archaeal, eukaryotic, and viral genomes, with a context window of 1 million base pairs using StripedHyena attention. This scale enables Evo2 to capture long-range regulatory interactions — such as enhancer-promoter contacts spanning tens of kilobases — that are invisible to shorter-context models. Concurrent developments include GPN (Genomic Pre-trained Network) and Nucleotide Transformer v2 [22], which pursued similar scaling trajectories with different architectural choices.</w:t>
      </w:r>
    </w:p>
    <w:p>
      <w:pPr>
        <w:pStyle w:val="BodyText"/>
      </w:pPr>
      <w:r>
        <w:rPr>
          <w:rFonts w:ascii="Times New Roman" w:hAnsi="Times New Roman" w:eastAsia="Times New Roman" w:cs="Times New Roman"/>
          <w:sz w:val="24"/>
        </w:rPr>
        <w:t xml:space="preserve">A parallel trajectory exists in protein language models. ESM-2 [25] (650M parameters, 250M sequences) and the MSA Transformer [34] demonstrated that zero-shot variant effect prediction — scoring mutations by likelihood ratio without task-specific training — achieves performance competitive with supervised predictors across thousands of deep mutational scanning experiments [26]. AlphaMissense [2] fine-tuned this paradigm on ClinVar annotations to produce proteome-wide missense pathogenicity scores for all 71 million possible single amino acid substitutions. The model’s key innovation was the inclusion of a wild-type training signal: wild-type amino acids at each position receive a low pathogenicity target, preventing the model from assigning high pathogenicity to all substitutions at conserved positions regardless of the specific alternative amino acid.</w:t>
      </w:r>
    </w:p>
    <w:p>
      <w:pPr>
        <w:pStyle w:val="BodyText"/>
      </w:pPr>
      <w:r>
        <w:rPr>
          <w:rFonts w:ascii="Times New Roman" w:hAnsi="Times New Roman" w:eastAsia="Times New Roman" w:cs="Times New Roman"/>
          <w:sz w:val="24"/>
        </w:rPr>
        <w:t xml:space="preserve">Classical supervised predictors remain widely used in clinical practice. CADD [3] integrates conservation scores, functional annotations, and regulatory context into a single PHRED-scaled score via a support vector machine trained on deleterious vs. neutral variant contrasts. REVEL [4] ensembles 13 individual missense predictors via logistic regression, achieving high accuracy for rare missense variant interpretation. These approaches are limited by their reliance on pre-computed features rather than learned representations, and by their inability to capture long-range genomic context. Furthermore, they produce point estimates without calibrated uncertainty, leaving clinicians without a measure of prediction confidence.</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existing system integrates a DNA foundation model at the Evo2 scale (7B parameters, 8K context) with protein-level predictors (AlphaMissense), clinical evidence enrichment, and calibrated evidential fusion in a single pipeline. Prior work has evaluated DNA language models in isolation [1,24] or protein language models in isolation [2,26], but multi-modal fusion across nucleotide-level and protein-level models with calibrated uncertainty quantification has not been demonstrated.</w:t>
      </w:r>
    </w:p>
    <w:bookmarkEnd w:id="22"/>
    <w:bookmarkStart w:id="23" w:name="X89426476ec3c21203b0b6a88077b2ce6e2e8b90"/>
    <w:p>
      <w:pPr>
        <w:pStyle w:val="Heading3"/>
      </w:pPr>
      <w:r>
        <w:rPr>
          <w:rFonts w:ascii="Times New Roman" w:hAnsi="Times New Roman" w:eastAsia="Times New Roman" w:cs="Times New Roman"/>
          <w:sz w:val="24"/>
        </w:rPr>
        <w:t xml:space="preserve">2. Evidential Deep Learning and Uncertainty Quantification</w:t>
      </w:r>
    </w:p>
    <w:p>
      <w:pPr>
        <w:pStyle w:val="FirstParagraph"/>
      </w:pPr>
      <w:r>
        <w:rPr>
          <w:rFonts w:ascii="Times New Roman" w:hAnsi="Times New Roman" w:eastAsia="Times New Roman" w:cs="Times New Roman"/>
          <w:sz w:val="24"/>
        </w:rPr>
        <w:t xml:space="preserve">Clinical variant interpretation is fundamentally a problem of reasoning under uncertainty. Multiple predictors — each with different strengths, limitations, and coverage — must be combined into a single calibrated assessment. The standard approaches to multi-predictor fusion each have critical limitations.</w:t>
      </w:r>
    </w:p>
    <w:p>
      <w:pPr>
        <w:pStyle w:val="BodyText"/>
      </w:pPr>
      <w:r>
        <w:rPr>
          <w:rFonts w:ascii="Times New Roman" w:hAnsi="Times New Roman" w:eastAsia="Times New Roman" w:cs="Times New Roman"/>
          <w:b/>
          <w:bCs/>
          <w:sz w:val="24"/>
        </w:rPr>
        <w:t xml:space="preserve">Weighted averaging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combines predictor scores using fixed weights (typically proportional to each predictor’s AUROC). This approach produces a point estimate without calibrated uncertainty: a weighted average of 0.73 does not imply a 73% probability of pathogenicity. Furthermore, weighted averaging does not naturally handle missing predictors — when AlphaMissense is unavailable for a non-missense variant, the average must be recomputed with re-normalized weights, losing the information that a predictor was absent.</w:t>
      </w:r>
    </w:p>
    <w:p>
      <w:pPr>
        <w:pStyle w:val="BodyText"/>
      </w:pPr>
      <w:r>
        <w:rPr>
          <w:rFonts w:ascii="Times New Roman" w:hAnsi="Times New Roman" w:eastAsia="Times New Roman" w:cs="Times New Roman"/>
          <w:b/>
          <w:bCs/>
          <w:sz w:val="24"/>
        </w:rPr>
        <w:t xml:space="preserve">Dempster-Shafer theory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[13,35] provides a principled calculus for combining evidence from independent sources via belief masses and uncertainty masses. Each predictor contributes evidence for or against pathogenicity, and the combination rule produces a fused belief mass with an explicit uncertainty component. However, standard Dempster-Shafer combination rules produce low belief masses when sources disagree or when only one source is available, leading to excessive abstention. In the clinical variant interpretation setting, this manifests as a high VUS (Variant of Uncertain Significance) rate, rendering the system clinically impractical.</w:t>
      </w:r>
    </w:p>
    <w:p>
      <w:pPr>
        <w:pStyle w:val="BodyText"/>
      </w:pPr>
      <w:r>
        <w:rPr>
          <w:rFonts w:ascii="Times New Roman" w:hAnsi="Times New Roman" w:eastAsia="Times New Roman" w:cs="Times New Roman"/>
          <w:b/>
          <w:bCs/>
          <w:sz w:val="24"/>
        </w:rPr>
        <w:t xml:space="preserve">Evidential deep learning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[8] places a Dirichlet prior over class probabilities, enabling a single forward pass to produce both a prediction and a calibrated uncertainty estimate. This contrasts with Monte Carlo dropout [38], which requires multiple stochastic forward passes, and deep ensembles [39], which require training and inference of multiple models. Prior applications of evidential learning include medical image classification [40], where it was shown to improve calibration on imbalanced datasets, and adversarial robustness [41], where the uncertainty mass provides a natural out-of-distribution detection signal.</w:t>
      </w:r>
    </w:p>
    <w:p>
      <w:pPr>
        <w:pStyle w:val="BodyText"/>
      </w:pPr>
      <w:r>
        <w:rPr>
          <w:rFonts w:ascii="Times New Roman" w:hAnsi="Times New Roman" w:eastAsia="Times New Roman" w:cs="Times New Roman"/>
          <w:b/>
          <w:bCs/>
          <w:sz w:val="24"/>
        </w:rPr>
        <w:t xml:space="preserve">Bayesian model averaging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(BMA) [36] offers an alternative fusion strategy, weighting predictors by their posterior probability. However, BMA requires specifying a prior over model quality and does not naturally handle missing predictors. The DST+BMA baseline combines both approaches but inherits the VUS collapse problem, achieving a 66.2% VUS rate.</w:t>
      </w:r>
    </w:p>
    <w:p>
      <w:pPr>
        <w:pStyle w:val="BodyText"/>
      </w:pPr>
      <w:r>
        <w:rPr>
          <w:rFonts w:ascii="Times New Roman" w:hAnsi="Times New Roman" w:eastAsia="Times New Roman" w:cs="Times New Roman"/>
          <w:sz w:val="24"/>
        </w:rPr>
        <w:t xml:space="preserve">Calibration of neural network predictions remains an active research area. Modern deep networks are systematically overconfident [11], and post-hoc calibration methods — Platt scaling [10], temperature scaling [11], and isotonic regression — are widely used to correct this bias. The choice of calibration method affects not only the predicted probabilities but also the downstream fusion behavior, as demonstrated by the Platt scaling ablation in this work.</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prior work applies evidential deep learning to the multi-predictor variant interpretation problem with explicit modeling of predictor-specific missing data. The predictor-specific missing embeddings and fixed</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constraint in CEFN v2 are novel contributions that address the VUS collapse problem while maintaining calibrated uncertainty.</w:t>
      </w:r>
    </w:p>
    <w:bookmarkEnd w:id="23"/>
    <w:bookmarkStart w:id="24" w:name="X4368e4e7477aa5a0efe933f23033183e664c123"/>
    <w:p>
      <w:pPr>
        <w:pStyle w:val="Heading3"/>
      </w:pPr>
      <w:r>
        <w:rPr>
          <w:rFonts w:ascii="Times New Roman" w:hAnsi="Times New Roman" w:eastAsia="Times New Roman" w:cs="Times New Roman"/>
          <w:sz w:val="24"/>
        </w:rPr>
        <w:t xml:space="preserve">3. Clinical Variant Interpretation and the ACMG/AMP Framework</w:t>
      </w:r>
    </w:p>
    <w:p>
      <w:pPr>
        <w:pStyle w:val="FirstParagraph"/>
      </w:pPr>
      <w:r>
        <w:rPr>
          <w:rFonts w:ascii="Times New Roman" w:hAnsi="Times New Roman" w:eastAsia="Times New Roman" w:cs="Times New Roman"/>
          <w:sz w:val="24"/>
        </w:rPr>
        <w:t xml:space="preserve">The ACMG/AMP standards [5] define 28 evidence criteria for variant classification, combining population frequency (BA1, BS1, PM2), computational (PP3, BP4), functional (PS3, BS3), and segregation (PP1, BS4) evidence. The guidelines were designed for manual application by trained clinical geneticists, but the exponential growth in variant discovery — from $</w:t>
      </w:r>
      <w:r>
        <w:rPr>
          <w:rFonts w:ascii="Times New Roman" w:hAnsi="Times New Roman" w:eastAsia="Times New Roman" w:cs="Times New Roman"/>
          <w:sz w:val="24"/>
        </w:rPr>
        <w:t xml:space="preserve">$200,000 ClinVar submissions in 2015 to over 4 million in 2026 — has motivated computational automation.</w:t>
      </w:r>
    </w:p>
    <w:p>
      <w:pPr>
        <w:pStyle w:val="BodyText"/>
      </w:pPr>
      <w:r>
        <w:rPr>
          <w:rFonts w:ascii="Times New Roman" w:hAnsi="Times New Roman" w:eastAsia="Times New Roman" w:cs="Times New Roman"/>
          <w:sz w:val="24"/>
        </w:rPr>
        <w:t xml:space="preserve">Several tools have been developed to assist ACMG-compliant classification.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VarSome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[43] aggregates multiple predictors with rule-based mapping but does not produce calibrated uncertainty.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InterVar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[44] implements a semi-automated ACMG pipeline that maps computational predictions to evidence codes but relies on fixed thresholds without contextual adjustment.</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CharGer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[45] focuses on germline classification in hereditary cancer, incorporating cancer-specific prior probabilities.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GEM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[46] uses a knowledge graph for rare disease interpretation, integrating phenotype-gene associations.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DiagAI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[47] reduces interpretive workload via LLM-based summarization of evidence. More recently,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Pathoscope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BioReason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have explored scalable XAI frameworks and multimodal biological reasoning within DNA language models, respectively.</w:t>
      </w:r>
    </w:p>
    <w:p>
      <w:pPr>
        <w:pStyle w:val="BodyText"/>
      </w:pPr>
      <w:r>
        <w:rPr>
          <w:rFonts w:ascii="Times New Roman" w:hAnsi="Times New Roman" w:eastAsia="Times New Roman" w:cs="Times New Roman"/>
          <w:sz w:val="24"/>
        </w:rPr>
        <w:t xml:space="preserve">A critical limitation shared by all these systems is the absence of calibrated uncertainty: they produce a classification (Pathogenic, Likely Pathogenic, VUS, etc.) without quantifying the confidence in that classification. This is problematic because the same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“Likely Pathogenic”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label may be assigned with 99% or 55% confidence, warranting fundamentally different clinical actions. Additionally, none of these systems integrate billion-parameter DNA foundation models with real-time evidence retrieval.</w:t>
      </w:r>
    </w:p>
    <w:p>
      <w:pPr>
        <w:pStyle w:val="BodyText"/>
      </w:pP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explainability gap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clinicians needing to understand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model predicts pathogenicity — has been identified as a critical barrier to clinical adoption of AI variant interpreters [48,49]. The ACMG/AMP framework itself was designed to be transparent (each criterion has a biological rationale), but automated systems that apply criteria opaquely undermine this transparency. A clinician using a black-box predictor receives a label without the mechanistic reasoning that justifies it, creating a trust deficit that limits clinical adoption.</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existing ACMG automation tool provides (i) calibrated uncertainty via evidential deep learning, (ii) integration of DNA foundation models at the 7B parameter scale, (iii) real-time evidence retrieval from clinical databases, and (iv) source-tagged explainable reports. The present system addresses all four gaps simultaneously.</w:t>
      </w:r>
    </w:p>
    <w:bookmarkEnd w:id="24"/>
    <w:bookmarkStart w:id="25" w:name="Xa897f2b5996b43680936c9b84cf7ded6b57feb7"/>
    <w:p>
      <w:pPr>
        <w:pStyle w:val="Heading3"/>
      </w:pPr>
      <w:r>
        <w:rPr>
          <w:rFonts w:ascii="Times New Roman" w:hAnsi="Times New Roman" w:eastAsia="Times New Roman" w:cs="Times New Roman"/>
          <w:sz w:val="24"/>
        </w:rPr>
        <w:t xml:space="preserve">4. Protein Structure Prediction and Structural Context for Variant Interpretation</w:t>
      </w:r>
    </w:p>
    <w:p>
      <w:pPr>
        <w:pStyle w:val="FirstParagraph"/>
      </w:pPr>
      <w:r>
        <w:rPr>
          <w:rFonts w:ascii="Times New Roman" w:hAnsi="Times New Roman" w:eastAsia="Times New Roman" w:cs="Times New Roman"/>
          <w:sz w:val="24"/>
        </w:rPr>
        <w:t xml:space="preserve">Protein structure prediction has been revolutionized by deep learning.</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AlphaFold2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[67] achieved experimental-quality structure prediction using MSA-based evolutionary constraints, with a median backbone RMSD of 1.6 Å on CASP14 targets. The AlphaFold Protein Structure Database [68] now covers the entire human proteome with freely available predicted structures.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ESMFold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[25] eliminated the MSA requirement by leveraging the ESM-2 protein language model (15B parameters) for single-sequence structure prediction, achieving 2.9 Å median RMSD with 10–100× faster inference. For proteins with few homologs (MSA depth</w:t>
      </w:r>
      <w:r>
        <w:rPr>
          <w:rFonts w:ascii="Times New Roman" w:hAnsi="Times New Roman" w:eastAsia="Times New Roman" w:cs="Times New Roman"/>
          <w:sz w:val="24"/>
        </w:rPr>
        <w:t xml:space="preserve"> </w:t>
      </w:r>
      <m:oMath>
        <m:r>
          <m:rPr>
            <m:sty m:val="p"/>
          </m:rPr>
          <m:t>&lt;</m:t>
        </m:r>
        <m:r>
          <m:t>30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effective sequences), ESMFold’s single-sequence approach can match or exceed AlphaFold2 because the MSA-based method’s predictions degrade with sparse evolutionary information.</w:t>
      </w:r>
    </w:p>
    <w:p>
      <w:pPr>
        <w:pStyle w:val="BodyText"/>
      </w:pPr>
      <w:r>
        <w:rPr>
          <w:rFonts w:ascii="Times New Roman" w:hAnsi="Times New Roman" w:eastAsia="Times New Roman" w:cs="Times New Roman"/>
          <w:sz w:val="24"/>
        </w:rPr>
        <w:t xml:space="preserve">Despite the availability of these models,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no existing variant interpretation platform integrates 3D structural context into the clinical reasoning pipeline</w:t>
      </w:r>
      <w:r>
        <w:rPr>
          <w:rFonts w:ascii="Times New Roman" w:hAnsi="Times New Roman" w:eastAsia="Times New Roman" w:cs="Times New Roman"/>
          <w:sz w:val="24"/>
        </w:rPr>
        <w:t xml:space="preserve">. Current XAI tools show sequence-level features (conservation, allele frequency, domain annotations) but not 3D protein structure. A clinician who sees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“variant is 4.2 Å from the ATP binding site”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receives a mechanistic explanation that sequence alone cannot provide. The integration of AlphaFold DB structures with variant highlighting, pLDDT confidence coloring, and domain impact assessment is a novel contribution of the present system.</w:t>
      </w:r>
    </w:p>
    <w:bookmarkEnd w:id="25"/>
    <w:bookmarkStart w:id="26" w:name="Xdd554df18bcddddfa86b32fd677c83548b15d26"/>
    <w:p>
      <w:pPr>
        <w:pStyle w:val="Heading3"/>
      </w:pPr>
      <w:r>
        <w:rPr>
          <w:rFonts w:ascii="Times New Roman" w:hAnsi="Times New Roman" w:eastAsia="Times New Roman" w:cs="Times New Roman"/>
          <w:sz w:val="24"/>
        </w:rPr>
        <w:t xml:space="preserve">5. In-Silico Mutagenesis and Counterfactual Analysis</w:t>
      </w:r>
    </w:p>
    <w:p>
      <w:pPr>
        <w:pStyle w:val="FirstParagraph"/>
      </w:pPr>
      <w:r>
        <w:rPr>
          <w:rFonts w:ascii="Times New Roman" w:hAnsi="Times New Roman" w:eastAsia="Times New Roman" w:cs="Times New Roman"/>
          <w:sz w:val="24"/>
        </w:rPr>
        <w:t xml:space="preserve">In-silico mutagenesis (ISM) — systematically perturbing each position in a sequence and measuring the effect on model output — was originally developed for protein stability analysis [27] and deep mutational scanning experiments [28]. In the context of DNA language models, ISM generates a high-resolution map of evolutionary constraint by querying the model for the likelihood shift associated with every possible substitution at every position in a local window.</w:t>
      </w:r>
    </w:p>
    <w:p>
      <w:pPr>
        <w:pStyle w:val="BodyText"/>
      </w:pPr>
      <w:r>
        <w:rPr>
          <w:rFonts w:ascii="Times New Roman" w:hAnsi="Times New Roman" w:eastAsia="Times New Roman" w:cs="Times New Roman"/>
          <w:sz w:val="24"/>
        </w:rPr>
        <w:t xml:space="preserve">Existing variant effect predictors (CADD [3], REVEL [4], AlphaMissense [2]) produce only a single score per variant without local context. They cannot answer the question: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this variant located in a region where the genome is intolerant to</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mutation?”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This spatial context is clinically significant — a variant in a mutation-intolerant micro-environment has different implications than the same score in a mutation-tolerant region, even if the absolute delta score is identical.</w:t>
      </w:r>
    </w:p>
    <w:p>
      <w:pPr>
        <w:pStyle w:val="BodyText"/>
      </w:pPr>
      <w:r>
        <w:rPr>
          <w:rFonts w:ascii="Times New Roman" w:hAnsi="Times New Roman" w:eastAsia="Times New Roman" w:cs="Times New Roman"/>
          <w:sz w:val="24"/>
        </w:rPr>
        <w:t xml:space="preserve">The counterfactual analysis enabled by ISM — showing what the prediction would be for all three alternative nucleotides at the variant position — is another novel contribution. If only one substitution is tolerated and the other three are pathogenic, the observed variant’s significance is clearer than if all substitutions are tolerated. No existing variant interpretation tool provides this counterfactual space.</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prior work applies ISM at single-nucleotide resolution using a 7B-parameter DNA foundation model, nor integrates the constraint profile into ACMG evidence modification and confidence adjustment. The ISM integration transforms the scan from a standalone visualization into an active evidence contributor.</w:t>
      </w:r>
    </w:p>
    <w:bookmarkEnd w:id="26"/>
    <w:bookmarkStart w:id="27" w:name="Xd0ac143c8f95438d7b790aa9b5aff1c42dcc686"/>
    <w:p>
      <w:pPr>
        <w:pStyle w:val="Heading3"/>
      </w:pPr>
      <w:r>
        <w:rPr>
          <w:rFonts w:ascii="Times New Roman" w:hAnsi="Times New Roman" w:eastAsia="Times New Roman" w:cs="Times New Roman"/>
          <w:sz w:val="24"/>
        </w:rPr>
        <w:t xml:space="preserve">6. Retrieval-Augmented Generation in Biomedicine</w:t>
      </w:r>
    </w:p>
    <w:p>
      <w:pPr>
        <w:pStyle w:val="FirstParagraph"/>
      </w:pPr>
      <w:r>
        <w:rPr>
          <w:rFonts w:ascii="Times New Roman" w:hAnsi="Times New Roman" w:eastAsia="Times New Roman" w:cs="Times New Roman"/>
          <w:sz w:val="24"/>
        </w:rPr>
        <w:t xml:space="preserve">Retrieval-augmented generation (RAG) [18] mitigates hallucination in large language models by grounding responses in retrieved documents. The approach has been widely adopted in biomedical NLP: clinical question answering systems use RAG to retrieve relevant clinical guidelines [50]; drug interaction checking systems retrieve drug–drug interaction databases [51]; EHR summarization systems retrieve patient records [52]. 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BioRAG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framework [19] demonstrated that multi-source retrieval from PubMed, clinical databases, and knowledge graphs improves factual accuracy in biomedical QA compared to single-source retrieval.</w:t>
      </w:r>
    </w:p>
    <w:p>
      <w:pPr>
        <w:pStyle w:val="BodyText"/>
      </w:pPr>
      <w:r>
        <w:rPr>
          <w:rFonts w:ascii="Times New Roman" w:hAnsi="Times New Roman" w:eastAsia="Times New Roman" w:cs="Times New Roman"/>
          <w:sz w:val="24"/>
        </w:rPr>
        <w:t xml:space="preserve">A key challenge in biomedical RAG is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source attribution</w:t>
      </w:r>
      <w:r>
        <w:rPr>
          <w:rFonts w:ascii="Times New Roman" w:hAnsi="Times New Roman" w:eastAsia="Times New Roman" w:cs="Times New Roman"/>
          <w:sz w:val="24"/>
        </w:rPr>
        <w:t xml:space="preserve">: ensuring that each claim in the generated text can be traced to a specific retrieved document. Without source attribution, the LLM may hallucinate claims that appear plausible but are not supported by the retrieved evidence. This is particularly critical in clinical genomics, where an unsupported claim about variant pathogenicity could lead to inappropriate clinical action.</w:t>
      </w:r>
    </w:p>
    <w:p>
      <w:pPr>
        <w:pStyle w:val="BodyText"/>
      </w:pPr>
      <w:r>
        <w:rPr>
          <w:rFonts w:ascii="Times New Roman" w:hAnsi="Times New Roman" w:eastAsia="Times New Roman" w:cs="Times New Roman"/>
          <w:sz w:val="24"/>
        </w:rPr>
        <w:t xml:space="preserve">Clinical knowledge also evolves continuously. A static database from 2023 misses 2024–2025 publications and ClinVar reclassifications. Real-time retrieval from live APIs (PubMed, ClinVar, UniProt) ensures that the evidence base reflects the current state of knowledge, a significant advantage over systems that rely on periodically updated local databases.</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Prior biomedical RAG systems retrieve from a single domain (literature OR clinical databases OR knowledge graphs). The tri-modal RAG architecture retrieves simultaneously from ClinVar, UniProt, and PubMed, providing a more complete evidence base for variant interpretation than any single-source system. The source-tagging approach ensures that every claim in the clinical report is attributable to a specific evidence source.</w:t>
      </w:r>
    </w:p>
    <w:bookmarkEnd w:id="27"/>
    <w:bookmarkStart w:id="28" w:name="autonomous-tool-calling-agents"/>
    <w:p>
      <w:pPr>
        <w:pStyle w:val="Heading3"/>
      </w:pPr>
      <w:r>
        <w:rPr>
          <w:rFonts w:ascii="Times New Roman" w:hAnsi="Times New Roman" w:eastAsia="Times New Roman" w:cs="Times New Roman"/>
          <w:sz w:val="24"/>
        </w:rPr>
        <w:t xml:space="preserve">7. Autonomous Tool-Calling Agents</w:t>
      </w:r>
    </w:p>
    <w:p>
      <w:pPr>
        <w:pStyle w:val="FirstParagraph"/>
      </w:pPr>
      <w:r>
        <w:rPr>
          <w:rFonts w:ascii="Times New Roman" w:hAnsi="Times New Roman" w:eastAsia="Times New Roman" w:cs="Times New Roman"/>
          <w:sz w:val="24"/>
        </w:rPr>
        <w:t xml:space="preserve">The function-calling paradigm [15] enables LLMs to invoke external tools via structured JSON schemas, bridging the gap between language understanding and deterministic computation.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Toolformer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[15] demonstrated that LLMs can self-supervise tool usage, while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ReAct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[91] established the reasoning + acting paradigm where the LLM interleaves natural language reasoning with tool execution. Commercial implementations (GPT-4 function calling [53], NVIDIA Nemotron [16]) support multi-turn tool use with automatic result integration.</w:t>
      </w:r>
    </w:p>
    <w:p>
      <w:pPr>
        <w:pStyle w:val="BodyText"/>
      </w:pPr>
      <w:r>
        <w:rPr>
          <w:rFonts w:ascii="Times New Roman" w:hAnsi="Times New Roman" w:eastAsia="Times New Roman" w:cs="Times New Roman"/>
          <w:sz w:val="24"/>
        </w:rPr>
        <w:t xml:space="preserve">A key challenge in multi-tool agents is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tool selection accuracy</w:t>
      </w:r>
      <w:r>
        <w:rPr>
          <w:rFonts w:ascii="Times New Roman" w:hAnsi="Times New Roman" w:eastAsia="Times New Roman" w:cs="Times New Roman"/>
          <w:sz w:val="24"/>
        </w:rPr>
        <w:t xml:space="preserve">: with many tools available, the LLM may select an inappropriate tool or hallucinate a non-existent tool. The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“lost in the middle”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phenomenon [14] — where LLMs underutilize information in the center of long contexts — exacerbates this problem when tool schemas are long. Mitigation strategies include strategic schema positioning (placing high-frequency tools at array boundaries) and directive prompting (explicit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“USE THIS when…”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instructions).</w:t>
      </w:r>
    </w:p>
    <w:p>
      <w:pPr>
        <w:pStyle w:val="BodyText"/>
      </w:pPr>
      <w:r>
        <w:rPr>
          <w:rFonts w:ascii="Times New Roman" w:hAnsi="Times New Roman" w:eastAsia="Times New Roman" w:cs="Times New Roman"/>
          <w:sz w:val="24"/>
        </w:rPr>
        <w:t xml:space="preserve">The hybrid Mamba-Transformer architecture [60,61] underlying Nemotron-3 enables efficient processing of 128K-token contexts by interleaving linear-complexity state-space layers with quadratic-attention layers. Latent Mixture-of-Experts routing [62] provides domain-specialized sub-networks for heterogeneous modalities, and Multi-Token Prediction [63] accelerates JSON tool-call generation via speculative decoding.</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Self-healing agentic loops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where the LLM diagnoses and retries failed tool calls — emerge naturally from the iterative ReAct execution structure without explicit retry logic. This is particularly valuable in bioinformatics, where distributed APIs are inherently unreliable and GPU cold starts frequently cause timeouts.</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Prior agentic systems in biomedicine use fewer than 10 tools and do not address the latency stratification problem (mixing sub-second database lookups with multi-minute GPU inference). The 31-tool, 3-tier architecture with dynamic tool budgeting and compute-aware short-circuiting is, to our knowledge, the largest bioinformatics tool-calling agent reported.</w:t>
      </w:r>
    </w:p>
    <w:bookmarkEnd w:id="28"/>
    <w:bookmarkStart w:id="29" w:name="crispr-off-target-prediction"/>
    <w:p>
      <w:pPr>
        <w:pStyle w:val="Heading3"/>
      </w:pPr>
      <w:r>
        <w:rPr>
          <w:rFonts w:ascii="Times New Roman" w:hAnsi="Times New Roman" w:eastAsia="Times New Roman" w:cs="Times New Roman"/>
          <w:sz w:val="24"/>
        </w:rPr>
        <w:t xml:space="preserve">8. CRISPR Off-Target Prediction</w:t>
      </w:r>
    </w:p>
    <w:p>
      <w:pPr>
        <w:pStyle w:val="FirstParagraph"/>
      </w:pPr>
      <w:r>
        <w:rPr>
          <w:rFonts w:ascii="Times New Roman" w:hAnsi="Times New Roman" w:eastAsia="Times New Roman" w:cs="Times New Roman"/>
          <w:sz w:val="24"/>
        </w:rPr>
        <w:t xml:space="preserve">Computational CRISPR off-target prediction has evolved through three approaches.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Alignment-based scoring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methods (CFD [54], MIT score [55]) use position-weighted mismatch penalties calibrated on experimental cleavage data. These methods are fast but require task-specific training data and do not capture sequence context beyond the mismatch positions.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Deep learning approaches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(DeepCRISPR [56], CRISPR-Net [57]) train neural networks on large-scale cleavage datasets, achieving higher accuracy but remaining dependent on labeled training data.</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Zero-shot language model approaches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leverage the observation that CRISPR seed regions are evolutionarily constrained: positions under purifying selection produce larger Evo2 delta scores, providing a proxy for cleavage specificity without task-specific training.</w:t>
      </w:r>
    </w:p>
    <w:p>
      <w:pPr>
        <w:pStyle w:val="BodyText"/>
      </w:pPr>
      <w:r>
        <w:rPr>
          <w:rFonts w:ascii="Times New Roman" w:hAnsi="Times New Roman" w:eastAsia="Times New Roman" w:cs="Times New Roman"/>
          <w:sz w:val="24"/>
        </w:rPr>
        <w:t xml:space="preserve">The population-aware extension addresses a gap identified in equity-focused genomics [58]: CRISPR therapeutics validated primarily on European cohorts may exhibit differential off-target profiles in underrepresented ancestries due to population-specific PAM variants. This analysis is enabled by the ancestry-stratified allele frequency data from gnomAD v4.1 [7].</w:t>
      </w:r>
    </w:p>
    <w:p>
      <w:pPr>
        <w:pStyle w:val="BodyText"/>
      </w:pPr>
      <w:r>
        <w:rPr>
          <w:rFonts w:ascii="Times New Roman" w:hAnsi="Times New Roman" w:eastAsia="Times New Roman" w:cs="Times New Roman"/>
          <w:b/>
          <w:bCs/>
          <w:sz w:val="24"/>
        </w:rPr>
        <w:t xml:space="preserve">Gap identified.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prior work applies a 7B-parameter DNA language model to CRISPR off-target prediction in a zero-shot setting, nor assesses ancestry-conditional off-target risk across six continental populations.</w:t>
      </w:r>
    </w:p>
    <w:bookmarkEnd w:id="29"/>
    <w:bookmarkStart w:id="30" w:name="positioning-of-the-present-work"/>
    <w:p>
      <w:pPr>
        <w:pStyle w:val="Heading3"/>
      </w:pPr>
      <w:r>
        <w:rPr>
          <w:rFonts w:ascii="Times New Roman" w:hAnsi="Times New Roman" w:eastAsia="Times New Roman" w:cs="Times New Roman"/>
          <w:sz w:val="24"/>
        </w:rPr>
        <w:t xml:space="preserve">Positioning of the Present Work</w:t>
      </w:r>
    </w:p>
    <w:p>
      <w:pPr>
        <w:pStyle w:val="FirstParagraph"/>
      </w:pPr>
      <w:r>
        <w:rPr>
          <w:rFonts w:ascii="Times New Roman" w:hAnsi="Times New Roman" w:eastAsia="Times New Roman" w:cs="Times New Roman"/>
          <w:sz w:val="24"/>
        </w:rPr>
        <w:t xml:space="preserve">The system described in this work integrates eight distinct research threads — genomic foundation models, protein language models, evidential deep learning, ACMG/AMP clinical guidelines, retrieval-augmented generation, autonomous tool-calling agents, protein structure prediction, and CRISPR off-target analysis — into a unified pipeline for clinical variant interpretation. Table 1 summarizes the relationship to prior work:</w:t>
      </w:r>
    </w:p>
    <w:p>
      <w:pPr>
        <w:pStyle w:val="Caption"/>
      </w:pPr>
      <w:bookmarkStart w:id="30905" w:name="_Tbl1"/>
      <w:r>
        <w:rPr>
          <w:rFonts w:ascii="Times New Roman" w:hAnsi="Times New Roman" w:eastAsia="Times New Roman" w:cs="Times New Roman"/>
          <w:b/>
          <w:bCs/>
          <w:sz w:val="24"/>
        </w:rPr>
        <w:t xml:space="preserve">Table 1: Positioning Relative to Prior Work.</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Comparison of each major system component against the closest prior work and the novel contribution of the present system. Each row represents a distinct research thread integrated into the HelixMind pipeline.</w:t>
      </w:r>
      <w:bookmarkEnd w:id="3090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0"/>
              </w:rPr>
              <w:t xml:space="preserve">Component</w:t>
            </w:r>
          </w:p>
        </w:tc>
        <w:tc>
          <w:tcPr/>
          <w:p>
            <w:pPr>
              <w:pStyle w:val="Compact"/>
            </w:pPr>
            <w:r>
              <w:rPr>
                <w:rFonts w:ascii="Times New Roman" w:hAnsi="Times New Roman" w:eastAsia="Times New Roman" w:cs="Times New Roman"/>
                <w:sz w:val="20"/>
              </w:rPr>
              <w:t xml:space="preserve">Closest Prior Work</w:t>
            </w:r>
          </w:p>
        </w:tc>
        <w:tc>
          <w:tcPr/>
          <w:p>
            <w:pPr>
              <w:pStyle w:val="Compact"/>
            </w:pPr>
            <w:r>
              <w:rPr>
                <w:rFonts w:ascii="Times New Roman" w:hAnsi="Times New Roman" w:eastAsia="Times New Roman" w:cs="Times New Roman"/>
                <w:sz w:val="20"/>
              </w:rPr>
              <w:t xml:space="preserve">Novel Contribution</w:t>
            </w:r>
          </w:p>
        </w:tc>
      </w:tr>
      <w:tr>
        <w:tc>
          <w:tcPr/>
          <w:p>
            <w:pPr>
              <w:pStyle w:val="Compact"/>
            </w:pPr>
            <w:r>
              <w:rPr>
                <w:rFonts w:ascii="Times New Roman" w:hAnsi="Times New Roman" w:eastAsia="Times New Roman" w:cs="Times New Roman"/>
                <w:sz w:val="20"/>
              </w:rPr>
              <w:t xml:space="preserve">DNA variant scoring</w:t>
            </w:r>
          </w:p>
        </w:tc>
        <w:tc>
          <w:tcPr/>
          <w:p>
            <w:pPr>
              <w:pStyle w:val="Compact"/>
            </w:pPr>
            <w:r>
              <w:rPr>
                <w:rFonts w:ascii="Times New Roman" w:hAnsi="Times New Roman" w:eastAsia="Times New Roman" w:cs="Times New Roman"/>
                <w:sz w:val="20"/>
              </w:rPr>
              <w:t xml:space="preserve">Evo2 [1], NT [24]</w:t>
            </w:r>
          </w:p>
        </w:tc>
        <w:tc>
          <w:tcPr/>
          <w:p>
            <w:pPr>
              <w:pStyle w:val="Compact"/>
            </w:pPr>
            <w:r>
              <w:rPr>
                <w:rFonts w:ascii="Times New Roman" w:hAnsi="Times New Roman" w:eastAsia="Times New Roman" w:cs="Times New Roman"/>
                <w:sz w:val="20"/>
              </w:rPr>
              <w:t xml:space="preserve">First clinical pipeline using 7B DNA model with 8K context</w:t>
            </w:r>
          </w:p>
        </w:tc>
      </w:tr>
      <w:tr>
        <w:tc>
          <w:tcPr/>
          <w:p>
            <w:pPr>
              <w:pStyle w:val="Compact"/>
            </w:pPr>
            <w:r>
              <w:rPr>
                <w:rFonts w:ascii="Times New Roman" w:hAnsi="Times New Roman" w:eastAsia="Times New Roman" w:cs="Times New Roman"/>
                <w:sz w:val="20"/>
              </w:rPr>
              <w:t xml:space="preserve">Protein pathogenicity</w:t>
            </w:r>
          </w:p>
        </w:tc>
        <w:tc>
          <w:tcPr/>
          <w:p>
            <w:pPr>
              <w:pStyle w:val="Compact"/>
            </w:pPr>
            <w:r>
              <w:rPr>
                <w:rFonts w:ascii="Times New Roman" w:hAnsi="Times New Roman" w:eastAsia="Times New Roman" w:cs="Times New Roman"/>
                <w:sz w:val="20"/>
              </w:rPr>
              <w:t xml:space="preserve">AlphaMissense [2]</w:t>
            </w:r>
          </w:p>
        </w:tc>
        <w:tc>
          <w:tcPr/>
          <w:p>
            <w:pPr>
              <w:pStyle w:val="Compact"/>
            </w:pPr>
            <w:r>
              <w:rPr>
                <w:rFonts w:ascii="Times New Roman" w:hAnsi="Times New Roman" w:eastAsia="Times New Roman" w:cs="Times New Roman"/>
                <w:sz w:val="20"/>
              </w:rPr>
              <w:t xml:space="preserve">Integration with DNA model via evidential fusion</w:t>
            </w:r>
          </w:p>
        </w:tc>
      </w:tr>
      <w:tr>
        <w:tc>
          <w:tcPr/>
          <w:p>
            <w:pPr>
              <w:pStyle w:val="Compact"/>
            </w:pPr>
            <w:r>
              <w:rPr>
                <w:rFonts w:ascii="Times New Roman" w:hAnsi="Times New Roman" w:eastAsia="Times New Roman" w:cs="Times New Roman"/>
                <w:sz w:val="20"/>
              </w:rPr>
              <w:t xml:space="preserve">Uncertainty quantification</w:t>
            </w:r>
          </w:p>
        </w:tc>
        <w:tc>
          <w:tcPr/>
          <w:p>
            <w:pPr>
              <w:pStyle w:val="Compact"/>
            </w:pPr>
            <w:r>
              <w:rPr>
                <w:rFonts w:ascii="Times New Roman" w:hAnsi="Times New Roman" w:eastAsia="Times New Roman" w:cs="Times New Roman"/>
                <w:sz w:val="20"/>
              </w:rPr>
              <w:t xml:space="preserve">Sensoy et al. [8]</w:t>
            </w:r>
          </w:p>
        </w:tc>
        <w:tc>
          <w:tcPr/>
          <w:p>
            <w:pPr>
              <w:pStyle w:val="Compact"/>
            </w:pPr>
            <w:r>
              <w:rPr>
                <w:rFonts w:ascii="Times New Roman" w:hAnsi="Times New Roman" w:eastAsia="Times New Roman" w:cs="Times New Roman"/>
                <w:sz w:val="20"/>
              </w:rPr>
              <w:t xml:space="preserve">Predictor-specific missing embeddings; fixed</w:t>
            </w:r>
            <w:r>
              <w:rPr>
                <w:rFonts w:ascii="Times New Roman" w:hAnsi="Times New Roman" w:eastAsia="Times New Roman" w:cs="Times New Roman"/>
                <w:sz w:val="20"/>
              </w:rPr>
              <w:t xml:space="preserve"> </w:t>
            </w:r>
            <m:oMath>
              <m:sSub>
                <m:e>
                  <m:r>
                    <m:t>α</m:t>
                  </m:r>
                </m:e>
                <m:sub>
                  <m:r>
                    <m:rPr>
                      <m:nor/>
                      <m:sty m:val="p"/>
                    </m:rPr>
                    <m:t>VUS</m:t>
                  </m:r>
                </m:sub>
              </m:sSub>
            </m:oMath>
          </w:p>
        </w:tc>
      </w:tr>
      <w:tr>
        <w:tc>
          <w:tcPr/>
          <w:p>
            <w:pPr>
              <w:pStyle w:val="Compact"/>
            </w:pPr>
            <w:r>
              <w:rPr>
                <w:rFonts w:ascii="Times New Roman" w:hAnsi="Times New Roman" w:eastAsia="Times New Roman" w:cs="Times New Roman"/>
                <w:sz w:val="20"/>
              </w:rPr>
              <w:t xml:space="preserve">ACMG automation</w:t>
            </w:r>
          </w:p>
        </w:tc>
        <w:tc>
          <w:tcPr/>
          <w:p>
            <w:pPr>
              <w:pStyle w:val="Compact"/>
            </w:pPr>
            <w:r>
              <w:rPr>
                <w:rFonts w:ascii="Times New Roman" w:hAnsi="Times New Roman" w:eastAsia="Times New Roman" w:cs="Times New Roman"/>
                <w:sz w:val="20"/>
              </w:rPr>
              <w:t xml:space="preserve">InterVar [44], CharGer [45]</w:t>
            </w:r>
          </w:p>
        </w:tc>
        <w:tc>
          <w:tcPr/>
          <w:p>
            <w:pPr>
              <w:pStyle w:val="Compact"/>
            </w:pPr>
            <w:r>
              <w:rPr>
                <w:rFonts w:ascii="Times New Roman" w:hAnsi="Times New Roman" w:eastAsia="Times New Roman" w:cs="Times New Roman"/>
                <w:sz w:val="20"/>
              </w:rPr>
              <w:t xml:space="preserve">Calibrated uncertainty; LLM refinement; ISM evidence modifier</w:t>
            </w:r>
          </w:p>
        </w:tc>
      </w:tr>
      <w:tr>
        <w:tc>
          <w:tcPr/>
          <w:p>
            <w:pPr>
              <w:pStyle w:val="Compact"/>
            </w:pPr>
            <w:r>
              <w:rPr>
                <w:rFonts w:ascii="Times New Roman" w:hAnsi="Times New Roman" w:eastAsia="Times New Roman" w:cs="Times New Roman"/>
                <w:sz w:val="20"/>
              </w:rPr>
              <w:t xml:space="preserve">Explainable reports</w:t>
            </w:r>
          </w:p>
        </w:tc>
        <w:tc>
          <w:tcPr/>
          <w:p>
            <w:pPr>
              <w:pStyle w:val="Compact"/>
            </w:pPr>
            <w:r>
              <w:rPr>
                <w:rFonts w:ascii="Times New Roman" w:hAnsi="Times New Roman" w:eastAsia="Times New Roman" w:cs="Times New Roman"/>
                <w:sz w:val="20"/>
              </w:rPr>
              <w:t xml:space="preserve">BioRAG [19]</w:t>
            </w:r>
          </w:p>
        </w:tc>
        <w:tc>
          <w:tcPr/>
          <w:p>
            <w:pPr>
              <w:pStyle w:val="Compact"/>
            </w:pPr>
            <w:r>
              <w:rPr>
                <w:rFonts w:ascii="Times New Roman" w:hAnsi="Times New Roman" w:eastAsia="Times New Roman" w:cs="Times New Roman"/>
                <w:sz w:val="20"/>
              </w:rPr>
              <w:t xml:space="preserve">Tri-modal RAG with source tagging for variant interpretation</w:t>
            </w:r>
          </w:p>
        </w:tc>
      </w:tr>
      <w:tr>
        <w:tc>
          <w:tcPr/>
          <w:p>
            <w:pPr>
              <w:pStyle w:val="Compact"/>
            </w:pPr>
            <w:r>
              <w:rPr>
                <w:rFonts w:ascii="Times New Roman" w:hAnsi="Times New Roman" w:eastAsia="Times New Roman" w:cs="Times New Roman"/>
                <w:sz w:val="20"/>
              </w:rPr>
              <w:t xml:space="preserve">Structural context</w:t>
            </w:r>
          </w:p>
        </w:tc>
        <w:tc>
          <w:tcPr/>
          <w:p>
            <w:pPr>
              <w:pStyle w:val="Compact"/>
            </w:pPr>
            <w:r>
              <w:rPr>
                <w:rFonts w:ascii="Times New Roman" w:hAnsi="Times New Roman" w:eastAsia="Times New Roman" w:cs="Times New Roman"/>
                <w:sz w:val="20"/>
              </w:rPr>
              <w:t xml:space="preserve">AlphaFold [67], ESMFold [25]</w:t>
            </w:r>
          </w:p>
        </w:tc>
        <w:tc>
          <w:tcPr/>
          <w:p>
            <w:pPr>
              <w:pStyle w:val="Compact"/>
            </w:pPr>
            <w:r>
              <w:rPr>
                <w:rFonts w:ascii="Times New Roman" w:hAnsi="Times New Roman" w:eastAsia="Times New Roman" w:cs="Times New Roman"/>
                <w:sz w:val="20"/>
              </w:rPr>
              <w:t xml:space="preserve">In-chat 3D viewer with variant highlighting and pLDDT coloring</w:t>
            </w:r>
          </w:p>
        </w:tc>
      </w:tr>
      <w:tr>
        <w:tc>
          <w:tcPr/>
          <w:p>
            <w:pPr>
              <w:pStyle w:val="Compact"/>
            </w:pPr>
            <w:r>
              <w:rPr>
                <w:rFonts w:ascii="Times New Roman" w:hAnsi="Times New Roman" w:eastAsia="Times New Roman" w:cs="Times New Roman"/>
                <w:sz w:val="20"/>
              </w:rPr>
              <w:t xml:space="preserve">Counterfactual analysis</w:t>
            </w:r>
          </w:p>
        </w:tc>
        <w:tc>
          <w:tcPr/>
          <w:p>
            <w:pPr>
              <w:pStyle w:val="Compact"/>
            </w:pPr>
            <w:r>
              <w:rPr>
                <w:rFonts w:ascii="Times New Roman" w:hAnsi="Times New Roman" w:eastAsia="Times New Roman" w:cs="Times New Roman"/>
                <w:sz w:val="20"/>
              </w:rPr>
              <w:t xml:space="preserve">ISM paradigm [27,28]</w:t>
            </w:r>
          </w:p>
        </w:tc>
        <w:tc>
          <w:tcPr/>
          <w:p>
            <w:pPr>
              <w:pStyle w:val="Compact"/>
            </w:pPr>
            <w:r>
              <w:rPr>
                <w:rFonts w:ascii="Times New Roman" w:hAnsi="Times New Roman" w:eastAsia="Times New Roman" w:cs="Times New Roman"/>
                <w:sz w:val="20"/>
              </w:rPr>
              <w:t xml:space="preserve">Single-nucleotide ISM with 7B model; ACMG evidence modifier</w:t>
            </w:r>
          </w:p>
        </w:tc>
      </w:tr>
      <w:tr>
        <w:tc>
          <w:tcPr/>
          <w:p>
            <w:pPr>
              <w:pStyle w:val="Compact"/>
            </w:pPr>
            <w:r>
              <w:rPr>
                <w:rFonts w:ascii="Times New Roman" w:hAnsi="Times New Roman" w:eastAsia="Times New Roman" w:cs="Times New Roman"/>
                <w:sz w:val="20"/>
              </w:rPr>
              <w:t xml:space="preserve">Tool-calling agent</w:t>
            </w:r>
          </w:p>
        </w:tc>
        <w:tc>
          <w:tcPr/>
          <w:p>
            <w:pPr>
              <w:pStyle w:val="Compact"/>
            </w:pPr>
            <w:r>
              <w:rPr>
                <w:rFonts w:ascii="Times New Roman" w:hAnsi="Times New Roman" w:eastAsia="Times New Roman" w:cs="Times New Roman"/>
                <w:sz w:val="20"/>
              </w:rPr>
              <w:t xml:space="preserve">ReAct [91], Toolformer [15]</w:t>
            </w:r>
          </w:p>
        </w:tc>
        <w:tc>
          <w:tcPr/>
          <w:p>
            <w:pPr>
              <w:pStyle w:val="Compact"/>
            </w:pPr>
            <w:r>
              <w:rPr>
                <w:rFonts w:ascii="Times New Roman" w:hAnsi="Times New Roman" w:eastAsia="Times New Roman" w:cs="Times New Roman"/>
                <w:sz w:val="20"/>
              </w:rPr>
              <w:t xml:space="preserve">31-tool, 3-tier bioinformatics agent with self-healing</w:t>
            </w:r>
          </w:p>
        </w:tc>
      </w:tr>
      <w:tr>
        <w:tc>
          <w:tcPr/>
          <w:p>
            <w:pPr>
              <w:pStyle w:val="Compact"/>
            </w:pPr>
            <w:r>
              <w:rPr>
                <w:rFonts w:ascii="Times New Roman" w:hAnsi="Times New Roman" w:eastAsia="Times New Roman" w:cs="Times New Roman"/>
                <w:sz w:val="20"/>
              </w:rPr>
              <w:t xml:space="preserve">CRISPR off-target</w:t>
            </w:r>
          </w:p>
        </w:tc>
        <w:tc>
          <w:tcPr/>
          <w:p>
            <w:pPr>
              <w:pStyle w:val="Compact"/>
            </w:pPr>
            <w:r>
              <w:rPr>
                <w:rFonts w:ascii="Times New Roman" w:hAnsi="Times New Roman" w:eastAsia="Times New Roman" w:cs="Times New Roman"/>
                <w:sz w:val="20"/>
              </w:rPr>
              <w:t xml:space="preserve">DeepCRISPR [56], CFD [54]</w:t>
            </w:r>
          </w:p>
        </w:tc>
        <w:tc>
          <w:tcPr/>
          <w:p>
            <w:pPr>
              <w:pStyle w:val="Compact"/>
            </w:pPr>
            <w:r>
              <w:rPr>
                <w:rFonts w:ascii="Times New Roman" w:hAnsi="Times New Roman" w:eastAsia="Times New Roman" w:cs="Times New Roman"/>
                <w:sz w:val="20"/>
              </w:rPr>
              <w:t xml:space="preserve">Zero-shot 7B model; population-aware off-target risk</w:t>
            </w:r>
          </w:p>
        </w:tc>
      </w:tr>
    </w:tbl>
    <w:p>
      <w:pPr>
        <w:pStyle w:val="BodyText"/>
      </w:pPr>
      <w:r>
        <w:rPr>
          <w:rFonts w:ascii="Times New Roman" w:hAnsi="Times New Roman" w:eastAsia="Times New Roman" w:cs="Times New Roman"/>
          <w:sz w:val="24"/>
        </w:rPr>
        <w:t xml:space="preserve">No single prior system integrates more than two of these components. The primary contribution of this work is the architectural integration — demonstrating that DNA foundation models, protein language models, evidential fusion, clinical databases, and autonomous agents can be combined into a clinically useful pipeline with calibrated uncertainty and explainable outputs.</w:t>
      </w:r>
    </w:p>
    <w:p>
      <w:r>
        <w:rPr>
          <w:rFonts w:ascii="Times New Roman" w:hAnsi="Times New Roman" w:eastAsia="Times New Roman" w:cs="Times New Roman"/>
          <w:sz w:val="24"/>
        </w:rPr>
        <w:pict>
          <v:rect style="width:0;height:1.5pt" o:hralign="center" o:hrstd="t" o:hr="t"/>
        </w:pict>
      </w:r>
    </w:p>
    <w:bookmarkEnd w:id="30"/>
    <w:bookmarkEnd w:id="31"/>
    <w:bookmarkEnd w:id="32"/>
    <w:bookmarkStart w:id="120" w:name="methodology"/>
    <w:p>
      <w:pPr>
        <w:pStyle w:val="Heading1"/>
      </w:pPr>
      <w:r>
        <w:rPr>
          <w:rFonts w:ascii="Times New Roman" w:hAnsi="Times New Roman" w:eastAsia="Times New Roman" w:cs="Times New Roman"/>
          <w:sz w:val="24"/>
        </w:rPr>
        <w:t xml:space="preserve">Methodology</w:t>
      </w:r>
    </w:p>
    <w:bookmarkStart w:id="33" w:name="system-overview"/>
    <w:p>
      <w:pPr>
        <w:pStyle w:val="Heading2"/>
      </w:pPr>
      <w:r>
        <w:rPr>
          <w:rFonts w:ascii="Times New Roman" w:hAnsi="Times New Roman" w:eastAsia="Times New Roman" w:cs="Times New Roman"/>
          <w:sz w:val="24"/>
        </w:rPr>
        <w:t xml:space="preserve">1. System Overview</w:t>
      </w:r>
    </w:p>
    <w:p>
      <w:pPr>
        <w:pStyle w:val="FirstParagraph"/>
      </w:pPr>
      <w:r>
        <w:rPr>
          <w:rFonts w:ascii="Times New Roman" w:hAnsi="Times New Roman" w:eastAsia="Times New Roman" w:cs="Times New Roman"/>
          <w:sz w:val="24"/>
        </w:rPr>
        <w:t xml:space="preserve">The system is a computational pipeline for genomic variant pathogenicity assessment. It combines a DNA foundation model (Evo2 7B) [1], a protein language model (AlphaMissense) [2], a novel evidential neural fusion network (CEFN v2) [8,9], clinical databases [5,7], and an autonomous tool-calling agent [15,16]. The pipeline comprises eight sequential stages: (i) variant selection, (ii) reference sequence retrieval, (iii) transcript consequence annotation [17], (iv) population frequency pre-filtering with compute-aware short-circuiting, (v) likelihood-based pathogenicity scoring [1], (vi) parallel clinical evidence retrieval, (vii) evidential fusion and ACMG/AMP classification [5], and (viii) retrieval-augmented clinical report synthesis [18,19].</w:t>
      </w:r>
    </w:p>
    <w:p>
      <w:pPr>
        <w:pStyle w:val="SourceCode"/>
      </w:pPr>
      <w:r>
        <w:rPr>
          <w:rStyle w:val="VerbatimChar"/>
          <w:rFonts w:ascii="Times New Roman" w:hAnsi="Times New Roman" w:eastAsia="Times New Roman" w:cs="Times New Roman"/>
          <w:sz w:val="24"/>
        </w:rPr>
        <w:t xml:space="preserve">flowchart TD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A[Variant selection] --&gt; B[UCSC API: 8192 bp window]</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B --&gt; C[Ensembl VEP annotation]</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C --&gt; D{gnomAD AF_popmax ≥ 0.05?}</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D -- Yes --&gt; E[Benign — BA1, skip GPU]</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D -- No --&gt; F[Evo2-7B: Δ log-likelihood]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F --&gt; G[Three-tier classification]</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G --&gt; H[ISM scan: ±20 bp]</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H --&gt; I[Evidence enrichment]</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I --&gt; J[gnomAD AF details]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I --&gt; K[ClinVar]</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I --&gt; L[UniProt]</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I --&gt; M[PubMed]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I --&gt; AM[AlphaMissense]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J &amp; K &amp; L &amp; M &amp; AM --&gt; N[CEFN v2 fusion]</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N --&gt; O[ACMG/AMP mapping]</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O --&gt; P[LLM refinement]</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P --&gt; Q[Tri-modal RAG report]</w:t>
      </w:r>
    </w:p>
    <w:p>
      <w:r>
        <w:rPr>
          <w:rFonts w:ascii="Times New Roman" w:hAnsi="Times New Roman" w:eastAsia="Times New Roman" w:cs="Times New Roman"/>
          <w:sz w:val="24"/>
        </w:rPr>
        <w:pict>
          <v:rect style="width:0;height:1.5pt" o:hralign="center" o:hrstd="t" o:hr="t"/>
        </w:pict>
      </w:r>
    </w:p>
    <w:bookmarkEnd w:id="33"/>
    <w:bookmarkStart w:id="34" w:name="datasets"/>
    <w:p>
      <w:pPr>
        <w:pStyle w:val="Heading2"/>
      </w:pPr>
      <w:r>
        <w:rPr>
          <w:rFonts w:ascii="Times New Roman" w:hAnsi="Times New Roman" w:eastAsia="Times New Roman" w:cs="Times New Roman"/>
          <w:sz w:val="24"/>
        </w:rPr>
        <w:t xml:space="preserve">2. Datasets</w:t>
      </w:r>
    </w:p>
    <w:p>
      <w:pPr>
        <w:pStyle w:val="Caption"/>
      </w:pPr>
      <w:bookmarkStart w:id="4156" w:name="_Tbl2"/>
      <w:r>
        <w:rPr>
          <w:rFonts w:ascii="Times New Roman" w:hAnsi="Times New Roman" w:eastAsia="Times New Roman" w:cs="Times New Roman"/>
          <w:b/>
          <w:bCs/>
          <w:sz w:val="24"/>
        </w:rPr>
        <w:t xml:space="preserve">Table 2: Datasets and Data Sources.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Summary of all databases and datasets used by the HelixMind pipeline, including version, size, and role within the system. Datasets are categorized as live APIs (queried at runtime) or static snapshots (pre-computed for offline use).</w:t>
      </w:r>
      <w:bookmarkEnd w:id="415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Dataset</w:t>
            </w:r>
          </w:p>
        </w:tc>
        <w:tc>
          <w:tcPr/>
          <w:p>
            <w:pPr>
              <w:pStyle w:val="Compact"/>
            </w:pPr>
            <w:r>
              <w:rPr>
                <w:rFonts w:ascii="Times New Roman" w:hAnsi="Times New Roman" w:eastAsia="Times New Roman" w:cs="Times New Roman"/>
                <w:sz w:val="20"/>
              </w:rPr>
              <w:t xml:space="preserve">Version</w:t>
            </w:r>
          </w:p>
        </w:tc>
        <w:tc>
          <w:tcPr/>
          <w:p>
            <w:pPr>
              <w:pStyle w:val="Compact"/>
            </w:pPr>
            <w:r>
              <w:rPr>
                <w:rFonts w:ascii="Times New Roman" w:hAnsi="Times New Roman" w:eastAsia="Times New Roman" w:cs="Times New Roman"/>
                <w:sz w:val="20"/>
              </w:rPr>
              <w:t xml:space="preserve">Size</w:t>
            </w:r>
          </w:p>
        </w:tc>
        <w:tc>
          <w:tcPr/>
          <w:p>
            <w:pPr>
              <w:pStyle w:val="Compact"/>
            </w:pPr>
            <w:r>
              <w:rPr>
                <w:rFonts w:ascii="Times New Roman" w:hAnsi="Times New Roman" w:eastAsia="Times New Roman" w:cs="Times New Roman"/>
                <w:sz w:val="20"/>
              </w:rPr>
              <w:t xml:space="preserve">Use</w:t>
            </w:r>
          </w:p>
        </w:tc>
      </w:tr>
      <w:tr>
        <w:tc>
          <w:tcPr/>
          <w:p>
            <w:pPr>
              <w:pStyle w:val="Compact"/>
            </w:pPr>
            <w:r>
              <w:rPr>
                <w:rFonts w:ascii="Times New Roman" w:hAnsi="Times New Roman" w:eastAsia="Times New Roman" w:cs="Times New Roman"/>
                <w:sz w:val="20"/>
              </w:rPr>
              <w:t xml:space="preserve">gnomAD</w:t>
            </w:r>
          </w:p>
        </w:tc>
        <w:tc>
          <w:tcPr/>
          <w:p>
            <w:pPr>
              <w:pStyle w:val="Compact"/>
            </w:pPr>
            <w:r>
              <w:rPr>
                <w:rFonts w:ascii="Times New Roman" w:hAnsi="Times New Roman" w:eastAsia="Times New Roman" w:cs="Times New Roman"/>
                <w:sz w:val="20"/>
              </w:rPr>
              <w:t xml:space="preserve">v4.1</w:t>
            </w:r>
          </w:p>
        </w:tc>
        <w:tc>
          <w:tcPr/>
          <w:p>
            <w:pPr>
              <w:pStyle w:val="Compact"/>
            </w:pPr>
            <w:r>
              <w:rPr>
                <w:rFonts w:ascii="Times New Roman" w:hAnsi="Times New Roman" w:eastAsia="Times New Roman" w:cs="Times New Roman"/>
                <w:sz w:val="20"/>
              </w:rPr>
              <w:t xml:space="preserve">807,162 individuals</w:t>
            </w:r>
          </w:p>
        </w:tc>
        <w:tc>
          <w:tcPr/>
          <w:p>
            <w:pPr>
              <w:pStyle w:val="Compact"/>
            </w:pPr>
            <w:r>
              <w:rPr>
                <w:rFonts w:ascii="Times New Roman" w:hAnsi="Times New Roman" w:eastAsia="Times New Roman" w:cs="Times New Roman"/>
                <w:sz w:val="20"/>
              </w:rPr>
              <w:t xml:space="preserve">Allele frequency filtering</w:t>
            </w:r>
          </w:p>
        </w:tc>
      </w:tr>
      <w:tr>
        <w:tc>
          <w:tcPr/>
          <w:p>
            <w:pPr>
              <w:pStyle w:val="Compact"/>
            </w:pPr>
            <w:r>
              <w:rPr>
                <w:rFonts w:ascii="Times New Roman" w:hAnsi="Times New Roman" w:eastAsia="Times New Roman" w:cs="Times New Roman"/>
                <w:sz w:val="20"/>
              </w:rPr>
              <w:t xml:space="preserve">ClinVar</w:t>
            </w:r>
          </w:p>
        </w:tc>
        <w:tc>
          <w:tcPr/>
          <w:p>
            <w:pPr>
              <w:pStyle w:val="Compact"/>
            </w:pPr>
            <w:r>
              <w:rPr>
                <w:rFonts w:ascii="Times New Roman" w:hAnsi="Times New Roman" w:eastAsia="Times New Roman" w:cs="Times New Roman"/>
                <w:sz w:val="20"/>
              </w:rPr>
              <w:t xml:space="preserve">Live API; 2026-05-23 snapshot</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Clinical consensus; external validation</w:t>
            </w:r>
          </w:p>
        </w:tc>
      </w:tr>
      <w:tr>
        <w:tc>
          <w:tcPr/>
          <w:p>
            <w:pPr>
              <w:pStyle w:val="Compact"/>
            </w:pPr>
            <w:r>
              <w:rPr>
                <w:rFonts w:ascii="Times New Roman" w:hAnsi="Times New Roman" w:eastAsia="Times New Roman" w:cs="Times New Roman"/>
                <w:sz w:val="20"/>
              </w:rPr>
              <w:t xml:space="preserve">UniProtKB</w:t>
            </w:r>
          </w:p>
        </w:tc>
        <w:tc>
          <w:tcPr/>
          <w:p>
            <w:pPr>
              <w:pStyle w:val="Compact"/>
            </w:pPr>
            <w:r>
              <w:rPr>
                <w:rFonts w:ascii="Times New Roman" w:hAnsi="Times New Roman" w:eastAsia="Times New Roman" w:cs="Times New Roman"/>
                <w:sz w:val="20"/>
              </w:rPr>
              <w:t xml:space="preserve">Live API</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Protein annotations</w:t>
            </w:r>
          </w:p>
        </w:tc>
      </w:tr>
      <w:tr>
        <w:tc>
          <w:tcPr/>
          <w:p>
            <w:pPr>
              <w:pStyle w:val="Compact"/>
            </w:pPr>
            <w:r>
              <w:rPr>
                <w:rFonts w:ascii="Times New Roman" w:hAnsi="Times New Roman" w:eastAsia="Times New Roman" w:cs="Times New Roman"/>
                <w:sz w:val="20"/>
              </w:rPr>
              <w:t xml:space="preserve">PubMed</w:t>
            </w:r>
          </w:p>
        </w:tc>
        <w:tc>
          <w:tcPr/>
          <w:p>
            <w:pPr>
              <w:pStyle w:val="Compact"/>
            </w:pPr>
            <w:r>
              <w:rPr>
                <w:rFonts w:ascii="Times New Roman" w:hAnsi="Times New Roman" w:eastAsia="Times New Roman" w:cs="Times New Roman"/>
                <w:sz w:val="20"/>
              </w:rPr>
              <w:t xml:space="preserve">Live API</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Literature retrieval</w:t>
            </w:r>
          </w:p>
        </w:tc>
      </w:tr>
      <w:tr>
        <w:tc>
          <w:tcPr/>
          <w:p>
            <w:pPr>
              <w:pStyle w:val="Compact"/>
            </w:pPr>
            <w:r>
              <w:rPr>
                <w:rFonts w:ascii="Times New Roman" w:hAnsi="Times New Roman" w:eastAsia="Times New Roman" w:cs="Times New Roman"/>
                <w:sz w:val="20"/>
              </w:rPr>
              <w:t xml:space="preserve">AlphaMissense</w:t>
            </w:r>
          </w:p>
        </w:tc>
        <w:tc>
          <w:tcPr/>
          <w:p>
            <w:pPr>
              <w:pStyle w:val="Compact"/>
            </w:pPr>
            <w:r>
              <w:rPr>
                <w:rFonts w:ascii="Times New Roman" w:hAnsi="Times New Roman" w:eastAsia="Times New Roman" w:cs="Times New Roman"/>
                <w:sz w:val="20"/>
              </w:rPr>
              <w:t xml:space="preserve">2023</w:t>
            </w:r>
          </w:p>
        </w:tc>
        <w:tc>
          <w:tcPr/>
          <w:p>
            <w:pPr>
              <w:pStyle w:val="Compact"/>
            </w:pPr>
            <w:r>
              <w:rPr>
                <w:rFonts w:ascii="Times New Roman" w:hAnsi="Times New Roman" w:eastAsia="Times New Roman" w:cs="Times New Roman"/>
                <w:sz w:val="20"/>
              </w:rPr>
              <w:t xml:space="preserve">71M predictions (9.2 GB DuckDB)</w:t>
            </w:r>
          </w:p>
        </w:tc>
        <w:tc>
          <w:tcPr/>
          <w:p>
            <w:pPr>
              <w:pStyle w:val="Compact"/>
            </w:pPr>
            <w:r>
              <w:rPr>
                <w:rFonts w:ascii="Times New Roman" w:hAnsi="Times New Roman" w:eastAsia="Times New Roman" w:cs="Times New Roman"/>
                <w:sz w:val="20"/>
              </w:rPr>
              <w:t xml:space="preserve">Protein-level pathogenicity</w:t>
            </w:r>
          </w:p>
        </w:tc>
      </w:tr>
      <w:tr>
        <w:tc>
          <w:tcPr/>
          <w:p>
            <w:pPr>
              <w:pStyle w:val="Compact"/>
            </w:pPr>
            <w:r>
              <w:rPr>
                <w:rFonts w:ascii="Times New Roman" w:hAnsi="Times New Roman" w:eastAsia="Times New Roman" w:cs="Times New Roman"/>
                <w:sz w:val="20"/>
              </w:rPr>
              <w:t xml:space="preserve">CADD</w:t>
            </w:r>
          </w:p>
        </w:tc>
        <w:tc>
          <w:tcPr/>
          <w:p>
            <w:pPr>
              <w:pStyle w:val="Compact"/>
            </w:pPr>
            <w:r>
              <w:rPr>
                <w:rFonts w:ascii="Times New Roman" w:hAnsi="Times New Roman" w:eastAsia="Times New Roman" w:cs="Times New Roman"/>
                <w:sz w:val="20"/>
              </w:rPr>
              <w:t xml:space="preserve">v1.6</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Conservation + functional constraint</w:t>
            </w:r>
          </w:p>
        </w:tc>
      </w:tr>
      <w:tr>
        <w:tc>
          <w:tcPr/>
          <w:p>
            <w:pPr>
              <w:pStyle w:val="Compact"/>
            </w:pPr>
            <w:r>
              <w:rPr>
                <w:rFonts w:ascii="Times New Roman" w:hAnsi="Times New Roman" w:eastAsia="Times New Roman" w:cs="Times New Roman"/>
                <w:sz w:val="20"/>
              </w:rPr>
              <w:t xml:space="preserve">UCSC Genome</w:t>
            </w:r>
          </w:p>
        </w:tc>
        <w:tc>
          <w:tcPr/>
          <w:p>
            <w:pPr>
              <w:pStyle w:val="Compact"/>
            </w:pPr>
            <w:r>
              <w:rPr>
                <w:rFonts w:ascii="Times New Roman" w:hAnsi="Times New Roman" w:eastAsia="Times New Roman" w:cs="Times New Roman"/>
                <w:sz w:val="20"/>
              </w:rPr>
              <w:t xml:space="preserve">hg38/hg19</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Reference sequence</w:t>
            </w:r>
          </w:p>
        </w:tc>
      </w:tr>
      <w:tr>
        <w:tc>
          <w:tcPr/>
          <w:p>
            <w:pPr>
              <w:pStyle w:val="Compact"/>
            </w:pPr>
            <w:r>
              <w:rPr>
                <w:rFonts w:ascii="Times New Roman" w:hAnsi="Times New Roman" w:eastAsia="Times New Roman" w:cs="Times New Roman"/>
                <w:sz w:val="20"/>
              </w:rPr>
              <w:t xml:space="preserve">Ensembl VEP</w:t>
            </w:r>
          </w:p>
        </w:tc>
        <w:tc>
          <w:tcPr/>
          <w:p>
            <w:pPr>
              <w:pStyle w:val="Compact"/>
            </w:pPr>
            <w:r>
              <w:rPr>
                <w:rFonts w:ascii="Times New Roman" w:hAnsi="Times New Roman" w:eastAsia="Times New Roman" w:cs="Times New Roman"/>
                <w:sz w:val="20"/>
              </w:rPr>
              <w:t xml:space="preserve">Live API</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Consequence annotation</w:t>
            </w:r>
          </w:p>
        </w:tc>
      </w:tr>
      <w:tr>
        <w:tc>
          <w:tcPr/>
          <w:p>
            <w:pPr>
              <w:pStyle w:val="Compact"/>
            </w:pPr>
            <w:r>
              <w:rPr>
                <w:rFonts w:ascii="Times New Roman" w:hAnsi="Times New Roman" w:eastAsia="Times New Roman" w:cs="Times New Roman"/>
                <w:sz w:val="20"/>
              </w:rPr>
              <w:t xml:space="preserve">Findlay BRCA1 assay</w:t>
            </w:r>
          </w:p>
        </w:tc>
        <w:tc>
          <w:tcPr/>
          <w:p>
            <w:pPr>
              <w:pStyle w:val="Compact"/>
            </w:pPr>
            <w:r>
              <w:rPr>
                <w:rFonts w:ascii="Times New Roman" w:hAnsi="Times New Roman" w:eastAsia="Times New Roman" w:cs="Times New Roman"/>
                <w:sz w:val="20"/>
              </w:rPr>
              <w:t xml:space="preserve">2018</w:t>
            </w:r>
          </w:p>
        </w:tc>
        <w:tc>
          <w:tcPr/>
          <w:p>
            <w:pPr>
              <w:pStyle w:val="Compact"/>
            </w:pPr>
            <w:r>
              <w:rPr>
                <w:rFonts w:ascii="Times New Roman" w:hAnsi="Times New Roman" w:eastAsia="Times New Roman" w:cs="Times New Roman"/>
                <w:sz w:val="20"/>
              </w:rPr>
              <w:t xml:space="preserve">3,893 variants</w:t>
            </w:r>
          </w:p>
        </w:tc>
        <w:tc>
          <w:tcPr/>
          <w:p>
            <w:pPr>
              <w:pStyle w:val="Compact"/>
            </w:pPr>
            <w:r>
              <w:rPr>
                <w:rFonts w:ascii="Times New Roman" w:hAnsi="Times New Roman" w:eastAsia="Times New Roman" w:cs="Times New Roman"/>
                <w:sz w:val="20"/>
              </w:rPr>
              <w:t xml:space="preserve">Threshold calibration</w:t>
            </w:r>
          </w:p>
        </w:tc>
      </w:tr>
      <w:tr>
        <w:tc>
          <w:tcPr/>
          <w:p>
            <w:pPr>
              <w:pStyle w:val="Compact"/>
            </w:pPr>
            <w:r>
              <w:rPr>
                <w:rFonts w:ascii="Times New Roman" w:hAnsi="Times New Roman" w:eastAsia="Times New Roman" w:cs="Times New Roman"/>
                <w:sz w:val="20"/>
              </w:rPr>
              <w:t xml:space="preserve">Internal benchmark</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397 variants (chr 19–22)</w:t>
            </w:r>
          </w:p>
        </w:tc>
        <w:tc>
          <w:tcPr/>
          <w:p>
            <w:pPr>
              <w:pStyle w:val="Compact"/>
            </w:pPr>
            <w:r>
              <w:rPr>
                <w:rFonts w:ascii="Times New Roman" w:hAnsi="Times New Roman" w:eastAsia="Times New Roman" w:cs="Times New Roman"/>
                <w:sz w:val="20"/>
              </w:rPr>
              <w:t xml:space="preserve">CEFN v2 train/test</w:t>
            </w:r>
          </w:p>
        </w:tc>
      </w:tr>
      <w:tr>
        <w:tc>
          <w:tcPr/>
          <w:p>
            <w:pPr>
              <w:pStyle w:val="Compact"/>
            </w:pPr>
            <w:r>
              <w:rPr>
                <w:rFonts w:ascii="Times New Roman" w:hAnsi="Times New Roman" w:eastAsia="Times New Roman" w:cs="Times New Roman"/>
                <w:sz w:val="20"/>
              </w:rPr>
              <w:t xml:space="preserve">Structural external</w:t>
            </w:r>
          </w:p>
        </w:tc>
        <w:tc>
          <w:tcPr/>
          <w:p>
            <w:pPr>
              <w:pStyle w:val="Compact"/>
            </w:pPr>
            <w:r>
              <w:rPr>
                <w:rFonts w:ascii="Times New Roman" w:hAnsi="Times New Roman" w:eastAsia="Times New Roman" w:cs="Times New Roman"/>
                <w:sz w:val="20"/>
              </w:rPr>
              <w:t xml:space="preserve">ClinVar 2026-05-23</w:t>
            </w:r>
          </w:p>
        </w:tc>
        <w:tc>
          <w:tcPr/>
          <w:p>
            <w:pPr>
              <w:pStyle w:val="Compact"/>
            </w:pPr>
            <w:r>
              <w:rPr>
                <w:rFonts w:ascii="Times New Roman" w:hAnsi="Times New Roman" w:eastAsia="Times New Roman" w:cs="Times New Roman"/>
                <w:sz w:val="20"/>
              </w:rPr>
              <w:t xml:space="preserve">397 variants</w:t>
            </w:r>
          </w:p>
        </w:tc>
        <w:tc>
          <w:tcPr/>
          <w:p>
            <w:pPr>
              <w:pStyle w:val="Compact"/>
            </w:pPr>
            <w:r>
              <w:rPr>
                <w:rFonts w:ascii="Times New Roman" w:hAnsi="Times New Roman" w:eastAsia="Times New Roman" w:cs="Times New Roman"/>
                <w:sz w:val="20"/>
              </w:rPr>
              <w:t xml:space="preserve">Temporal validation</w:t>
            </w:r>
          </w:p>
        </w:tc>
      </w:tr>
      <w:tr>
        <w:tc>
          <w:tcPr/>
          <w:p>
            <w:pPr>
              <w:pStyle w:val="Compact"/>
            </w:pPr>
            <w:r>
              <w:rPr>
                <w:rFonts w:ascii="Times New Roman" w:hAnsi="Times New Roman" w:eastAsia="Times New Roman" w:cs="Times New Roman"/>
                <w:sz w:val="20"/>
              </w:rPr>
              <w:t xml:space="preserve">AM-only external</w:t>
            </w:r>
          </w:p>
        </w:tc>
        <w:tc>
          <w:tcPr/>
          <w:p>
            <w:pPr>
              <w:pStyle w:val="Compact"/>
            </w:pPr>
            <w:r>
              <w:rPr>
                <w:rFonts w:ascii="Times New Roman" w:hAnsi="Times New Roman" w:eastAsia="Times New Roman" w:cs="Times New Roman"/>
                <w:sz w:val="20"/>
              </w:rPr>
              <w:t xml:space="preserve">ClinVar</w:t>
            </w:r>
          </w:p>
        </w:tc>
        <w:tc>
          <w:tcPr/>
          <w:p>
            <w:pPr>
              <w:pStyle w:val="Compact"/>
            </w:pPr>
            <w:r>
              <w:rPr>
                <w:rFonts w:ascii="Times New Roman" w:hAnsi="Times New Roman" w:eastAsia="Times New Roman" w:cs="Times New Roman"/>
                <w:sz w:val="20"/>
              </w:rPr>
              <w:t xml:space="preserve">565 missense</w:t>
            </w:r>
          </w:p>
        </w:tc>
        <w:tc>
          <w:tcPr/>
          <w:p>
            <w:pPr>
              <w:pStyle w:val="Compact"/>
            </w:pPr>
            <w:r>
              <w:rPr>
                <w:rFonts w:ascii="Times New Roman" w:hAnsi="Times New Roman" w:eastAsia="Times New Roman" w:cs="Times New Roman"/>
                <w:sz w:val="20"/>
              </w:rPr>
              <w:t xml:space="preserve">AM-only validation</w:t>
            </w:r>
          </w:p>
        </w:tc>
      </w:tr>
      <w:tr>
        <w:tc>
          <w:tcPr/>
          <w:p>
            <w:pPr>
              <w:pStyle w:val="Compact"/>
            </w:pPr>
            <w:r>
              <w:rPr>
                <w:rFonts w:ascii="Times New Roman" w:hAnsi="Times New Roman" w:eastAsia="Times New Roman" w:cs="Times New Roman"/>
                <w:sz w:val="20"/>
              </w:rPr>
              <w:t xml:space="preserve">Balanced external</w:t>
            </w:r>
          </w:p>
        </w:tc>
        <w:tc>
          <w:tcPr/>
          <w:p>
            <w:pPr>
              <w:pStyle w:val="Compact"/>
            </w:pPr>
            <w:r>
              <w:rPr>
                <w:rFonts w:ascii="Times New Roman" w:hAnsi="Times New Roman" w:eastAsia="Times New Roman" w:cs="Times New Roman"/>
                <w:sz w:val="20"/>
              </w:rPr>
              <w:t xml:space="preserve">ClinVar</w:t>
            </w:r>
          </w:p>
        </w:tc>
        <w:tc>
          <w:tcPr/>
          <w:p>
            <w:pPr>
              <w:pStyle w:val="Compact"/>
            </w:pPr>
            <w:r>
              <w:rPr>
                <w:rFonts w:ascii="Times New Roman" w:hAnsi="Times New Roman" w:eastAsia="Times New Roman" w:cs="Times New Roman"/>
                <w:sz w:val="20"/>
              </w:rPr>
              <w:t xml:space="preserve">118 missense</w:t>
            </w:r>
          </w:p>
        </w:tc>
        <w:tc>
          <w:tcPr/>
          <w:p>
            <w:pPr>
              <w:pStyle w:val="Compact"/>
            </w:pPr>
            <w:r>
              <w:rPr>
                <w:rFonts w:ascii="Times New Roman" w:hAnsi="Times New Roman" w:eastAsia="Times New Roman" w:cs="Times New Roman"/>
                <w:sz w:val="20"/>
              </w:rPr>
              <w:t xml:space="preserve">Both-predictor validation</w:t>
            </w:r>
          </w:p>
        </w:tc>
      </w:tr>
      <w:tr>
        <w:tc>
          <w:tcPr/>
          <w:p>
            <w:pPr>
              <w:pStyle w:val="Compact"/>
            </w:pPr>
            <w:r>
              <w:rPr>
                <w:rFonts w:ascii="Times New Roman" w:hAnsi="Times New Roman" w:eastAsia="Times New Roman" w:cs="Times New Roman"/>
                <w:sz w:val="20"/>
              </w:rPr>
              <w:t xml:space="preserve">CRISPR off-target</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428 validated sites</w:t>
            </w:r>
          </w:p>
        </w:tc>
        <w:tc>
          <w:tcPr/>
          <w:p>
            <w:pPr>
              <w:pStyle w:val="Compact"/>
            </w:pPr>
            <w:r>
              <w:rPr>
                <w:rFonts w:ascii="Times New Roman" w:hAnsi="Times New Roman" w:eastAsia="Times New Roman" w:cs="Times New Roman"/>
                <w:sz w:val="20"/>
              </w:rPr>
              <w:t xml:space="preserve">Off-target prediction</w:t>
            </w:r>
          </w:p>
        </w:tc>
      </w:tr>
      <w:tr>
        <w:tc>
          <w:tcPr/>
          <w:p>
            <w:pPr>
              <w:pStyle w:val="Compact"/>
            </w:pPr>
            <w:r>
              <w:rPr>
                <w:rFonts w:ascii="Times New Roman" w:hAnsi="Times New Roman" w:eastAsia="Times New Roman" w:cs="Times New Roman"/>
                <w:sz w:val="20"/>
              </w:rPr>
              <w:t xml:space="preserve">CRISPR population</w:t>
            </w:r>
          </w:p>
        </w:tc>
        <w:tc>
          <w:tcPr/>
          <w:p>
            <w:pPr>
              <w:pStyle w:val="Compact"/>
            </w:pPr>
            <w:r>
              <w:rPr>
                <w:rFonts w:ascii="Times New Roman" w:hAnsi="Times New Roman" w:eastAsia="Times New Roman" w:cs="Times New Roman"/>
                <w:sz w:val="20"/>
              </w:rPr>
              <w:t xml:space="preserve">6 populations</w:t>
            </w:r>
          </w:p>
        </w:tc>
        <w:tc>
          <w:tcPr/>
          <w:p>
            <w:pPr>
              <w:pStyle w:val="Compact"/>
            </w:pPr>
            <w:r>
              <w:rPr>
                <w:rFonts w:ascii="Times New Roman" w:hAnsi="Times New Roman" w:eastAsia="Times New Roman" w:cs="Times New Roman"/>
                <w:sz w:val="20"/>
              </w:rPr>
              <w:t xml:space="preserve">636 sites</w:t>
            </w:r>
          </w:p>
        </w:tc>
        <w:tc>
          <w:tcPr/>
          <w:p>
            <w:pPr>
              <w:pStyle w:val="Compact"/>
            </w:pPr>
            <w:r>
              <w:rPr>
                <w:rFonts w:ascii="Times New Roman" w:hAnsi="Times New Roman" w:eastAsia="Times New Roman" w:cs="Times New Roman"/>
                <w:sz w:val="20"/>
              </w:rPr>
              <w:t xml:space="preserve">Population-aware analysis</w:t>
            </w:r>
          </w:p>
        </w:tc>
      </w:tr>
    </w:tbl>
    <w:p>
      <w:r>
        <w:rPr>
          <w:rFonts w:ascii="Times New Roman" w:hAnsi="Times New Roman" w:eastAsia="Times New Roman" w:cs="Times New Roman"/>
          <w:sz w:val="24"/>
        </w:rPr>
        <w:pict>
          <v:rect style="width:0;height:1.5pt" o:hralign="center" o:hrstd="t" o:hr="t"/>
        </w:pict>
      </w:r>
    </w:p>
    <w:bookmarkEnd w:id="34"/>
    <w:bookmarkStart w:id="35" w:name="variant-selection"/>
    <w:p>
      <w:pPr>
        <w:pStyle w:val="Heading2"/>
      </w:pPr>
      <w:r>
        <w:rPr>
          <w:rFonts w:ascii="Times New Roman" w:hAnsi="Times New Roman" w:eastAsia="Times New Roman" w:cs="Times New Roman"/>
          <w:sz w:val="24"/>
        </w:rPr>
        <w:t xml:space="preserve">3. Variant Selection</w:t>
      </w:r>
    </w:p>
    <w:p>
      <w:pPr>
        <w:pStyle w:val="FirstParagraph"/>
      </w:pPr>
      <w:r>
        <w:rPr>
          <w:rFonts w:ascii="Times New Roman" w:hAnsi="Times New Roman" w:eastAsia="Times New Roman" w:cs="Times New Roman"/>
          <w:sz w:val="24"/>
        </w:rPr>
        <w:t xml:space="preserve">The system accepts a genomic coordinate</w:t>
      </w:r>
      <w:r>
        <w:rPr>
          <w:rFonts w:ascii="Times New Roman" w:hAnsi="Times New Roman" w:eastAsia="Times New Roman" w:cs="Times New Roman"/>
          <w:sz w:val="24"/>
        </w:rPr>
        <w:t xml:space="preserve"> </w:t>
      </w:r>
      <m:oMath>
        <m:d>
          <m:dPr>
            <m:begChr m:val="("/>
            <m:endChr m:val=")"/>
            <m:sepChr m:val=""/>
            <m:grow/>
          </m:dPr>
          <m:e>
            <m:r>
              <m:t>c</m:t>
            </m:r>
            <m:r>
              <m:rPr>
                <m:sty m:val="p"/>
              </m:rPr>
              <m:t>,</m:t>
            </m:r>
            <m:r>
              <m:t>p</m:t>
            </m:r>
            <m:r>
              <m:rPr>
                <m:sty m:val="p"/>
              </m:rPr>
              <m:t>,</m:t>
            </m:r>
            <m:r>
              <m:t>R</m:t>
            </m:r>
            <m:r>
              <m:rPr>
                <m:sty m:val="p"/>
              </m:rPr>
              <m:t>,</m:t>
            </m:r>
            <m:r>
              <m:t>A</m:t>
            </m:r>
            <m:r>
              <m:rPr>
                <m:sty m:val="p"/>
              </m:rPr>
              <m:t>,</m:t>
            </m:r>
            <m:r>
              <m:t>b</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chromosome,</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1-based position,</w:t>
      </w:r>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reference allele,</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alternative allele, and</w:t>
      </w:r>
      <w:r>
        <w:rPr>
          <w:rFonts w:ascii="Times New Roman" w:hAnsi="Times New Roman" w:eastAsia="Times New Roman" w:cs="Times New Roman"/>
          <w:sz w:val="24"/>
        </w:rPr>
        <w:t xml:space="preserve"> </w:t>
      </w:r>
      <m:oMath>
        <m:r>
          <m:t>b</m:t>
        </m:r>
        <m:r>
          <m:rPr>
            <m:sty m:val="p"/>
          </m:rPr>
          <m:t>∈</m:t>
        </m:r>
        <m:r>
          <m:rPr>
            <m:sty m:val="p"/>
          </m:rPr>
          <m:t>{</m:t>
        </m:r>
        <m:r>
          <m:rPr>
            <m:nor/>
            <m:sty m:val="p"/>
          </m:rPr>
          <m:t>GRCh38</m:t>
        </m:r>
        <m:r>
          <m:rPr>
            <m:sty m:val="p"/>
          </m:rPr>
          <m:t>,</m:t>
        </m:r>
        <m:r>
          <m:rPr>
            <m:nor/>
            <m:sty m:val="p"/>
          </m:rPr>
          <m:t>GRCh37</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genome build. Single nucleotide variants (SNVs) and small insertions/deletions (</w:t>
      </w:r>
      <m:oMath>
        <m:r>
          <m:rPr>
            <m:sty m:val="p"/>
          </m:rPr>
          <m:t>≤</m:t>
        </m:r>
        <m:r>
          <m:t>50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are supported. Structural variants and copy number variants are excluded.</w:t>
      </w:r>
    </w:p>
    <w:p>
      <w:pPr>
        <w:pStyle w:val="BodyText"/>
      </w:pPr>
      <w:r>
        <w:rPr>
          <w:rFonts w:ascii="Times New Roman" w:hAnsi="Times New Roman" w:eastAsia="Times New Roman" w:cs="Times New Roman"/>
          <w:sz w:val="24"/>
        </w:rPr>
        <w:t xml:space="preserve">A gene-centric query interface retrieves ClinVar-registered variants for a given HGNC symbol via the NCBI Entrez ESearch/EFetch API, providing genomic coordinates, clinical significance, and review status (0–4 stars) for each variant.</w:t>
      </w:r>
    </w:p>
    <w:p>
      <w:r>
        <w:rPr>
          <w:rFonts w:ascii="Times New Roman" w:hAnsi="Times New Roman" w:eastAsia="Times New Roman" w:cs="Times New Roman"/>
          <w:sz w:val="24"/>
        </w:rPr>
        <w:pict>
          <v:rect style="width:0;height:1.5pt" o:hralign="center" o:hrstd="t" o:hr="t"/>
        </w:pict>
      </w:r>
    </w:p>
    <w:bookmarkEnd w:id="35"/>
    <w:bookmarkStart w:id="38" w:name="reference-sequence-retrieval"/>
    <w:p>
      <w:pPr>
        <w:pStyle w:val="Heading2"/>
      </w:pPr>
      <w:r>
        <w:rPr>
          <w:rFonts w:ascii="Times New Roman" w:hAnsi="Times New Roman" w:eastAsia="Times New Roman" w:cs="Times New Roman"/>
          <w:sz w:val="24"/>
        </w:rPr>
        <w:t xml:space="preserve">4. Reference Sequence Retrieval</w:t>
      </w:r>
    </w:p>
    <w:bookmarkStart w:id="36" w:name="context-window"/>
    <w:p>
      <w:pPr>
        <w:pStyle w:val="Heading3"/>
      </w:pPr>
      <w:r>
        <w:rPr>
          <w:rFonts w:ascii="Times New Roman" w:hAnsi="Times New Roman" w:eastAsia="Times New Roman" w:cs="Times New Roman"/>
          <w:sz w:val="24"/>
        </w:rPr>
        <w:t xml:space="preserve">4.1 Context Window</w:t>
      </w:r>
    </w:p>
    <w:p>
      <w:pPr>
        <w:pStyle w:val="FirstParagraph"/>
      </w:pPr>
      <w:r>
        <w:rPr>
          <w:rFonts w:ascii="Times New Roman" w:hAnsi="Times New Roman" w:eastAsia="Times New Roman" w:cs="Times New Roman"/>
          <w:sz w:val="24"/>
        </w:rPr>
        <w:t xml:space="preserve">For a variant at position</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the system retrieves a context window of length</w:t>
      </w:r>
      <w:r>
        <w:rPr>
          <w:rFonts w:ascii="Times New Roman" w:hAnsi="Times New Roman" w:eastAsia="Times New Roman" w:cs="Times New Roman"/>
          <w:sz w:val="24"/>
        </w:rPr>
        <w:t xml:space="preserve"> </w:t>
      </w:r>
      <m:oMath>
        <m:r>
          <m:t>L</m:t>
        </m:r>
        <m:r>
          <m:rPr>
            <m:sty m:val="p"/>
          </m:rPr>
          <m:t>=</m:t>
        </m:r>
        <m:r>
          <m:t>8192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centered on</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UCSC Genome Browser REST API. To accommodate insertions without losing downstream context, the system fetches an asymmetric window with additional downstream padding:</w:t>
      </w:r>
    </w:p>
    <w:p>
      <w:pPr>
        <w:pStyle w:val="BodyText"/>
      </w:pPr>
      <m:oMathPara>
        <m:oMathParaPr>
          <m:jc m:val="center"/>
        </m:oMathParaPr>
        <m:oMath>
          <m:sSub>
            <m:e>
              <m:r>
                <m:t>S</m:t>
              </m:r>
            </m:e>
            <m:sub>
              <m:r>
                <m:rPr>
                  <m:nor/>
                  <m:sty m:val="p"/>
                </m:rPr>
                <m:t>raw</m:t>
              </m:r>
            </m:sub>
          </m:sSub>
          <m:r>
            <m:rPr>
              <m:sty m:val="p"/>
            </m:rPr>
            <m:t>=</m:t>
          </m:r>
          <m:r>
            <m:rPr>
              <m:nor/>
              <m:sty m:val="p"/>
            </m:rPr>
            <m:t>UCSC</m:t>
          </m:r>
          <m:r>
            <m:t>​</m:t>
          </m:r>
          <m:d>
            <m:dPr>
              <m:begChr m:val="("/>
              <m:endChr m:val=")"/>
              <m:sepChr m:val=""/>
              <m:grow/>
            </m:dPr>
            <m:e>
              <m:r>
                <m:t>b</m:t>
              </m:r>
              <m:r>
                <m:rPr>
                  <m:sty m:val="p"/>
                </m:rPr>
                <m:t>,</m:t>
              </m:r>
              <m:r>
                <m:t>c</m:t>
              </m:r>
              <m:r>
                <m:rPr>
                  <m:sty m:val="p"/>
                </m:rPr>
                <m:t>,</m:t>
              </m:r>
              <m:r>
                <m:t> </m:t>
              </m:r>
              <m:r>
                <m:t>p</m:t>
              </m:r>
              <m:r>
                <m:rPr>
                  <m:sty m:val="p"/>
                </m:rPr>
                <m:t>−</m:t>
              </m:r>
              <m:r>
                <m:t>L</m:t>
              </m:r>
              <m:r>
                <m:rPr>
                  <m:sty m:val="p"/>
                </m:rPr>
                <m:t>/</m:t>
              </m:r>
              <m:r>
                <m:t>2</m:t>
              </m:r>
              <m:r>
                <m:rPr>
                  <m:sty m:val="p"/>
                </m:rPr>
                <m:t>,</m:t>
              </m:r>
              <m:r>
                <m:t> </m:t>
              </m:r>
              <m:r>
                <m:t>p</m:t>
              </m:r>
              <m:r>
                <m:rPr>
                  <m:sty m:val="p"/>
                </m:rPr>
                <m:t>+</m:t>
              </m:r>
              <m:r>
                <m:t>L</m:t>
              </m:r>
              <m:r>
                <m:rPr>
                  <m:sty m:val="p"/>
                </m:rPr>
                <m:t>/</m:t>
              </m:r>
              <m:r>
                <m:t>2</m:t>
              </m:r>
              <m:r>
                <m:rPr>
                  <m:sty m:val="p"/>
                </m:rPr>
                <m:t>+</m:t>
              </m:r>
              <m:sSub>
                <m:e>
                  <m:r>
                    <m:t>Δ</m:t>
                  </m:r>
                </m:e>
                <m:sub>
                  <m:r>
                    <m:rPr>
                      <m:sty m:val="p"/>
                    </m:rPr>
                    <m:t>max</m:t>
                  </m:r>
                </m:sub>
              </m:sSub>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Δ</m:t>
            </m:r>
          </m:e>
          <m:sub>
            <m:r>
              <m:rPr>
                <m:sty m:val="p"/>
              </m:rPr>
              <m:t>max</m:t>
            </m:r>
          </m:sub>
        </m:sSub>
        <m:r>
          <m:rPr>
            <m:sty m:val="p"/>
          </m:rPr>
          <m:t>=</m:t>
        </m:r>
        <m:r>
          <m:t>50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is the maximum supported indel size. The raw window has length</w:t>
      </w:r>
      <w:r>
        <w:rPr>
          <w:rFonts w:ascii="Times New Roman" w:hAnsi="Times New Roman" w:eastAsia="Times New Roman" w:cs="Times New Roman"/>
          <w:sz w:val="24"/>
        </w:rPr>
        <w:t xml:space="preserve"> </w:t>
      </w:r>
      <m:oMath>
        <m:r>
          <m:t>L</m:t>
        </m:r>
        <m:r>
          <m:rPr>
            <m:sty m:val="p"/>
          </m:rPr>
          <m:t>+</m:t>
        </m:r>
        <m:sSub>
          <m:e>
            <m:r>
              <m:t>Δ</m:t>
            </m:r>
          </m:e>
          <m:sub>
            <m:r>
              <m:rPr>
                <m:sty m:val="p"/>
              </m:rPr>
              <m:t>max</m:t>
            </m:r>
          </m:sub>
        </m:sSub>
      </m:oMath>
      <w:r>
        <w:rPr>
          <w:rFonts w:ascii="Times New Roman" w:hAnsi="Times New Roman" w:eastAsia="Times New Roman" w:cs="Times New Roman"/>
          <w:sz w:val="24"/>
        </w:rPr>
        <w:t xml:space="preserve">. The variant is centered at position</w:t>
      </w:r>
      <w:r>
        <w:rPr>
          <w:rFonts w:ascii="Times New Roman" w:hAnsi="Times New Roman" w:eastAsia="Times New Roman" w:cs="Times New Roman"/>
          <w:sz w:val="24"/>
        </w:rPr>
        <w:t xml:space="preserve"> </w:t>
      </w:r>
      <m:oMath>
        <m:r>
          <m:t>L</m:t>
        </m:r>
        <m:r>
          <m:rPr>
            <m:sty m:val="p"/>
          </m:rPr>
          <m: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within this window, and the final</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-bp context is extracted by trimming from the appropriate end depending on the variant type. The window size</w:t>
      </w:r>
      <w:r>
        <w:rPr>
          <w:rFonts w:ascii="Times New Roman" w:hAnsi="Times New Roman" w:eastAsia="Times New Roman" w:cs="Times New Roman"/>
          <w:sz w:val="24"/>
        </w:rPr>
        <w:t xml:space="preserve"> </w:t>
      </w:r>
      <m:oMath>
        <m:r>
          <m:t>L</m:t>
        </m:r>
        <m:r>
          <m:rPr>
            <m:sty m:val="p"/>
          </m:rPr>
          <m:t>=</m:t>
        </m:r>
        <m:r>
          <m:t>8192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corresponds to Evo2’s maximum context length. This ensures the variant is scored within its complete genomic neighborhood, including proximal regulatory elements (promoters, enhancers), splice junctions, and conserved non-coding regions.</w:t>
      </w:r>
    </w:p>
    <w:bookmarkEnd w:id="36"/>
    <w:bookmarkStart w:id="37" w:name="X386162dbf8128bd633ac3a722cde68bea56ac8d"/>
    <w:p>
      <w:pPr>
        <w:pStyle w:val="Heading3"/>
      </w:pPr>
      <w:r>
        <w:rPr>
          <w:rFonts w:ascii="Times New Roman" w:hAnsi="Times New Roman" w:eastAsia="Times New Roman" w:cs="Times New Roman"/>
          <w:sz w:val="24"/>
        </w:rPr>
        <w:t xml:space="preserve">4.2 Allele Validation and Variant Sequence Construction</w:t>
      </w:r>
    </w:p>
    <w:p>
      <w:pPr>
        <w:pStyle w:val="FirstParagraph"/>
      </w:pPr>
      <w:r>
        <w:rPr>
          <w:rFonts w:ascii="Times New Roman" w:hAnsi="Times New Roman" w:eastAsia="Times New Roman" w:cs="Times New Roman"/>
          <w:sz w:val="24"/>
        </w:rPr>
        <w:t xml:space="preserve">The nucleotide at position</w:t>
      </w:r>
      <w:r>
        <w:rPr>
          <w:rFonts w:ascii="Times New Roman" w:hAnsi="Times New Roman" w:eastAsia="Times New Roman" w:cs="Times New Roman"/>
          <w:sz w:val="24"/>
        </w:rPr>
        <w:t xml:space="preserve"> </w:t>
      </w:r>
      <m:oMath>
        <m:r>
          <m:t>L</m:t>
        </m:r>
        <m:r>
          <m:rPr>
            <m:sty m:val="p"/>
          </m:rPr>
          <m: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compared against the user-provided reference allele</w:t>
      </w:r>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If</w:t>
      </w:r>
      <w:r>
        <w:rPr>
          <w:rFonts w:ascii="Times New Roman" w:hAnsi="Times New Roman" w:eastAsia="Times New Roman" w:cs="Times New Roman"/>
          <w:sz w:val="24"/>
        </w:rPr>
        <w:t xml:space="preserve"> </w:t>
      </w:r>
      <m:oMath>
        <m:sSub>
          <m:e>
            <m:r>
              <m:t>S</m:t>
            </m:r>
          </m:e>
          <m:sub>
            <m:r>
              <m:rPr>
                <m:nor/>
                <m:sty m:val="p"/>
              </m:rPr>
              <m:t>raw</m:t>
            </m:r>
          </m:sub>
        </m:sSub>
        <m:d>
          <m:dPr>
            <m:begChr m:val="["/>
            <m:endChr m:val="]"/>
            <m:sepChr m:val=""/>
            <m:grow/>
          </m:dPr>
          <m:e>
            <m:r>
              <m:t>L</m:t>
            </m:r>
            <m:r>
              <m:rPr>
                <m:sty m:val="p"/>
              </m:rPr>
              <m:t>/</m:t>
            </m:r>
            <m:r>
              <m:t>2</m:t>
            </m:r>
          </m:e>
        </m:d>
        <m:r>
          <m:rPr>
            <m:sty m:val="p"/>
          </m:rPr>
          <m:t>≠</m:t>
        </m:r>
        <m:r>
          <m:t>R</m:t>
        </m:r>
      </m:oMath>
      <w:r>
        <w:rPr>
          <w:rFonts w:ascii="Times New Roman" w:hAnsi="Times New Roman" w:eastAsia="Times New Roman" w:cs="Times New Roman"/>
          <w:sz w:val="24"/>
        </w:rPr>
        <w:t xml:space="preserve">, the analysis terminates with an error. The variant sequence is constructed as follows.</w:t>
      </w:r>
    </w:p>
    <w:p>
      <w:pPr>
        <w:pStyle w:val="BodyText"/>
      </w:pPr>
      <w:r>
        <w:rPr>
          <w:rFonts w:ascii="Times New Roman" w:hAnsi="Times New Roman" w:eastAsia="Times New Roman" w:cs="Times New Roman"/>
          <w:b/>
          <w:bCs/>
          <w:sz w:val="24"/>
        </w:rPr>
        <w:t xml:space="preserve">Single nucleotide variants (SNVs).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Direct substitution:</w:t>
      </w:r>
    </w:p>
    <w:p>
      <w:pPr>
        <w:pStyle w:val="BodyText"/>
      </w:pPr>
      <m:oMathPara>
        <m:oMathParaPr>
          <m:jc m:val="center"/>
        </m:oMathParaPr>
        <m:oMath>
          <m:sSub>
            <m:e>
              <m:r>
                <m:t>S</m:t>
              </m:r>
            </m:e>
            <m:sub>
              <m:r>
                <m:rPr>
                  <m:nor/>
                  <m:sty m:val="p"/>
                </m:rPr>
                <m:t>var</m:t>
              </m:r>
            </m:sub>
          </m:sSub>
          <m:d>
            <m:dPr>
              <m:begChr m:val="["/>
              <m:endChr m:val="]"/>
              <m:sepChr m:val=""/>
              <m:grow/>
            </m:dPr>
            <m:e>
              <m:r>
                <m:t>i</m:t>
              </m:r>
            </m:e>
          </m:d>
          <m:r>
            <m:rPr>
              <m:sty m:val="p"/>
            </m:rPr>
            <m:t>=</m:t>
          </m:r>
          <m:d>
            <m:dPr>
              <m:begChr m:val="{"/>
              <m:endChr m:val=""/>
              <m:sepChr m:val=""/>
              <m:grow/>
            </m:dPr>
            <m:e>
              <m:m>
                <m:mPr>
                  <m:baseJc m:val="center"/>
                  <m:plcHide m:val="on"/>
                  <m:mcs>
                    <m:mc>
                      <m:mcPr>
                        <m:mcJc m:val="left"/>
                        <m:count m:val="1"/>
                      </m:mcPr>
                    </m:mc>
                    <m:mc>
                      <m:mcPr>
                        <m:mcJc m:val="left"/>
                        <m:count m:val="1"/>
                      </m:mcPr>
                    </m:mc>
                  </m:mcs>
                </m:mPr>
                <m:mr>
                  <m:e>
                    <m:r>
                      <m:t>A</m:t>
                    </m:r>
                  </m:e>
                  <m:e>
                    <m:r>
                      <m:rPr>
                        <m:nor/>
                        <m:sty m:val="p"/>
                      </m:rPr>
                      <m:t>if </m:t>
                    </m:r>
                    <m:r>
                      <m:t>i</m:t>
                    </m:r>
                    <m:r>
                      <m:rPr>
                        <m:sty m:val="p"/>
                      </m:rPr>
                      <m:t>=</m:t>
                    </m:r>
                    <m:r>
                      <m:t>L</m:t>
                    </m:r>
                    <m:r>
                      <m:rPr>
                        <m:sty m:val="p"/>
                      </m:rPr>
                      <m:t>/</m:t>
                    </m:r>
                    <m:r>
                      <m:t>2</m:t>
                    </m:r>
                  </m:e>
                </m:mr>
                <m:mr>
                  <m:e>
                    <m:sSub>
                      <m:e>
                        <m:r>
                          <m:t>S</m:t>
                        </m:r>
                      </m:e>
                      <m:sub>
                        <m:r>
                          <m:rPr>
                            <m:nor/>
                            <m:sty m:val="p"/>
                          </m:rPr>
                          <m:t>ref</m:t>
                        </m:r>
                      </m:sub>
                    </m:sSub>
                    <m:d>
                      <m:dPr>
                        <m:begChr m:val="["/>
                        <m:endChr m:val="]"/>
                        <m:sepChr m:val=""/>
                        <m:grow/>
                      </m:dPr>
                      <m:e>
                        <m:r>
                          <m:t>i</m:t>
                        </m:r>
                      </m:e>
                    </m:d>
                  </m:e>
                  <m:e>
                    <m:r>
                      <m:rPr>
                        <m:nor/>
                        <m:sty m:val="p"/>
                      </m:rPr>
                      <m:t>otherwise</m:t>
                    </m:r>
                  </m:e>
                </m:mr>
              </m:m>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S</m:t>
            </m:r>
          </m:e>
          <m:sub>
            <m:r>
              <m:rPr>
                <m:nor/>
                <m:sty m:val="p"/>
              </m:rPr>
              <m:t>ref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first</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of</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b/>
          <w:bCs/>
          <w:sz w:val="24"/>
        </w:rPr>
        <w:t xml:space="preserve">Insertions of length</w:t>
      </w:r>
      <w:r>
        <w:rPr>
          <w:rFonts w:ascii="Times New Roman" w:hAnsi="Times New Roman" w:eastAsia="Times New Roman" w:cs="Times New Roman"/>
          <w:b/>
          <w:bCs/>
          <w:sz w:val="24"/>
        </w:rPr>
        <w:t xml:space="preserve"> </w:t>
      </w:r>
      <m:oMath>
        <m:r>
          <m:t>n</m:t>
        </m:r>
      </m:oMath>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w:t>
      </w:r>
      <m:oMath>
        <m:r>
          <m:t>1</m:t>
        </m:r>
        <m:r>
          <m:rPr>
            <m:sty m:val="p"/>
          </m:rPr>
          <m:t>≤</m:t>
        </m:r>
        <m:r>
          <m:t>n</m:t>
        </m:r>
        <m:r>
          <m:rPr>
            <m:sty m:val="p"/>
          </m:rPr>
          <m:t>≤</m:t>
        </m:r>
        <m:sSub>
          <m:e>
            <m:r>
              <m:t>Δ</m:t>
            </m:r>
          </m:e>
          <m:sub>
            <m:r>
              <m:rPr>
                <m:sty m:val="p"/>
              </m:rPr>
              <m:t>max</m:t>
            </m:r>
          </m:sub>
        </m:sSub>
      </m:oMath>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inserted nucleotides are placed at position</w:t>
      </w:r>
      <w:r>
        <w:rPr>
          <w:rFonts w:ascii="Times New Roman" w:hAnsi="Times New Roman" w:eastAsia="Times New Roman" w:cs="Times New Roman"/>
          <w:sz w:val="24"/>
        </w:rPr>
        <w:t xml:space="preserve"> </w:t>
      </w:r>
      <m:oMath>
        <m:r>
          <m:t>L</m:t>
        </m:r>
        <m:r>
          <m:rPr>
            <m:sty m:val="p"/>
          </m:rPr>
          <m:t>/</m:t>
        </m:r>
        <m:r>
          <m:t>2</m:t>
        </m:r>
      </m:oMath>
      <w:r>
        <w:rPr>
          <w:rFonts w:ascii="Times New Roman" w:hAnsi="Times New Roman" w:eastAsia="Times New Roman" w:cs="Times New Roman"/>
          <w:sz w:val="24"/>
        </w:rPr>
        <w:t xml:space="preserve">, and the downstream sequence is taken from</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starting at position</w:t>
      </w:r>
      <w:r>
        <w:rPr>
          <w:rFonts w:ascii="Times New Roman" w:hAnsi="Times New Roman" w:eastAsia="Times New Roman" w:cs="Times New Roman"/>
          <w:sz w:val="24"/>
        </w:rPr>
        <w:t xml:space="preserve"> </w:t>
      </w:r>
      <m:oMath>
        <m:r>
          <m:t>L</m:t>
        </m:r>
        <m:r>
          <m:rPr>
            <m:sty m:val="p"/>
          </m:rPr>
          <m:t>/</m:t>
        </m:r>
        <m:r>
          <m:t>2</m:t>
        </m:r>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original reference sequence immediately 3</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the variant). Because</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contains</w:t>
      </w:r>
      <w:r>
        <w:rPr>
          <w:rFonts w:ascii="Times New Roman" w:hAnsi="Times New Roman" w:eastAsia="Times New Roman" w:cs="Times New Roman"/>
          <w:sz w:val="24"/>
        </w:rPr>
        <w:t xml:space="preserve"> </w:t>
      </w:r>
      <m:oMath>
        <m:sSub>
          <m:e>
            <m:r>
              <m:t>Δ</m:t>
            </m:r>
          </m:e>
          <m:sub>
            <m:r>
              <m:rPr>
                <m:sty m:val="p"/>
              </m:rPr>
              <m:t>max</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additional downstream bases, the first</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of the resulting insertion-containing sequence retain all original downstream context:</w:t>
      </w:r>
    </w:p>
    <w:p>
      <w:pPr>
        <w:pStyle w:val="BodyText"/>
      </w:pPr>
      <m:oMathPara>
        <m:oMathParaPr>
          <m:jc m:val="center"/>
        </m:oMathParaPr>
        <m:oMath>
          <m:sSub>
            <m:e>
              <m:r>
                <m:t>S</m:t>
              </m:r>
            </m:e>
            <m:sub>
              <m:r>
                <m:rPr>
                  <m:nor/>
                  <m:sty m:val="p"/>
                </m:rPr>
                <m:t>var</m:t>
              </m:r>
            </m:sub>
          </m:sSub>
          <m:r>
            <m:rPr>
              <m:sty m:val="p"/>
            </m:rPr>
            <m:t>=</m:t>
          </m:r>
          <m:sSub>
            <m:e>
              <m:r>
                <m:t>S</m:t>
              </m:r>
            </m:e>
            <m:sub>
              <m:r>
                <m:rPr>
                  <m:nor/>
                  <m:sty m:val="p"/>
                </m:rPr>
                <m:t>raw</m:t>
              </m:r>
            </m:sub>
          </m:sSub>
          <m:d>
            <m:dPr>
              <m:begChr m:val="["/>
              <m:endChr m:val="]"/>
              <m:sepChr m:val=""/>
              <m:grow/>
            </m:dPr>
            <m:e>
              <m:r>
                <m:t>1</m:t>
              </m:r>
              <m:r>
                <m:rPr>
                  <m:sty m:val="p"/>
                </m:rPr>
                <m:t>:</m:t>
              </m:r>
              <m:r>
                <m:t>L</m:t>
              </m:r>
              <m:r>
                <m:rPr>
                  <m:sty m:val="p"/>
                </m:rPr>
                <m:t>/</m:t>
              </m:r>
              <m:r>
                <m:t>2</m:t>
              </m:r>
            </m:e>
          </m:d>
          <m:r>
            <m:t> </m:t>
          </m:r>
          <m:r>
            <m:rPr>
              <m:sty m:val="p"/>
            </m:rPr>
            <m:t>∥</m:t>
          </m:r>
          <m:r>
            <m:t> </m:t>
          </m:r>
          <m:sSub>
            <m:e>
              <m:r>
                <m:t>A</m:t>
              </m:r>
            </m:e>
            <m:sub>
              <m:r>
                <m:t>1</m:t>
              </m:r>
            </m:sub>
          </m:sSub>
          <m:sSub>
            <m:e>
              <m:r>
                <m:t>A</m:t>
              </m:r>
            </m:e>
            <m:sub>
              <m:r>
                <m:t>2</m:t>
              </m:r>
            </m:sub>
          </m:sSub>
          <m:r>
            <m:rPr>
              <m:sty m:val="p"/>
            </m:rPr>
            <m:t>⋯</m:t>
          </m:r>
          <m:sSub>
            <m:e>
              <m:r>
                <m:t>A</m:t>
              </m:r>
            </m:e>
            <m:sub>
              <m:r>
                <m:t>n</m:t>
              </m:r>
            </m:sub>
          </m:sSub>
          <m:r>
            <m:t> </m:t>
          </m:r>
          <m:r>
            <m:rPr>
              <m:sty m:val="p"/>
            </m:rPr>
            <m:t>∥</m:t>
          </m:r>
          <m:r>
            <m:t> </m:t>
          </m:r>
          <m:sSub>
            <m:e>
              <m:r>
                <m:t>S</m:t>
              </m:r>
            </m:e>
            <m:sub>
              <m:r>
                <m:rPr>
                  <m:nor/>
                  <m:sty m:val="p"/>
                </m:rPr>
                <m:t>raw</m:t>
              </m:r>
            </m:sub>
          </m:sSub>
          <m:d>
            <m:dPr>
              <m:begChr m:val="["/>
              <m:endChr m:val="]"/>
              <m:sepChr m:val=""/>
              <m:grow/>
            </m:dPr>
            <m:e>
              <m:r>
                <m:t>L</m:t>
              </m:r>
              <m:r>
                <m:rPr>
                  <m:sty m:val="p"/>
                </m:rPr>
                <m:t>/</m:t>
              </m:r>
              <m:r>
                <m:t>2</m:t>
              </m:r>
              <m:r>
                <m:rPr>
                  <m:sty m:val="p"/>
                </m:rPr>
                <m:t>+</m:t>
              </m:r>
              <m:r>
                <m:t>1</m:t>
              </m:r>
              <m:r>
                <m:rPr>
                  <m:sty m:val="p"/>
                </m:rPr>
                <m:t>:</m:t>
              </m:r>
              <m:r>
                <m:t>L</m:t>
              </m:r>
              <m:r>
                <m:rPr>
                  <m:sty m:val="p"/>
                </m:rPr>
                <m:t>−</m:t>
              </m:r>
              <m:r>
                <m:t>n</m:t>
              </m:r>
              <m:r>
                <m:rPr>
                  <m:sty m:val="p"/>
                </m:rPr>
                <m:t>+</m:t>
              </m:r>
              <m:r>
                <m:t>1</m:t>
              </m:r>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denotes concatenation and the final segment is drawn from the extended region of</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 ensuring no downstream context is lost.</w:t>
      </w:r>
    </w:p>
    <w:p>
      <w:pPr>
        <w:pStyle w:val="BodyText"/>
      </w:pPr>
      <w:r>
        <w:rPr>
          <w:rFonts w:ascii="Times New Roman" w:hAnsi="Times New Roman" w:eastAsia="Times New Roman" w:cs="Times New Roman"/>
          <w:b/>
          <w:bCs/>
          <w:sz w:val="24"/>
        </w:rPr>
        <w:t xml:space="preserve">Deletions of length</w:t>
      </w:r>
      <w:r>
        <w:rPr>
          <w:rFonts w:ascii="Times New Roman" w:hAnsi="Times New Roman" w:eastAsia="Times New Roman" w:cs="Times New Roman"/>
          <w:b/>
          <w:bCs/>
          <w:sz w:val="24"/>
        </w:rPr>
        <w:t xml:space="preserve"> </w:t>
      </w:r>
      <m:oMath>
        <m:r>
          <m:t>n</m:t>
        </m:r>
      </m:oMath>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w:t>
      </w:r>
      <m:oMath>
        <m:r>
          <m:t>1</m:t>
        </m:r>
        <m:r>
          <m:rPr>
            <m:sty m:val="p"/>
          </m:rPr>
          <m:t>≤</m:t>
        </m:r>
        <m:r>
          <m:t>n</m:t>
        </m:r>
        <m:r>
          <m:rPr>
            <m:sty m:val="p"/>
          </m:rPr>
          <m:t>≤</m:t>
        </m:r>
        <m:sSub>
          <m:e>
            <m:r>
              <m:t>Δ</m:t>
            </m:r>
          </m:e>
          <m:sub>
            <m:r>
              <m:rPr>
                <m:sty m:val="p"/>
              </m:rPr>
              <m:t>max</m:t>
            </m:r>
          </m:sub>
        </m:sSub>
      </m:oMath>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nucleotides starting at position</w:t>
      </w:r>
      <w:r>
        <w:rPr>
          <w:rFonts w:ascii="Times New Roman" w:hAnsi="Times New Roman" w:eastAsia="Times New Roman" w:cs="Times New Roman"/>
          <w:sz w:val="24"/>
        </w:rPr>
        <w:t xml:space="preserve"> </w:t>
      </w:r>
      <m:oMath>
        <m:r>
          <m:t>L</m:t>
        </m:r>
        <m:r>
          <m:rPr>
            <m:sty m:val="p"/>
          </m:rPr>
          <m: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removed, and the sequence is extended by</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positions from the downstream padding in</w:t>
      </w:r>
      <w:r>
        <w:rPr>
          <w:rFonts w:ascii="Times New Roman" w:hAnsi="Times New Roman" w:eastAsia="Times New Roman" w:cs="Times New Roman"/>
          <w:sz w:val="24"/>
        </w:rPr>
        <w:t xml:space="preserve"> </w:t>
      </w:r>
      <m:oMath>
        <m:sSub>
          <m:e>
            <m:r>
              <m:t>S</m:t>
            </m:r>
          </m:e>
          <m:sub>
            <m:r>
              <m:rPr>
                <m:nor/>
                <m:sty m:val="p"/>
              </m:rPr>
              <m:t>raw</m:t>
            </m:r>
          </m:sub>
        </m:sSub>
      </m:oMath>
      <w:r>
        <w:rPr>
          <w:rFonts w:ascii="Times New Roman" w:hAnsi="Times New Roman" w:eastAsia="Times New Roman" w:cs="Times New Roman"/>
          <w:sz w:val="24"/>
        </w:rPr>
        <w:t xml:space="preserve">:</w:t>
      </w:r>
    </w:p>
    <w:p>
      <w:pPr>
        <w:pStyle w:val="BodyText"/>
      </w:pPr>
      <m:oMathPara>
        <m:oMathParaPr>
          <m:jc m:val="center"/>
        </m:oMathParaPr>
        <m:oMath>
          <m:sSub>
            <m:e>
              <m:r>
                <m:t>S</m:t>
              </m:r>
            </m:e>
            <m:sub>
              <m:r>
                <m:rPr>
                  <m:nor/>
                  <m:sty m:val="p"/>
                </m:rPr>
                <m:t>var</m:t>
              </m:r>
            </m:sub>
          </m:sSub>
          <m:r>
            <m:rPr>
              <m:sty m:val="p"/>
            </m:rPr>
            <m:t>=</m:t>
          </m:r>
          <m:sSub>
            <m:e>
              <m:r>
                <m:t>S</m:t>
              </m:r>
            </m:e>
            <m:sub>
              <m:r>
                <m:rPr>
                  <m:nor/>
                  <m:sty m:val="p"/>
                </m:rPr>
                <m:t>raw</m:t>
              </m:r>
            </m:sub>
          </m:sSub>
          <m:d>
            <m:dPr>
              <m:begChr m:val="["/>
              <m:endChr m:val="]"/>
              <m:sepChr m:val=""/>
              <m:grow/>
            </m:dPr>
            <m:e>
              <m:r>
                <m:t>1</m:t>
              </m:r>
              <m:r>
                <m:rPr>
                  <m:sty m:val="p"/>
                </m:rPr>
                <m:t>:</m:t>
              </m:r>
              <m:r>
                <m:t>L</m:t>
              </m:r>
              <m:r>
                <m:rPr>
                  <m:sty m:val="p"/>
                </m:rPr>
                <m:t>/</m:t>
              </m:r>
              <m:r>
                <m:t>2</m:t>
              </m:r>
            </m:e>
          </m:d>
          <m:r>
            <m:t> </m:t>
          </m:r>
          <m:r>
            <m:rPr>
              <m:sty m:val="p"/>
            </m:rPr>
            <m:t>∥</m:t>
          </m:r>
          <m:r>
            <m:t> </m:t>
          </m:r>
          <m:sSub>
            <m:e>
              <m:r>
                <m:t>S</m:t>
              </m:r>
            </m:e>
            <m:sub>
              <m:r>
                <m:rPr>
                  <m:nor/>
                  <m:sty m:val="p"/>
                </m:rPr>
                <m:t>raw</m:t>
              </m:r>
            </m:sub>
          </m:sSub>
          <m:d>
            <m:dPr>
              <m:begChr m:val="["/>
              <m:endChr m:val="]"/>
              <m:sepChr m:val=""/>
              <m:grow/>
            </m:dPr>
            <m:e>
              <m:r>
                <m:t>L</m:t>
              </m:r>
              <m:r>
                <m:rPr>
                  <m:sty m:val="p"/>
                </m:rPr>
                <m:t>/</m:t>
              </m:r>
              <m:r>
                <m:t>2</m:t>
              </m:r>
              <m:r>
                <m:rPr>
                  <m:sty m:val="p"/>
                </m:rPr>
                <m:t>+</m:t>
              </m:r>
              <m:r>
                <m:t>n</m:t>
              </m:r>
              <m:r>
                <m:rPr>
                  <m:sty m:val="p"/>
                </m:rPr>
                <m:t>+</m:t>
              </m:r>
              <m:r>
                <m:t>1</m:t>
              </m:r>
              <m:r>
                <m:rPr>
                  <m:sty m:val="p"/>
                </m:rPr>
                <m:t>:</m:t>
              </m:r>
              <m:r>
                <m:t>L</m:t>
              </m:r>
              <m:r>
                <m:rPr>
                  <m:sty m:val="p"/>
                </m:rPr>
                <m:t>+</m:t>
              </m:r>
              <m:r>
                <m:t>n</m:t>
              </m:r>
            </m:e>
          </m:d>
        </m:oMath>
      </m:oMathPara>
    </w:p>
    <w:p>
      <w:pPr>
        <w:pStyle w:val="FirstParagraph"/>
      </w:pPr>
      <w:r>
        <w:rPr>
          <w:rFonts w:ascii="Times New Roman" w:hAnsi="Times New Roman" w:eastAsia="Times New Roman" w:cs="Times New Roman"/>
          <w:sz w:val="24"/>
        </w:rPr>
        <w:t xml:space="preserve">This maintains total length</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while preserving all upstream context and substituting the deleted bases with the next</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positions from the pre-fetched downstream padding.</w:t>
      </w:r>
    </w:p>
    <w:p>
      <w:r>
        <w:rPr>
          <w:rFonts w:ascii="Times New Roman" w:hAnsi="Times New Roman" w:eastAsia="Times New Roman" w:cs="Times New Roman"/>
          <w:sz w:val="24"/>
        </w:rPr>
        <w:pict>
          <v:rect style="width:0;height:1.5pt" o:hralign="center" o:hrstd="t" o:hr="t"/>
        </w:pict>
      </w:r>
    </w:p>
    <w:bookmarkEnd w:id="37"/>
    <w:bookmarkEnd w:id="38"/>
    <w:bookmarkStart w:id="40" w:name="transcript-consequence-annotation"/>
    <w:p>
      <w:pPr>
        <w:pStyle w:val="Heading2"/>
      </w:pPr>
      <w:r>
        <w:rPr>
          <w:rFonts w:ascii="Times New Roman" w:hAnsi="Times New Roman" w:eastAsia="Times New Roman" w:cs="Times New Roman"/>
          <w:sz w:val="24"/>
        </w:rPr>
        <w:t xml:space="preserve">5. Transcript Consequence Annotation</w:t>
      </w:r>
    </w:p>
    <w:p>
      <w:pPr>
        <w:pStyle w:val="FirstParagraph"/>
      </w:pPr>
      <w:r>
        <w:rPr>
          <w:rFonts w:ascii="Times New Roman" w:hAnsi="Times New Roman" w:eastAsia="Times New Roman" w:cs="Times New Roman"/>
          <w:sz w:val="24"/>
        </w:rPr>
        <w:t xml:space="preserve">The Ensembl Variant Effect Predictor (VEP) REST API maps the genomic coordinate to transcript-level consequences. VEP queries the Ensembl core database and returns:</w:t>
      </w:r>
    </w:p>
    <w:p>
      <w:pPr>
        <w:pStyle w:val="Caption"/>
      </w:pPr>
      <w:bookmarkStart w:id="73036" w:name="_Tbl3"/>
      <w:r>
        <w:rPr>
          <w:rFonts w:ascii="Times New Roman" w:hAnsi="Times New Roman" w:eastAsia="Times New Roman" w:cs="Times New Roman"/>
          <w:b/>
          <w:bCs/>
          <w:sz w:val="24"/>
        </w:rPr>
        <w:t xml:space="preserve">Table 3: VEP Annotation Fields.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Fields returned by the Ensembl Variant Effect Predictor REST API for each queried variant, used for molecular consequence annotation and downstream classification.</w:t>
      </w:r>
      <w:bookmarkEnd w:id="73036"/>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rPr>
                <w:rFonts w:ascii="Times New Roman" w:hAnsi="Times New Roman" w:eastAsia="Times New Roman" w:cs="Times New Roman"/>
                <w:sz w:val="20"/>
              </w:rPr>
              <w:t xml:space="preserve">Field</w:t>
            </w:r>
          </w:p>
        </w:tc>
        <w:tc>
          <w:tcPr/>
          <w:p>
            <w:pPr>
              <w:pStyle w:val="Compact"/>
            </w:pPr>
            <w:r>
              <w:rPr>
                <w:rFonts w:ascii="Times New Roman" w:hAnsi="Times New Roman" w:eastAsia="Times New Roman" w:cs="Times New Roman"/>
                <w:sz w:val="20"/>
              </w:rPr>
              <w:t xml:space="preserve">Description</w:t>
            </w:r>
          </w:p>
        </w:tc>
      </w:tr>
      <w:tr>
        <w:tc>
          <w:tcPr/>
          <w:p>
            <w:pPr>
              <w:pStyle w:val="Compact"/>
            </w:pPr>
            <w:r>
              <w:rPr>
                <w:rFonts w:ascii="Times New Roman" w:hAnsi="Times New Roman" w:eastAsia="Times New Roman" w:cs="Times New Roman"/>
                <w:sz w:val="20"/>
              </w:rPr>
              <w:t xml:space="preserve">Consequence</w:t>
            </w:r>
          </w:p>
        </w:tc>
        <w:tc>
          <w:tcPr/>
          <w:p>
            <w:pPr>
              <w:pStyle w:val="Compact"/>
            </w:pPr>
            <w:r>
              <w:rPr>
                <w:rFonts w:ascii="Times New Roman" w:hAnsi="Times New Roman" w:eastAsia="Times New Roman" w:cs="Times New Roman"/>
                <w:sz w:val="20"/>
              </w:rPr>
              <w:t xml:space="preserve">Molecular effect (missense, stop_gained, frameshift, splice_donor, synonymous)</w:t>
            </w:r>
          </w:p>
        </w:tc>
      </w:tr>
      <w:tr>
        <w:tc>
          <w:tcPr/>
          <w:p>
            <w:pPr>
              <w:pStyle w:val="Compact"/>
            </w:pPr>
            <w:r>
              <w:rPr>
                <w:rFonts w:ascii="Times New Roman" w:hAnsi="Times New Roman" w:eastAsia="Times New Roman" w:cs="Times New Roman"/>
                <w:sz w:val="20"/>
              </w:rPr>
              <w:t xml:space="preserve">Impact</w:t>
            </w:r>
          </w:p>
        </w:tc>
        <w:tc>
          <w:tcPr/>
          <w:p>
            <w:pPr>
              <w:pStyle w:val="Compact"/>
            </w:pPr>
            <w:r>
              <w:rPr>
                <w:rFonts w:ascii="Times New Roman" w:hAnsi="Times New Roman" w:eastAsia="Times New Roman" w:cs="Times New Roman"/>
                <w:sz w:val="20"/>
              </w:rPr>
              <w:t xml:space="preserve">Severity tier (HIGH, MODERATE, LOW)</w:t>
            </w:r>
          </w:p>
        </w:tc>
      </w:tr>
      <w:tr>
        <w:tc>
          <w:tcPr/>
          <w:p>
            <w:pPr>
              <w:pStyle w:val="Compact"/>
            </w:pPr>
            <w:r>
              <w:rPr>
                <w:rFonts w:ascii="Times New Roman" w:hAnsi="Times New Roman" w:eastAsia="Times New Roman" w:cs="Times New Roman"/>
                <w:sz w:val="20"/>
              </w:rPr>
              <w:t xml:space="preserve">HGVS protein</w:t>
            </w:r>
          </w:p>
        </w:tc>
        <w:tc>
          <w:tcPr/>
          <w:p>
            <w:pPr>
              <w:pStyle w:val="Compact"/>
            </w:pPr>
            <w:r>
              <w:rPr>
                <w:rFonts w:ascii="Times New Roman" w:hAnsi="Times New Roman" w:eastAsia="Times New Roman" w:cs="Times New Roman"/>
                <w:sz w:val="20"/>
              </w:rPr>
              <w:t xml:space="preserve">Amino acid change (e.g., p.Gly1756Val)</w:t>
            </w:r>
          </w:p>
        </w:tc>
      </w:tr>
      <w:tr>
        <w:tc>
          <w:tcPr/>
          <w:p>
            <w:pPr>
              <w:pStyle w:val="Compact"/>
            </w:pPr>
            <w:r>
              <w:rPr>
                <w:rFonts w:ascii="Times New Roman" w:hAnsi="Times New Roman" w:eastAsia="Times New Roman" w:cs="Times New Roman"/>
                <w:sz w:val="20"/>
              </w:rPr>
              <w:t xml:space="preserve">HGVS coding</w:t>
            </w:r>
          </w:p>
        </w:tc>
        <w:tc>
          <w:tcPr/>
          <w:p>
            <w:pPr>
              <w:pStyle w:val="Compact"/>
            </w:pPr>
            <w:r>
              <w:rPr>
                <w:rFonts w:ascii="Times New Roman" w:hAnsi="Times New Roman" w:eastAsia="Times New Roman" w:cs="Times New Roman"/>
                <w:sz w:val="20"/>
              </w:rPr>
              <w:t xml:space="preserve">Nucleotide change (e.g., c.5326G&gt;A)</w:t>
            </w:r>
          </w:p>
        </w:tc>
      </w:tr>
      <w:tr>
        <w:tc>
          <w:tcPr/>
          <w:p>
            <w:pPr>
              <w:pStyle w:val="Compact"/>
            </w:pPr>
            <w:r>
              <w:rPr>
                <w:rFonts w:ascii="Times New Roman" w:hAnsi="Times New Roman" w:eastAsia="Times New Roman" w:cs="Times New Roman"/>
                <w:sz w:val="20"/>
              </w:rPr>
              <w:t xml:space="preserve">Transcript</w:t>
            </w:r>
          </w:p>
        </w:tc>
        <w:tc>
          <w:tcPr/>
          <w:p>
            <w:pPr>
              <w:pStyle w:val="Compact"/>
            </w:pPr>
            <w:r>
              <w:rPr>
                <w:rFonts w:ascii="Times New Roman" w:hAnsi="Times New Roman" w:eastAsia="Times New Roman" w:cs="Times New Roman"/>
                <w:sz w:val="20"/>
              </w:rPr>
              <w:t xml:space="preserve">Ensembl accession (ENST)</w:t>
            </w:r>
          </w:p>
        </w:tc>
      </w:tr>
    </w:tbl>
    <w:bookmarkStart w:id="39" w:name="X04588807bcc655d84c39dc1f500bc593d2ba211"/>
    <w:p>
      <w:pPr>
        <w:pStyle w:val="Heading3"/>
      </w:pPr>
      <w:r>
        <w:rPr>
          <w:rFonts w:ascii="Times New Roman" w:hAnsi="Times New Roman" w:eastAsia="Times New Roman" w:cs="Times New Roman"/>
          <w:sz w:val="24"/>
        </w:rPr>
        <w:t xml:space="preserve">5.1 Transcript Selection: MANE Select Prioritization</w:t>
      </w:r>
    </w:p>
    <w:p>
      <w:pPr>
        <w:pStyle w:val="FirstParagraph"/>
      </w:pPr>
      <w:r>
        <w:rPr>
          <w:rFonts w:ascii="Times New Roman" w:hAnsi="Times New Roman" w:eastAsia="Times New Roman" w:cs="Times New Roman"/>
          <w:sz w:val="24"/>
        </w:rPr>
        <w:t xml:space="preserve">A single variant can overlap multiple transcripts with different consequences — a position in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BRCA1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may be missense in the MANE Select transcript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ENST00000357654.9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but splice_region_variant in an alternative isoform</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ENST00000360182.8</w:t>
      </w:r>
      <w:r>
        <w:rPr>
          <w:rFonts w:ascii="Times New Roman" w:hAnsi="Times New Roman" w:eastAsia="Times New Roman" w:cs="Times New Roman"/>
          <w:sz w:val="24"/>
        </w:rPr>
        <w:t xml:space="preserve">. To ensure deterministic, clinically interpretable annotation, the system applies a three-tier transcript selection protocol:</w:t>
      </w:r>
    </w:p>
    <w:p>
      <w:pPr>
        <w:numPr>
          <w:ilvl w:val="0"/>
          <w:numId w:val="1002"/>
        </w:numPr>
      </w:pPr>
      <w:r>
        <w:rPr>
          <w:rFonts w:ascii="Times New Roman" w:hAnsi="Times New Roman" w:eastAsia="Times New Roman" w:cs="Times New Roman"/>
          <w:b/>
          <w:bCs/>
          <w:sz w:val="24"/>
        </w:rPr>
        <w:t xml:space="preserve">MANE Select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[96]: If the variant overlaps the MANE (Matched Annotation from NCBI and EBI) Select transcript for the gene, that transcript’s consequence is used. MANE Select designates a single canonical transcript per protein-coding gene, jointly curated by NCBI and EMBL-EBI to align with clinical reporting standards. This guarantees that the consequence annotation matches what a clinical laboratory would report.</w:t>
      </w:r>
    </w:p>
    <w:p>
      <w:pPr>
        <w:numPr>
          <w:ilvl w:val="0"/>
          <w:numId w:val="1002"/>
        </w:numPr>
      </w:pPr>
      <w:r>
        <w:rPr>
          <w:rFonts w:ascii="Times New Roman" w:hAnsi="Times New Roman" w:eastAsia="Times New Roman" w:cs="Times New Roman"/>
          <w:b/>
          <w:bCs/>
          <w:sz w:val="24"/>
        </w:rPr>
        <w:t xml:space="preserve">MANE Plus Clinical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[96]: If the variant does not overlap the MANE Select transcript but overlaps a MANE Plus Clinical transcript (additional transcripts with known clinical relevance, e.g., alternative isoforms where pathogenic variants have been reported), that transcript’s consequence is used.</w:t>
      </w:r>
    </w:p>
    <w:p>
      <w:pPr>
        <w:numPr>
          <w:ilvl w:val="0"/>
          <w:numId w:val="1002"/>
        </w:numPr>
      </w:pPr>
      <w:r>
        <w:rPr>
          <w:rFonts w:ascii="Times New Roman" w:hAnsi="Times New Roman" w:eastAsia="Times New Roman" w:cs="Times New Roman"/>
          <w:b/>
          <w:bCs/>
          <w:sz w:val="24"/>
        </w:rPr>
        <w:t xml:space="preserve">Longest canonical Ensembl transcript</w:t>
      </w:r>
      <w:r>
        <w:rPr>
          <w:rFonts w:ascii="Times New Roman" w:hAnsi="Times New Roman" w:eastAsia="Times New Roman" w:cs="Times New Roman"/>
          <w:sz w:val="24"/>
        </w:rPr>
        <w:t xml:space="preserve">: If no MANE transcript covers the variant, the system selects the longest Ensembl canonical transcript overlapping the position. This fallback ensures coverage for genes without MANE annotations while prioritizing the most complete transcript model.</w:t>
      </w:r>
    </w:p>
    <w:p>
      <w:pPr>
        <w:pStyle w:val="FirstParagraph"/>
      </w:pPr>
      <w:r>
        <w:rPr>
          <w:rFonts w:ascii="Times New Roman" w:hAnsi="Times New Roman" w:eastAsia="Times New Roman" w:cs="Times New Roman"/>
          <w:sz w:val="24"/>
        </w:rPr>
        <w:t xml:space="preserve">The selected transcript’s HGVS protein notation is used for AlphaMissense lookup, and its consequence type determines the VEP override classification. All downstream analyses — domain context from UniProt, AlphaMissense scoring, CEFN v2 fusion — are performed exclusively on the selected transcript to maintain consistency across the pipeline.</w:t>
      </w:r>
    </w:p>
    <w:p>
      <w:r>
        <w:rPr>
          <w:rFonts w:ascii="Times New Roman" w:hAnsi="Times New Roman" w:eastAsia="Times New Roman" w:cs="Times New Roman"/>
          <w:sz w:val="24"/>
        </w:rPr>
        <w:pict>
          <v:rect style="width:0;height:1.5pt" o:hralign="center" o:hrstd="t" o:hr="t"/>
        </w:pict>
      </w:r>
    </w:p>
    <w:bookmarkEnd w:id="39"/>
    <w:bookmarkEnd w:id="40"/>
    <w:bookmarkStart w:id="52" w:name="evo2-7b-pathogenicity-scoring"/>
    <w:p>
      <w:pPr>
        <w:pStyle w:val="Heading2"/>
      </w:pPr>
      <w:r>
        <w:rPr>
          <w:rFonts w:ascii="Times New Roman" w:hAnsi="Times New Roman" w:eastAsia="Times New Roman" w:cs="Times New Roman"/>
          <w:sz w:val="24"/>
        </w:rPr>
        <w:t xml:space="preserve">6. Evo2-7B Pathogenicity Scoring</w:t>
      </w:r>
    </w:p>
    <w:bookmarkStart w:id="41" w:name="model-architecture"/>
    <w:p>
      <w:pPr>
        <w:pStyle w:val="Heading3"/>
      </w:pPr>
      <w:r>
        <w:rPr>
          <w:rFonts w:ascii="Times New Roman" w:hAnsi="Times New Roman" w:eastAsia="Times New Roman" w:cs="Times New Roman"/>
          <w:sz w:val="24"/>
        </w:rPr>
        <w:t xml:space="preserve">6.1 Model Architecture</w:t>
      </w:r>
    </w:p>
    <w:p>
      <w:pPr>
        <w:pStyle w:val="FirstParagraph"/>
      </w:pPr>
      <w:r>
        <w:rPr>
          <w:rFonts w:ascii="Times New Roman" w:hAnsi="Times New Roman" w:eastAsia="Times New Roman" w:cs="Times New Roman"/>
          <w:sz w:val="24"/>
        </w:rPr>
        <w:t xml:space="preserve">Evo2 7B is a hybrid autoregressive language model trained on approximately 1.2 trillion DNA base pairs from bacterial, archaeal, eukaryotic, and viral genomes [1]. The architecture employs StripedHyena, which interleaves standard self-attention layers with implicit long-convolution layers (H3) [20], achieving</w:t>
      </w:r>
      <w:r>
        <w:rPr>
          <w:rFonts w:ascii="Times New Roman" w:hAnsi="Times New Roman" w:eastAsia="Times New Roman" w:cs="Times New Roman"/>
          <w:sz w:val="24"/>
        </w:rPr>
        <w:t xml:space="preserve"> </w:t>
      </w:r>
      <m:oMath>
        <m:r>
          <m:rPr>
            <m:sty m:val="p"/>
            <m:scr m:val="script"/>
          </m:rPr>
          <m:t>O</m:t>
        </m:r>
        <m:d>
          <m:dPr>
            <m:begChr m:val="("/>
            <m:endChr m:val=")"/>
            <m:sepChr m:val=""/>
            <m:grow/>
          </m:dPr>
          <m:e>
            <m:r>
              <m:t>L</m:t>
            </m:r>
            <m:r>
              <m:rPr>
                <m:sty m:val="p"/>
              </m:rPr>
              <m:t>log</m:t>
            </m:r>
            <m:r>
              <m:t>L</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complexity for sequence length</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versus</w:t>
      </w:r>
      <w:r>
        <w:rPr>
          <w:rFonts w:ascii="Times New Roman" w:hAnsi="Times New Roman" w:eastAsia="Times New Roman" w:cs="Times New Roman"/>
          <w:sz w:val="24"/>
        </w:rPr>
        <w:t xml:space="preserve"> </w:t>
      </w:r>
      <m:oMath>
        <m:r>
          <m:rPr>
            <m:sty m:val="p"/>
            <m:scr m:val="script"/>
          </m:rPr>
          <m:t>O</m:t>
        </m:r>
        <m:d>
          <m:dPr>
            <m:begChr m:val="("/>
            <m:endChr m:val=")"/>
            <m:sepChr m:val=""/>
            <m:grow/>
          </m:dPr>
          <m:e>
            <m:sSup>
              <m:e>
                <m:r>
                  <m:t>L</m:t>
                </m:r>
              </m:e>
              <m:sup>
                <m:r>
                  <m:t>2</m:t>
                </m:r>
              </m:sup>
            </m:sSup>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standard attention. The model operates on a token vocabulary of</w:t>
      </w:r>
      <w:r>
        <w:rPr>
          <w:rFonts w:ascii="Times New Roman" w:hAnsi="Times New Roman" w:eastAsia="Times New Roman" w:cs="Times New Roman"/>
          <w:sz w:val="24"/>
        </w:rPr>
        <w:t xml:space="preserve"> </w:t>
      </w:r>
      <m:oMath>
        <m:r>
          <m:rPr>
            <m:sty m:val="p"/>
          </m:rPr>
          <m:t>{</m:t>
        </m:r>
        <m:r>
          <m:rPr>
            <m:nor/>
            <m:sty m:val="p"/>
          </m:rPr>
          <m:t>A, C, G, T</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byte-level tokenization (one token per nucleotide). This design follows the broader trend of genomic foundation models trained on whole genomes [1,21,22], extending the context-length frontier beyond earlier DNA language models such as DNABERT [23] and the Nucleotide Transformer [24].</w:t>
      </w:r>
    </w:p>
    <w:bookmarkEnd w:id="41"/>
    <w:bookmarkStart w:id="42" w:name="likelihood-scoring"/>
    <w:p>
      <w:pPr>
        <w:pStyle w:val="Heading3"/>
      </w:pPr>
      <w:r>
        <w:rPr>
          <w:rFonts w:ascii="Times New Roman" w:hAnsi="Times New Roman" w:eastAsia="Times New Roman" w:cs="Times New Roman"/>
          <w:sz w:val="24"/>
        </w:rPr>
        <w:t xml:space="preserve">6.2 Likelihood Scoring</w:t>
      </w:r>
    </w:p>
    <w:p>
      <w:pPr>
        <w:pStyle w:val="FirstParagraph"/>
      </w:pPr>
      <w:r>
        <w:rPr>
          <w:rFonts w:ascii="Times New Roman" w:hAnsi="Times New Roman" w:eastAsia="Times New Roman" w:cs="Times New Roman"/>
          <w:sz w:val="24"/>
        </w:rPr>
        <w:t xml:space="preserve">The model computes the log-likelihood of a sequence</w:t>
      </w:r>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length</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autoregressively:</w:t>
      </w:r>
    </w:p>
    <w:p>
      <w:pPr>
        <w:pStyle w:val="BodyText"/>
      </w:pPr>
      <m:oMathPara>
        <m:oMathParaPr>
          <m:jc m:val="center"/>
        </m:oMathParaPr>
        <m:oMath>
          <m:r>
            <m:rPr>
              <m:sty m:val="p"/>
            </m:rPr>
            <m:t>log</m:t>
          </m:r>
          <m:r>
            <m:t>P</m:t>
          </m:r>
          <m:d>
            <m:dPr>
              <m:begChr m:val="("/>
              <m:endChr m:val=")"/>
              <m:sepChr m:val=""/>
              <m:grow/>
            </m:dPr>
            <m:e>
              <m:r>
                <m:t>S</m:t>
              </m:r>
              <m:r>
                <m:rPr>
                  <m:sty m:val="p"/>
                </m:rPr>
                <m:t>∣</m:t>
              </m:r>
              <m:r>
                <m:t>θ</m:t>
              </m:r>
            </m:e>
          </m:d>
          <m:r>
            <m:rPr>
              <m:sty m:val="p"/>
            </m:rPr>
            <m:t>=</m:t>
          </m:r>
          <m:nary>
            <m:naryPr>
              <m:chr m:val="∑"/>
              <m:limLoc m:val="undOvr"/>
              <m:subHide m:val="off"/>
              <m:supHide m:val="off"/>
            </m:naryPr>
            <m:sub>
              <m:r>
                <m:t>i</m:t>
              </m:r>
              <m:r>
                <m:rPr>
                  <m:sty m:val="p"/>
                </m:rPr>
                <m:t>=</m:t>
              </m:r>
              <m:r>
                <m:t>1</m:t>
              </m:r>
            </m:sub>
            <m:sup>
              <m:r>
                <m:t>L</m:t>
              </m:r>
            </m:sup>
            <m:e>
              <m:r>
                <m:rPr>
                  <m:sty m:val="p"/>
                </m:rPr>
                <m:t>log</m:t>
              </m:r>
            </m:e>
          </m:nary>
          <m:r>
            <m:t>P</m:t>
          </m:r>
          <m:d>
            <m:dPr>
              <m:begChr m:val="("/>
              <m:endChr m:val=")"/>
              <m:sepChr m:val=""/>
              <m:grow/>
            </m:dPr>
            <m:e>
              <m:sSub>
                <m:e>
                  <m:r>
                    <m:t>s</m:t>
                  </m:r>
                </m:e>
                <m:sub>
                  <m:r>
                    <m:t>i</m:t>
                  </m:r>
                </m:sub>
              </m:sSub>
              <m:r>
                <m:rPr>
                  <m:sty m:val="p"/>
                </m:rPr>
                <m:t>∣</m:t>
              </m:r>
              <m:sSub>
                <m:e>
                  <m:r>
                    <m:t>s</m:t>
                  </m:r>
                </m:e>
                <m:sub>
                  <m:r>
                    <m:rPr>
                      <m:sty m:val="p"/>
                    </m:rPr>
                    <m:t>&lt;</m:t>
                  </m:r>
                  <m:r>
                    <m:t>i</m:t>
                  </m:r>
                </m:sub>
              </m:sSub>
              <m:r>
                <m:rPr>
                  <m:sty m:val="p"/>
                </m:rPr>
                <m:t>,</m:t>
              </m:r>
              <m:r>
                <m:t>θ</m:t>
              </m:r>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denotes the 7B model parameters and</w:t>
      </w:r>
      <w:r>
        <w:rPr>
          <w:rFonts w:ascii="Times New Roman" w:hAnsi="Times New Roman" w:eastAsia="Times New Roman" w:cs="Times New Roman"/>
          <w:sz w:val="24"/>
        </w:rPr>
        <w:t xml:space="preserve"> </w:t>
      </w:r>
      <m:oMath>
        <m:sSub>
          <m:e>
            <m:r>
              <m:t>s</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nucleotide at position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The variant effect score is the log-likelihood ratio:</w:t>
      </w:r>
    </w:p>
    <w:p>
      <w:pPr>
        <w:pStyle w:val="BodyText"/>
      </w:pPr>
      <m:oMathPara>
        <m:oMathParaPr>
          <m:jc m:val="center"/>
        </m:oMathParaPr>
        <m:oMath>
          <m:r>
            <m:t>Δ</m:t>
          </m:r>
          <m:r>
            <m:rPr>
              <m:sty m:val="p"/>
            </m:rPr>
            <m:t>=</m:t>
          </m:r>
          <m:r>
            <m:rPr>
              <m:sty m:val="p"/>
            </m:rPr>
            <m:t>log</m:t>
          </m:r>
          <m:r>
            <m:t>P</m:t>
          </m:r>
          <m:d>
            <m:dPr>
              <m:begChr m:val="("/>
              <m:endChr m:val=")"/>
              <m:sepChr m:val=""/>
              <m:grow/>
            </m:dPr>
            <m:e>
              <m:sSub>
                <m:e>
                  <m:r>
                    <m:t>S</m:t>
                  </m:r>
                </m:e>
                <m:sub>
                  <m:r>
                    <m:rPr>
                      <m:nor/>
                      <m:sty m:val="p"/>
                    </m:rPr>
                    <m:t>var</m:t>
                  </m:r>
                </m:sub>
              </m:sSub>
              <m:r>
                <m:rPr>
                  <m:sty m:val="p"/>
                </m:rPr>
                <m:t>∣</m:t>
              </m:r>
              <m:r>
                <m:t>θ</m:t>
              </m:r>
            </m:e>
          </m:d>
          <m:r>
            <m:rPr>
              <m:sty m:val="p"/>
            </m:rPr>
            <m:t>−</m:t>
          </m:r>
          <m:r>
            <m:rPr>
              <m:sty m:val="p"/>
            </m:rPr>
            <m:t>log</m:t>
          </m:r>
          <m:r>
            <m:t>P</m:t>
          </m:r>
          <m:d>
            <m:dPr>
              <m:begChr m:val="("/>
              <m:endChr m:val=")"/>
              <m:sepChr m:val=""/>
              <m:grow/>
            </m:dPr>
            <m:e>
              <m:sSub>
                <m:e>
                  <m:r>
                    <m:t>S</m:t>
                  </m:r>
                </m:e>
                <m:sub>
                  <m:r>
                    <m:rPr>
                      <m:nor/>
                      <m:sty m:val="p"/>
                    </m:rPr>
                    <m:t>ref</m:t>
                  </m:r>
                </m:sub>
              </m:sSub>
              <m:r>
                <m:rPr>
                  <m:sty m:val="p"/>
                </m:rPr>
                <m:t>∣</m:t>
              </m:r>
              <m:r>
                <m:t>θ</m:t>
              </m:r>
            </m:e>
          </m:d>
        </m:oMath>
      </m:oMathPara>
    </w:p>
    <w:bookmarkEnd w:id="42"/>
    <w:bookmarkStart w:id="43" w:name="biological-interpretation"/>
    <w:p>
      <w:pPr>
        <w:pStyle w:val="Heading3"/>
      </w:pPr>
      <w:r>
        <w:rPr>
          <w:rFonts w:ascii="Times New Roman" w:hAnsi="Times New Roman" w:eastAsia="Times New Roman" w:cs="Times New Roman"/>
          <w:sz w:val="24"/>
        </w:rPr>
        <w:t xml:space="preserve">6.3 Biological Interpretation</w:t>
      </w:r>
    </w:p>
    <w:p>
      <w:pPr>
        <w:pStyle w:val="FirstParagraph"/>
      </w:pPr>
      <w:r>
        <w:rPr>
          <w:rFonts w:ascii="Times New Roman" w:hAnsi="Times New Roman" w:eastAsia="Times New Roman" w:cs="Times New Roman"/>
          <w:sz w:val="24"/>
        </w:rPr>
        <w:t xml:space="preserve">The score</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quantifies the change in sequence likelihood under the model’s learned genomic distribution. A negative</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indicates the alternative allele reduces sequence likelihood relative to the reference, implying the position is under evolutionary constraint — the reference nucleotide is preferentially conserved across species, and substitution is deleterious. A positive</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indicates the alternative allele is tolerated or preferred, implying the position is not under selective pressure.</w:t>
      </w:r>
    </w:p>
    <w:p>
      <w:pPr>
        <w:pStyle w:val="BodyText"/>
      </w:pPr>
      <w:r>
        <w:rPr>
          <w:rFonts w:ascii="Times New Roman" w:hAnsi="Times New Roman" w:eastAsia="Times New Roman" w:cs="Times New Roman"/>
          <w:sz w:val="24"/>
        </w:rPr>
        <w:t xml:space="preserve">This interpretation rests on the principle that DNA language models trained on diverse genomes learn evolutionary conservation patterns [1,21]: positions under purifying selection have high likelihood under the reference allele and low likelihood under alternatives, because the model has observed the reference nucleotide at conserved positions across training data. The zero-shot variant effect prediction paradigm was established for protein language models [25,26] and subsequently adapted to nucleotide-level models [1,24].</w:t>
      </w:r>
    </w:p>
    <w:bookmarkEnd w:id="43"/>
    <w:bookmarkStart w:id="45" w:name="three-tier-classification"/>
    <w:p>
      <w:pPr>
        <w:pStyle w:val="Heading3"/>
      </w:pPr>
      <w:r>
        <w:rPr>
          <w:rFonts w:ascii="Times New Roman" w:hAnsi="Times New Roman" w:eastAsia="Times New Roman" w:cs="Times New Roman"/>
          <w:sz w:val="24"/>
        </w:rPr>
        <w:t xml:space="preserve">6.4 Three-Tier Classification</w:t>
      </w:r>
    </w:p>
    <w:p>
      <w:pPr>
        <w:pStyle w:val="FirstParagraph"/>
      </w:pPr>
      <w:r>
        <w:rPr>
          <w:rFonts w:ascii="Times New Roman" w:hAnsi="Times New Roman" w:eastAsia="Times New Roman" w:cs="Times New Roman"/>
          <w:sz w:val="24"/>
        </w:rPr>
        <w:t xml:space="preserve">Classification proceeds in two stages. First, VEP consequences with deterministic clinical interpretation override the score-based classifier:</w:t>
      </w:r>
    </w:p>
    <w:p>
      <w:pPr>
        <w:pStyle w:val="Caption"/>
      </w:pPr>
      <w:bookmarkStart w:id="70479" w:name="_Tbl4"/>
      <w:r>
        <w:rPr>
          <w:rFonts w:ascii="Times New Roman" w:hAnsi="Times New Roman" w:eastAsia="Times New Roman" w:cs="Times New Roman"/>
          <w:b/>
          <w:bCs/>
          <w:sz w:val="24"/>
        </w:rPr>
        <w:t xml:space="preserve">Table 4: VEP Consequence Override Rules.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Deterministic classification overrides applied when VEP reports a high-impact consequence. Confidence values reflect the certainty of the clinical interpretation for each consequence type.</w:t>
      </w:r>
      <w:bookmarkEnd w:id="7047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0"/>
              </w:rPr>
              <w:t xml:space="preserve">VEP consequence</w:t>
            </w:r>
          </w:p>
        </w:tc>
        <w:tc>
          <w:tcPr/>
          <w:p>
            <w:pPr>
              <w:pStyle w:val="Compact"/>
            </w:pPr>
            <w:r>
              <w:rPr>
                <w:rFonts w:ascii="Times New Roman" w:hAnsi="Times New Roman" w:eastAsia="Times New Roman" w:cs="Times New Roman"/>
                <w:sz w:val="20"/>
              </w:rPr>
              <w:t xml:space="preserve">Classification</w:t>
            </w:r>
          </w:p>
        </w:tc>
        <w:tc>
          <w:tcPr/>
          <w:p>
            <w:pPr>
              <w:pStyle w:val="Compact"/>
            </w:pPr>
            <w:r>
              <w:rPr>
                <w:rFonts w:ascii="Times New Roman" w:hAnsi="Times New Roman" w:eastAsia="Times New Roman" w:cs="Times New Roman"/>
                <w:sz w:val="20"/>
              </w:rPr>
              <w:t xml:space="preserve">Confidence</w:t>
            </w:r>
          </w:p>
        </w:tc>
      </w:tr>
      <w:tr>
        <w:tc>
          <w:tcPr/>
          <w:p>
            <w:pPr>
              <w:pStyle w:val="Compact"/>
            </w:pPr>
            <w:r>
              <w:rPr>
                <w:rFonts w:ascii="Times New Roman" w:hAnsi="Times New Roman" w:eastAsia="Times New Roman" w:cs="Times New Roman"/>
                <w:sz w:val="20"/>
              </w:rPr>
              <w:t xml:space="preserve">stop_gained</w:t>
            </w:r>
          </w:p>
        </w:tc>
        <w:tc>
          <w:tcPr/>
          <w:p>
            <w:pPr>
              <w:pStyle w:val="Compact"/>
            </w:pPr>
            <w:r>
              <w:rPr>
                <w:rFonts w:ascii="Times New Roman" w:hAnsi="Times New Roman" w:eastAsia="Times New Roman" w:cs="Times New Roman"/>
                <w:sz w:val="20"/>
              </w:rPr>
              <w:t xml:space="preserve">Likely pathogenic</w:t>
            </w:r>
          </w:p>
        </w:tc>
        <w:tc>
          <w:tcPr/>
          <w:p>
            <w:pPr>
              <w:pStyle w:val="Compact"/>
            </w:pPr>
            <w:r>
              <w:rPr>
                <w:rFonts w:ascii="Times New Roman" w:hAnsi="Times New Roman" w:eastAsia="Times New Roman" w:cs="Times New Roman"/>
                <w:sz w:val="20"/>
              </w:rPr>
              <w:t xml:space="preserve">0.95</w:t>
            </w:r>
          </w:p>
        </w:tc>
      </w:tr>
      <w:tr>
        <w:tc>
          <w:tcPr/>
          <w:p>
            <w:pPr>
              <w:pStyle w:val="Compact"/>
            </w:pPr>
            <w:r>
              <w:rPr>
                <w:rFonts w:ascii="Times New Roman" w:hAnsi="Times New Roman" w:eastAsia="Times New Roman" w:cs="Times New Roman"/>
                <w:sz w:val="20"/>
              </w:rPr>
              <w:t xml:space="preserve">frameshift</w:t>
            </w:r>
          </w:p>
        </w:tc>
        <w:tc>
          <w:tcPr/>
          <w:p>
            <w:pPr>
              <w:pStyle w:val="Compact"/>
            </w:pPr>
            <w:r>
              <w:rPr>
                <w:rFonts w:ascii="Times New Roman" w:hAnsi="Times New Roman" w:eastAsia="Times New Roman" w:cs="Times New Roman"/>
                <w:sz w:val="20"/>
              </w:rPr>
              <w:t xml:space="preserve">Likely pathogenic</w:t>
            </w:r>
          </w:p>
        </w:tc>
        <w:tc>
          <w:tcPr/>
          <w:p>
            <w:pPr>
              <w:pStyle w:val="Compact"/>
            </w:pPr>
            <w:r>
              <w:rPr>
                <w:rFonts w:ascii="Times New Roman" w:hAnsi="Times New Roman" w:eastAsia="Times New Roman" w:cs="Times New Roman"/>
                <w:sz w:val="20"/>
              </w:rPr>
              <w:t xml:space="preserve">0.95</w:t>
            </w:r>
          </w:p>
        </w:tc>
      </w:tr>
      <w:tr>
        <w:tc>
          <w:tcPr/>
          <w:p>
            <w:pPr>
              <w:pStyle w:val="Compact"/>
            </w:pPr>
            <w:r>
              <w:rPr>
                <w:rFonts w:ascii="Times New Roman" w:hAnsi="Times New Roman" w:eastAsia="Times New Roman" w:cs="Times New Roman"/>
                <w:sz w:val="20"/>
              </w:rPr>
              <w:t xml:space="preserve">splice_donor/acceptor (HIGH)</w:t>
            </w:r>
          </w:p>
        </w:tc>
        <w:tc>
          <w:tcPr/>
          <w:p>
            <w:pPr>
              <w:pStyle w:val="Compact"/>
            </w:pPr>
            <w:r>
              <w:rPr>
                <w:rFonts w:ascii="Times New Roman" w:hAnsi="Times New Roman" w:eastAsia="Times New Roman" w:cs="Times New Roman"/>
                <w:sz w:val="20"/>
              </w:rPr>
              <w:t xml:space="preserve">Likely pathogenic</w:t>
            </w:r>
          </w:p>
        </w:tc>
        <w:tc>
          <w:tcPr/>
          <w:p>
            <w:pPr>
              <w:pStyle w:val="Compact"/>
            </w:pPr>
            <w:r>
              <w:rPr>
                <w:rFonts w:ascii="Times New Roman" w:hAnsi="Times New Roman" w:eastAsia="Times New Roman" w:cs="Times New Roman"/>
                <w:sz w:val="20"/>
              </w:rPr>
              <w:t xml:space="preserve">0.90</w:t>
            </w:r>
          </w:p>
        </w:tc>
      </w:tr>
      <w:tr>
        <w:tc>
          <w:tcPr/>
          <w:p>
            <w:pPr>
              <w:pStyle w:val="Compact"/>
            </w:pPr>
            <w:r>
              <w:rPr>
                <w:rFonts w:ascii="Times New Roman" w:hAnsi="Times New Roman" w:eastAsia="Times New Roman" w:cs="Times New Roman"/>
                <w:sz w:val="20"/>
              </w:rPr>
              <w:t xml:space="preserve">synonymous (non-splice)</w:t>
            </w:r>
          </w:p>
        </w:tc>
        <w:tc>
          <w:tcPr/>
          <w:p>
            <w:pPr>
              <w:pStyle w:val="Compact"/>
            </w:pPr>
            <w:r>
              <w:rPr>
                <w:rFonts w:ascii="Times New Roman" w:hAnsi="Times New Roman" w:eastAsia="Times New Roman" w:cs="Times New Roman"/>
                <w:sz w:val="20"/>
              </w:rPr>
              <w:t xml:space="preserve">Likely benign</w:t>
            </w:r>
          </w:p>
        </w:tc>
        <w:tc>
          <w:tcPr/>
          <w:p>
            <w:pPr>
              <w:pStyle w:val="Compact"/>
            </w:pPr>
            <w:r>
              <w:rPr>
                <w:rFonts w:ascii="Times New Roman" w:hAnsi="Times New Roman" w:eastAsia="Times New Roman" w:cs="Times New Roman"/>
                <w:sz w:val="20"/>
              </w:rPr>
              <w:t xml:space="preserve">0.85</w:t>
            </w:r>
          </w:p>
        </w:tc>
      </w:tr>
    </w:tbl>
    <w:p>
      <w:pPr>
        <w:pStyle w:val="BodyText"/>
      </w:pPr>
      <w:r>
        <w:rPr>
          <w:rFonts w:ascii="Times New Roman" w:hAnsi="Times New Roman" w:eastAsia="Times New Roman" w:cs="Times New Roman"/>
          <w:sz w:val="24"/>
        </w:rPr>
        <w:t xml:space="preserve">Second, for variants not resolved by VEP (primarily missense), the delta score is classified using gene-specific thresholds:</w:t>
      </w:r>
    </w:p>
    <w:p>
      <w:pPr>
        <w:pStyle w:val="BodyText"/>
      </w:pPr>
      <m:oMathPara>
        <m:oMathParaPr>
          <m:jc m:val="center"/>
        </m:oMathParaPr>
        <m:oMath>
          <m:acc>
            <m:accPr>
              <m:chr m:val="̂"/>
            </m:accPr>
            <m:e>
              <m:r>
                <m:t>y</m:t>
              </m:r>
            </m:e>
          </m:acc>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Pathogenic</m:t>
                    </m:r>
                  </m:e>
                  <m:e>
                    <m:r>
                      <m:rPr>
                        <m:nor/>
                        <m:sty m:val="p"/>
                      </m:rPr>
                      <m:t>if </m:t>
                    </m:r>
                    <m:r>
                      <m:t>Δ</m:t>
                    </m:r>
                    <m:r>
                      <m:rPr>
                        <m:sty m:val="p"/>
                      </m:rPr>
                      <m:t>&lt;</m:t>
                    </m:r>
                    <m:sSub>
                      <m:e>
                        <m:r>
                          <m:t>τ</m:t>
                        </m:r>
                      </m:e>
                      <m:sub>
                        <m:r>
                          <m:t>g</m:t>
                        </m:r>
                      </m:sub>
                    </m:sSub>
                  </m:e>
                </m:mr>
                <m:mr>
                  <m:e>
                    <m:r>
                      <m:rPr>
                        <m:nor/>
                        <m:sty m:val="p"/>
                      </m:rPr>
                      <m:t>Benign</m:t>
                    </m:r>
                  </m:e>
                  <m:e>
                    <m:r>
                      <m:rPr>
                        <m:nor/>
                        <m:sty m:val="p"/>
                      </m:rPr>
                      <m:t>if </m:t>
                    </m:r>
                    <m:r>
                      <m:t>Δ</m:t>
                    </m:r>
                    <m:r>
                      <m:rPr>
                        <m:sty m:val="p"/>
                      </m:rPr>
                      <m:t>&gt;</m:t>
                    </m:r>
                    <m:d>
                      <m:dPr>
                        <m:begChr m:val="|"/>
                        <m:endChr m:val="|"/>
                        <m:sepChr m:val=""/>
                        <m:grow/>
                      </m:dPr>
                      <m:e>
                        <m:sSub>
                          <m:e>
                            <m:r>
                              <m:t>τ</m:t>
                            </m:r>
                          </m:e>
                          <m:sub>
                            <m:r>
                              <m:t>g</m:t>
                            </m:r>
                          </m:sub>
                        </m:sSub>
                      </m:e>
                    </m:d>
                  </m:e>
                </m:mr>
                <m:mr>
                  <m:e>
                    <m:r>
                      <m:rPr>
                        <m:nor/>
                        <m:sty m:val="p"/>
                      </m:rPr>
                      <m:t>VUS</m:t>
                    </m:r>
                  </m:e>
                  <m:e>
                    <m:r>
                      <m:rPr>
                        <m:nor/>
                        <m:sty m:val="p"/>
                      </m:rPr>
                      <m:t>otherwise</m:t>
                    </m:r>
                  </m:e>
                </m:mr>
              </m:m>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τ</m:t>
            </m:r>
          </m:e>
          <m:sub>
            <m:r>
              <m:t>g</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gene-specific threshold. Confidence is computed as the normalized distance from the threshold:</w:t>
      </w:r>
    </w:p>
    <w:p>
      <w:pPr>
        <w:pStyle w:val="BodyText"/>
      </w:pPr>
      <m:oMathPara>
        <m:oMathParaPr>
          <m:jc m:val="center"/>
        </m:oMathParaPr>
        <m:oMath>
          <m:r>
            <m:t>c</m:t>
          </m:r>
          <m:r>
            <m:rPr>
              <m:sty m:val="p"/>
            </m:rPr>
            <m:t>=</m:t>
          </m:r>
          <m:r>
            <m:rPr>
              <m:sty m:val="p"/>
            </m:rPr>
            <m:t>min</m:t>
          </m:r>
          <m:r>
            <m:t>​</m:t>
          </m:r>
          <m:d>
            <m:dPr>
              <m:begChr m:val="("/>
              <m:endChr m:val=")"/>
              <m:sepChr m:val=""/>
              <m:grow/>
            </m:dPr>
            <m:e>
              <m:r>
                <m:t>1</m:t>
              </m:r>
              <m:r>
                <m:rPr>
                  <m:sty m:val="p"/>
                </m:rPr>
                <m:t>,</m:t>
              </m:r>
              <m:r>
                <m:t> </m:t>
              </m:r>
              <m:f>
                <m:fPr>
                  <m:type m:val="bar"/>
                </m:fPr>
                <m:num>
                  <m:d>
                    <m:dPr>
                      <m:begChr m:val="|"/>
                      <m:endChr m:val="|"/>
                      <m:sepChr m:val=""/>
                      <m:grow/>
                    </m:dPr>
                    <m:e>
                      <m:r>
                        <m:t>Δ</m:t>
                      </m:r>
                      <m:r>
                        <m:rPr>
                          <m:sty m:val="p"/>
                        </m:rPr>
                        <m:t>−</m:t>
                      </m:r>
                      <m:sSub>
                        <m:e>
                          <m:r>
                            <m:t>τ</m:t>
                          </m:r>
                        </m:e>
                        <m:sub>
                          <m:r>
                            <m:t>g</m:t>
                          </m:r>
                        </m:sub>
                      </m:sSub>
                    </m:e>
                  </m:d>
                </m:num>
                <m:den>
                  <m:sSub>
                    <m:e>
                      <m:r>
                        <m:t>σ</m:t>
                      </m:r>
                    </m:e>
                    <m:sub>
                      <m:r>
                        <m:rPr>
                          <m:nor/>
                          <m:sty m:val="p"/>
                        </m:rPr>
                        <m:t>LOF</m:t>
                      </m:r>
                    </m:sub>
                  </m:sSub>
                </m:den>
              </m:f>
            </m:e>
          </m:d>
          <m:r>
            <m:t> </m:t>
          </m:r>
          <m:r>
            <m:rPr>
              <m:nor/>
              <m:sty m:val="p"/>
            </m:rPr>
            <m:t>(pathogenic)</m:t>
          </m:r>
          <m:r>
            <m:rPr>
              <m:sty m:val="p"/>
            </m:rPr>
            <m:t>,</m:t>
          </m:r>
          <m:r>
            <m:t>  </m:t>
          </m:r>
          <m:r>
            <m:t>c</m:t>
          </m:r>
          <m:r>
            <m:rPr>
              <m:sty m:val="p"/>
            </m:rPr>
            <m:t>=</m:t>
          </m:r>
          <m:r>
            <m:rPr>
              <m:sty m:val="p"/>
            </m:rPr>
            <m:t>min</m:t>
          </m:r>
          <m:r>
            <m:t>​</m:t>
          </m:r>
          <m:d>
            <m:dPr>
              <m:begChr m:val="("/>
              <m:endChr m:val=")"/>
              <m:sepChr m:val=""/>
              <m:grow/>
            </m:dPr>
            <m:e>
              <m:r>
                <m:t>1</m:t>
              </m:r>
              <m:r>
                <m:rPr>
                  <m:sty m:val="p"/>
                </m:rPr>
                <m:t>,</m:t>
              </m:r>
              <m:r>
                <m:t> </m:t>
              </m:r>
              <m:f>
                <m:fPr>
                  <m:type m:val="bar"/>
                </m:fPr>
                <m:num>
                  <m:d>
                    <m:dPr>
                      <m:begChr m:val="|"/>
                      <m:endChr m:val="|"/>
                      <m:sepChr m:val=""/>
                      <m:grow/>
                    </m:dPr>
                    <m:e>
                      <m:r>
                        <m:t>Δ</m:t>
                      </m:r>
                      <m:r>
                        <m:rPr>
                          <m:sty m:val="p"/>
                        </m:rPr>
                        <m:t>−</m:t>
                      </m:r>
                    </m:e>
                  </m:d>
                  <m:sSub>
                    <m:e>
                      <m:r>
                        <m:t>τ</m:t>
                      </m:r>
                    </m:e>
                    <m:sub>
                      <m:r>
                        <m:t>g</m:t>
                      </m:r>
                    </m:sub>
                  </m:sSub>
                  <m:d>
                    <m:dPr>
                      <m:begChr m:val="|"/>
                      <m:endChr m:val="|"/>
                      <m:sepChr m:val=""/>
                      <m:grow/>
                    </m:dPr>
                    <m:e/>
                  </m:d>
                </m:num>
                <m:den>
                  <m:sSub>
                    <m:e>
                      <m:r>
                        <m:t>σ</m:t>
                      </m:r>
                    </m:e>
                    <m:sub>
                      <m:r>
                        <m:rPr>
                          <m:nor/>
                          <m:sty m:val="p"/>
                        </m:rPr>
                        <m:t>func</m:t>
                      </m:r>
                    </m:sub>
                  </m:sSub>
                </m:den>
              </m:f>
            </m:e>
          </m:d>
          <m:r>
            <m:t> </m:t>
          </m:r>
          <m:r>
            <m:rPr>
              <m:nor/>
              <m:sty m:val="p"/>
            </m:rPr>
            <m:t>(benign)</m:t>
          </m:r>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σ</m:t>
            </m:r>
          </m:e>
          <m:sub>
            <m:r>
              <m:rPr>
                <m:nor/>
                <m:sty m:val="p"/>
              </m:rPr>
              <m:t>LOF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σ</m:t>
            </m:r>
          </m:e>
          <m:sub>
            <m:r>
              <m:rPr>
                <m:nor/>
                <m:sty m:val="p"/>
              </m:rPr>
              <m:t>func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the standard deviations of</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loss-of-function and functional variants, calibrated from assay data.</w:t>
      </w:r>
    </w:p>
    <w:bookmarkStart w:id="44" w:name="Xda4caa36d8ba43e9554a4e47dba0c8bb78dbed2"/>
    <w:p>
      <w:pPr>
        <w:pStyle w:val="Heading4"/>
      </w:pPr>
      <w:r>
        <w:rPr>
          <w:rFonts w:ascii="Times New Roman" w:hAnsi="Times New Roman" w:eastAsia="Times New Roman" w:cs="Times New Roman"/>
          <w:sz w:val="24"/>
        </w:rPr>
        <w:t xml:space="preserve">6.4.1 Override Safeguards: NMD Prediction and Splice Confirmation</w:t>
      </w:r>
    </w:p>
    <w:p>
      <w:pPr>
        <w:pStyle w:val="FirstParagraph"/>
      </w:pPr>
      <w:r>
        <w:rPr>
          <w:rFonts w:ascii="Times New Roman" w:hAnsi="Times New Roman" w:eastAsia="Times New Roman" w:cs="Times New Roman"/>
          <w:sz w:val="24"/>
        </w:rPr>
        <w:t xml:space="preserve">The VEP override table applies gene-agnostic, position-agnostic rules, which can produce false positives in specific biological contexts. Three safeguards mitigate this:</w:t>
      </w:r>
    </w:p>
    <w:p>
      <w:pPr>
        <w:pStyle w:val="BodyText"/>
      </w:pPr>
      <w:r>
        <w:rPr>
          <w:rFonts w:ascii="Times New Roman" w:hAnsi="Times New Roman" w:eastAsia="Times New Roman" w:cs="Times New Roman"/>
          <w:b/>
          <w:bCs/>
          <w:sz w:val="24"/>
        </w:rPr>
        <w:t xml:space="preserve">Nonsense-mediated decay (NMD)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premature termination codon (PTC) triggers NMD only if it occurs</w:t>
      </w:r>
      <w:r>
        <w:rPr>
          <w:rFonts w:ascii="Times New Roman" w:hAnsi="Times New Roman" w:eastAsia="Times New Roman" w:cs="Times New Roman"/>
          <w:sz w:val="24"/>
        </w:rPr>
        <w:t xml:space="preserve"> </w:t>
      </w:r>
      <m:oMath>
        <m:r>
          <m:rPr>
            <m:sty m:val="p"/>
          </m:rPr>
          <m:t>&gt;</m:t>
        </m:r>
        <m:r>
          <m:t>50</m:t>
        </m:r>
      </m:oMath>
      <w:r>
        <w:rPr>
          <w:rFonts w:ascii="Times New Roman" w:hAnsi="Times New Roman" w:eastAsia="Times New Roman" w:cs="Times New Roman"/>
          <w:sz w:val="24"/>
        </w:rPr>
        <w:t xml:space="preserve">–55 nt upstream of the last exon-exon junction [97]. PTCs in the final exon or within 50 nt of the last junction typically escape NMD and may produce a stable, partially functional truncated protein. For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stop_gained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variants, the system computes the distance from the PTC to the nearest downstream exon-exon junction using the MANE Select transcript structure. If the PTC is within 50 nt of the last exon junction, the override confidence is reduced from 0.95 to 0.70 (Likely pathogenic → VUS-leaning), reflecting the uncertainty of NMD escape. If the gene’s disease mechanism is not loss-of-function (determined from ClinGen haploinsufficiency annotations [98]), the override is further downgraded to VUS.</w:t>
      </w:r>
    </w:p>
    <w:p>
      <w:pPr>
        <w:pStyle w:val="BodyText"/>
      </w:pPr>
      <w:r>
        <w:rPr>
          <w:rFonts w:ascii="Times New Roman" w:hAnsi="Times New Roman" w:eastAsia="Times New Roman" w:cs="Times New Roman"/>
          <w:b/>
          <w:bCs/>
          <w:sz w:val="24"/>
        </w:rPr>
        <w:t xml:space="preserve">Splice effect confirmation.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Synonymous variants classified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“Likely benign”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(confidence 0.85) are cross-checked against SpliceAI [73] before the override is applied. If SpliceAI predicts a delta score</w:t>
      </w:r>
      <w:r>
        <w:rPr>
          <w:rFonts w:ascii="Times New Roman" w:hAnsi="Times New Roman" w:eastAsia="Times New Roman" w:cs="Times New Roman"/>
          <w:sz w:val="24"/>
        </w:rPr>
        <w:t xml:space="preserve"> </w:t>
      </w:r>
      <m:oMath>
        <m:r>
          <m:rPr>
            <m:sty m:val="p"/>
          </m:rPr>
          <m:t>≥</m:t>
        </m:r>
        <m:r>
          <m:t>0.2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any splice category (acceptor gain/loss, donor gain/loss), the synonymous variant is reclassified as VUS and routed to the score-based classifier, because 5–10% of synonymous variants create cryptic splice sites [73]. This safeguard prevents the override from masking splice-disrupting synonymous variants.</w:t>
      </w:r>
    </w:p>
    <w:p>
      <w:pPr>
        <w:pStyle w:val="BodyText"/>
      </w:pPr>
      <w:r>
        <w:rPr>
          <w:rFonts w:ascii="Times New Roman" w:hAnsi="Times New Roman" w:eastAsia="Times New Roman" w:cs="Times New Roman"/>
          <w:b/>
          <w:bCs/>
          <w:sz w:val="24"/>
        </w:rPr>
        <w:t xml:space="preserve">ClinGen loss-of-function mechanism.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PVS1 criterion (Very Strong pathogenic for nonsense/frameshift in haploinsufficient genes) is applied only when the gene has a ClinGen-annotated loss-of-function (LoF) mechanism [98]. For genes where LoF is not a known disease mechanism (e.g., gain-of-function genes like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STAT1</w:t>
      </w:r>
      <w:r>
        <w:rPr>
          <w:rFonts w:ascii="Times New Roman" w:hAnsi="Times New Roman" w:eastAsia="Times New Roman" w:cs="Times New Roman"/>
          <w:sz w:val="24"/>
        </w:rPr>
        <w:t xml:space="preserve">), nonsense and frameshift variants are downgraded from PVS1 (Very Strong) to PM2 (Moderate), preventing the automatic application of a very strong pathogenic criterion where the biological mechanism does not support it.</w:t>
      </w:r>
    </w:p>
    <w:bookmarkEnd w:id="44"/>
    <w:bookmarkEnd w:id="45"/>
    <w:bookmarkStart w:id="46" w:name="gene-specific-thresholds"/>
    <w:p>
      <w:pPr>
        <w:pStyle w:val="Heading3"/>
      </w:pPr>
      <w:r>
        <w:rPr>
          <w:rFonts w:ascii="Times New Roman" w:hAnsi="Times New Roman" w:eastAsia="Times New Roman" w:cs="Times New Roman"/>
          <w:sz w:val="24"/>
        </w:rPr>
        <w:t xml:space="preserve">6.5 Gene-Specific Thresholds</w:t>
      </w:r>
    </w:p>
    <w:p>
      <w:pPr>
        <w:pStyle w:val="FirstParagraph"/>
      </w:pPr>
      <w:r>
        <w:rPr>
          <w:rFonts w:ascii="Times New Roman" w:hAnsi="Times New Roman" w:eastAsia="Times New Roman" w:cs="Times New Roman"/>
          <w:sz w:val="24"/>
        </w:rPr>
        <w:t xml:space="preserve">Thresholds are calibrated per gene based on three criteria: (1) functional assay data where available, (2) disease mechanism (dominant-negative vs. haploinsufficient), and (3) cancer penetrance.</w:t>
      </w:r>
    </w:p>
    <w:p>
      <w:pPr>
        <w:pStyle w:val="Caption"/>
      </w:pPr>
      <w:bookmarkStart w:id="69296" w:name="_Tbl5"/>
      <w:r>
        <w:rPr>
          <w:rFonts w:ascii="Times New Roman" w:hAnsi="Times New Roman" w:eastAsia="Times New Roman" w:cs="Times New Roman"/>
          <w:b/>
          <w:bCs/>
          <w:sz w:val="24"/>
        </w:rPr>
        <w:t xml:space="preserve">Table 5: Gene-Specific Classification Thresholds.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Calibrated Evo2 delta score thresholds (</w:t>
      </w:r>
      <m:oMath>
        <m:sSub>
          <m:e>
            <m:r>
              <m:t>τ</m:t>
            </m:r>
          </m:e>
          <m:sub>
            <m:r>
              <m:t>g</m:t>
            </m:r>
          </m:sub>
        </m:sSub>
      </m:oMath>
      <w:r>
        <w:rPr>
          <w:rFonts w:ascii="Times New Roman" w:hAnsi="Times New Roman" w:eastAsia="Times New Roman" w:cs="Times New Roman"/>
          <w:sz w:val="24"/>
        </w:rPr>
        <w:t xml:space="preserve">) and standard deviations (</w:t>
      </w:r>
      <m:oMath>
        <m:r>
          <m:t>σ</m:t>
        </m:r>
      </m:oMath>
      <w:r>
        <w:rPr>
          <w:rFonts w:ascii="Times New Roman" w:hAnsi="Times New Roman" w:eastAsia="Times New Roman" w:cs="Times New Roman"/>
          <w:sz w:val="24"/>
        </w:rPr>
        <w:t xml:space="preserve">) for each gene in the five-gene panel. Thresholds are tuned based on functional assay data, disease mechanism, and cancer penetrance.</w:t>
      </w:r>
      <w:bookmarkEnd w:id="69296"/>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eastAsia="Times New Roman" w:cs="Times New Roman"/>
                <w:sz w:val="20"/>
              </w:rPr>
              <w:t xml:space="preserve">Gene</w:t>
            </w:r>
          </w:p>
        </w:tc>
        <w:tc>
          <w:tcPr/>
          <w:p>
            <w:pPr>
              <w:pStyle w:val="Compact"/>
            </w:pPr>
            <m:oMath>
              <m:sSub>
                <m:e>
                  <m:r>
                    <m:t>τ</m:t>
                  </m:r>
                </m:e>
                <m:sub>
                  <m:r>
                    <m:t>g</m:t>
                  </m:r>
                </m:sub>
              </m:sSub>
            </m:oMath>
          </w:p>
        </w:tc>
        <w:tc>
          <w:tcPr/>
          <w:p>
            <w:pPr>
              <w:pStyle w:val="Compact"/>
            </w:pPr>
            <m:oMath>
              <m:sSub>
                <m:e>
                  <m:r>
                    <m:t>σ</m:t>
                  </m:r>
                </m:e>
                <m:sub>
                  <m:r>
                    <m:rPr>
                      <m:nor/>
                      <m:sty m:val="p"/>
                    </m:rPr>
                    <m:t>LOF</m:t>
                  </m:r>
                </m:sub>
              </m:sSub>
            </m:oMath>
          </w:p>
        </w:tc>
        <w:tc>
          <w:tcPr/>
          <w:p>
            <w:pPr>
              <w:pStyle w:val="Compact"/>
            </w:pPr>
            <m:oMath>
              <m:sSub>
                <m:e>
                  <m:r>
                    <m:t>σ</m:t>
                  </m:r>
                </m:e>
                <m:sub>
                  <m:r>
                    <m:rPr>
                      <m:nor/>
                      <m:sty m:val="p"/>
                    </m:rPr>
                    <m:t>func</m:t>
                  </m:r>
                </m:sub>
              </m:sSub>
            </m:oMath>
          </w:p>
        </w:tc>
        <w:tc>
          <w:tcPr/>
          <w:p>
            <w:pPr>
              <w:pStyle w:val="Compact"/>
            </w:pPr>
            <w:r>
              <w:rPr>
                <w:rFonts w:ascii="Times New Roman" w:hAnsi="Times New Roman" w:eastAsia="Times New Roman" w:cs="Times New Roman"/>
                <w:sz w:val="20"/>
              </w:rPr>
              <w:t xml:space="preserve">Mechanism</w:t>
            </w:r>
          </w:p>
        </w:tc>
      </w:tr>
      <w:tr>
        <w:tc>
          <w:tcPr/>
          <w:p>
            <w:pPr>
              <w:pStyle w:val="Compact"/>
            </w:pPr>
            <w:r>
              <w:rPr>
                <w:rFonts w:ascii="Times New Roman" w:hAnsi="Times New Roman" w:eastAsia="Times New Roman" w:cs="Times New Roman"/>
                <w:i/>
                <w:iCs/>
                <w:sz w:val="20"/>
              </w:rPr>
              <w:t xml:space="preserve">TP53</w:t>
            </w:r>
          </w:p>
        </w:tc>
        <w:tc>
          <w:tcPr/>
          <w:p>
            <w:pPr>
              <w:pStyle w:val="Compact"/>
            </w:pPr>
            <m:oMath>
              <m:r>
                <m:rPr>
                  <m:sty m:val="p"/>
                </m:rPr>
                <m:t>−</m:t>
              </m:r>
              <m:r>
                <m:t>0.003</m:t>
              </m:r>
            </m:oMath>
          </w:p>
        </w:tc>
        <w:tc>
          <w:tcPr/>
          <w:p>
            <w:pPr>
              <w:pStyle w:val="Compact"/>
            </w:pPr>
            <w:r>
              <w:rPr>
                <w:rFonts w:ascii="Times New Roman" w:hAnsi="Times New Roman" w:eastAsia="Times New Roman" w:cs="Times New Roman"/>
                <w:sz w:val="20"/>
              </w:rPr>
              <w:t xml:space="preserve">0.0015</w:t>
            </w:r>
          </w:p>
        </w:tc>
        <w:tc>
          <w:tcPr/>
          <w:p>
            <w:pPr>
              <w:pStyle w:val="Compact"/>
            </w:pPr>
            <w:r>
              <w:rPr>
                <w:rFonts w:ascii="Times New Roman" w:hAnsi="Times New Roman" w:eastAsia="Times New Roman" w:cs="Times New Roman"/>
                <w:sz w:val="20"/>
              </w:rPr>
              <w:t xml:space="preserve">0.0009</w:t>
            </w:r>
          </w:p>
        </w:tc>
        <w:tc>
          <w:tcPr/>
          <w:p>
            <w:pPr>
              <w:pStyle w:val="Compact"/>
            </w:pPr>
            <w:r>
              <w:rPr>
                <w:rFonts w:ascii="Times New Roman" w:hAnsi="Times New Roman" w:eastAsia="Times New Roman" w:cs="Times New Roman"/>
                <w:sz w:val="20"/>
              </w:rPr>
              <w:t xml:space="preserve">Dominant-negative; Li-Fraumeni</w:t>
            </w:r>
          </w:p>
        </w:tc>
      </w:tr>
      <w:tr>
        <w:tc>
          <w:tcPr/>
          <w:p>
            <w:pPr>
              <w:pStyle w:val="Compact"/>
            </w:pPr>
            <w:r>
              <w:rPr>
                <w:rFonts w:ascii="Times New Roman" w:hAnsi="Times New Roman" w:eastAsia="Times New Roman" w:cs="Times New Roman"/>
                <w:i/>
                <w:iCs/>
                <w:sz w:val="20"/>
              </w:rPr>
              <w:t xml:space="preserve">BRCA1</w:t>
            </w:r>
          </w:p>
        </w:tc>
        <w:tc>
          <w:tcPr/>
          <w:p>
            <w:pPr>
              <w:pStyle w:val="Compact"/>
            </w:pPr>
            <m:oMath>
              <m:r>
                <m:rPr>
                  <m:sty m:val="p"/>
                </m:rPr>
                <m:t>−</m:t>
              </m:r>
              <m:r>
                <m:t>0.007</m:t>
              </m:r>
            </m:oMath>
          </w:p>
        </w:tc>
        <w:tc>
          <w:tcPr/>
          <w:p>
            <w:pPr>
              <w:pStyle w:val="Compact"/>
            </w:pPr>
            <w:r>
              <w:rPr>
                <w:rFonts w:ascii="Times New Roman" w:hAnsi="Times New Roman" w:eastAsia="Times New Roman" w:cs="Times New Roman"/>
                <w:sz w:val="20"/>
              </w:rPr>
              <w:t xml:space="preserve">0.0015</w:t>
            </w:r>
          </w:p>
        </w:tc>
        <w:tc>
          <w:tcPr/>
          <w:p>
            <w:pPr>
              <w:pStyle w:val="Compact"/>
            </w:pPr>
            <w:r>
              <w:rPr>
                <w:rFonts w:ascii="Times New Roman" w:hAnsi="Times New Roman" w:eastAsia="Times New Roman" w:cs="Times New Roman"/>
                <w:sz w:val="20"/>
              </w:rPr>
              <w:t xml:space="preserve">0.0009</w:t>
            </w:r>
          </w:p>
        </w:tc>
        <w:tc>
          <w:tcPr/>
          <w:p>
            <w:pPr>
              <w:pStyle w:val="Compact"/>
            </w:pPr>
            <w:r>
              <w:rPr>
                <w:rFonts w:ascii="Times New Roman" w:hAnsi="Times New Roman" w:eastAsia="Times New Roman" w:cs="Times New Roman"/>
                <w:sz w:val="20"/>
              </w:rPr>
              <w:t xml:space="preserve">Haploinsufficient; validated on Findlay assay [6] (</w:t>
            </w:r>
            <m:oMath>
              <m:r>
                <m:t>n</m:t>
              </m:r>
              <m:r>
                <m:rPr>
                  <m:sty m:val="p"/>
                </m:rPr>
                <m:t>=</m:t>
              </m:r>
              <m:r>
                <m:t>3893</m:t>
              </m:r>
            </m:oMath>
            <w:r>
              <w:rPr>
                <w:rFonts w:ascii="Times New Roman" w:hAnsi="Times New Roman" w:eastAsia="Times New Roman" w:cs="Times New Roman"/>
                <w:sz w:val="20"/>
              </w:rPr>
              <w:t xml:space="preserve">, AUROC=0.778)</w:t>
            </w:r>
          </w:p>
        </w:tc>
      </w:tr>
      <w:tr>
        <w:tc>
          <w:tcPr/>
          <w:p>
            <w:pPr>
              <w:pStyle w:val="Compact"/>
            </w:pPr>
            <w:r>
              <w:rPr>
                <w:rFonts w:ascii="Times New Roman" w:hAnsi="Times New Roman" w:eastAsia="Times New Roman" w:cs="Times New Roman"/>
                <w:i/>
                <w:iCs/>
                <w:sz w:val="20"/>
              </w:rPr>
              <w:t xml:space="preserve">BRCA2</w:t>
            </w:r>
          </w:p>
        </w:tc>
        <w:tc>
          <w:tcPr/>
          <w:p>
            <w:pPr>
              <w:pStyle w:val="Compact"/>
            </w:pPr>
            <m:oMath>
              <m:r>
                <m:rPr>
                  <m:sty m:val="p"/>
                </m:rPr>
                <m:t>−</m:t>
              </m:r>
              <m:r>
                <m:t>0.006</m:t>
              </m:r>
            </m:oMath>
          </w:p>
        </w:tc>
        <w:tc>
          <w:tcPr/>
          <w:p>
            <w:pPr>
              <w:pStyle w:val="Compact"/>
            </w:pPr>
            <w:r>
              <w:rPr>
                <w:rFonts w:ascii="Times New Roman" w:hAnsi="Times New Roman" w:eastAsia="Times New Roman" w:cs="Times New Roman"/>
                <w:sz w:val="20"/>
              </w:rPr>
              <w:t xml:space="preserve">0.0015</w:t>
            </w:r>
          </w:p>
        </w:tc>
        <w:tc>
          <w:tcPr/>
          <w:p>
            <w:pPr>
              <w:pStyle w:val="Compact"/>
            </w:pPr>
            <w:r>
              <w:rPr>
                <w:rFonts w:ascii="Times New Roman" w:hAnsi="Times New Roman" w:eastAsia="Times New Roman" w:cs="Times New Roman"/>
                <w:sz w:val="20"/>
              </w:rPr>
              <w:t xml:space="preserve">0.0009</w:t>
            </w:r>
          </w:p>
        </w:tc>
        <w:tc>
          <w:tcPr/>
          <w:p>
            <w:pPr>
              <w:pStyle w:val="Compact"/>
            </w:pPr>
            <w:r>
              <w:rPr>
                <w:rFonts w:ascii="Times New Roman" w:hAnsi="Times New Roman" w:eastAsia="Times New Roman" w:cs="Times New Roman"/>
                <w:sz w:val="20"/>
              </w:rPr>
              <w:t xml:space="preserve">Haploinsufficient</w:t>
            </w:r>
          </w:p>
        </w:tc>
      </w:tr>
      <w:tr>
        <w:tc>
          <w:tcPr/>
          <w:p>
            <w:pPr>
              <w:pStyle w:val="Compact"/>
            </w:pPr>
            <w:r>
              <w:rPr>
                <w:rFonts w:ascii="Times New Roman" w:hAnsi="Times New Roman" w:eastAsia="Times New Roman" w:cs="Times New Roman"/>
                <w:i/>
                <w:iCs/>
                <w:sz w:val="20"/>
              </w:rPr>
              <w:t xml:space="preserve">MSH2</w:t>
            </w:r>
          </w:p>
        </w:tc>
        <w:tc>
          <w:tcPr/>
          <w:p>
            <w:pPr>
              <w:pStyle w:val="Compact"/>
            </w:pPr>
            <m:oMath>
              <m:r>
                <m:rPr>
                  <m:sty m:val="p"/>
                </m:rPr>
                <m:t>−</m:t>
              </m:r>
              <m:r>
                <m:t>0.007</m:t>
              </m:r>
            </m:oMath>
          </w:p>
        </w:tc>
        <w:tc>
          <w:tcPr/>
          <w:p>
            <w:pPr>
              <w:pStyle w:val="Compact"/>
            </w:pPr>
            <w:r>
              <w:rPr>
                <w:rFonts w:ascii="Times New Roman" w:hAnsi="Times New Roman" w:eastAsia="Times New Roman" w:cs="Times New Roman"/>
                <w:sz w:val="20"/>
              </w:rPr>
              <w:t xml:space="preserve">0.0015</w:t>
            </w:r>
          </w:p>
        </w:tc>
        <w:tc>
          <w:tcPr/>
          <w:p>
            <w:pPr>
              <w:pStyle w:val="Compact"/>
            </w:pPr>
            <w:r>
              <w:rPr>
                <w:rFonts w:ascii="Times New Roman" w:hAnsi="Times New Roman" w:eastAsia="Times New Roman" w:cs="Times New Roman"/>
                <w:sz w:val="20"/>
              </w:rPr>
              <w:t xml:space="preserve">0.0009</w:t>
            </w:r>
          </w:p>
        </w:tc>
        <w:tc>
          <w:tcPr/>
          <w:p>
            <w:pPr>
              <w:pStyle w:val="Compact"/>
            </w:pPr>
            <w:r>
              <w:rPr>
                <w:rFonts w:ascii="Times New Roman" w:hAnsi="Times New Roman" w:eastAsia="Times New Roman" w:cs="Times New Roman"/>
                <w:sz w:val="20"/>
              </w:rPr>
              <w:t xml:space="preserve">Lynch syndrome; high penetrance</w:t>
            </w:r>
          </w:p>
        </w:tc>
      </w:tr>
      <w:tr>
        <w:tc>
          <w:tcPr/>
          <w:p>
            <w:pPr>
              <w:pStyle w:val="Compact"/>
            </w:pPr>
            <w:r>
              <w:rPr>
                <w:rFonts w:ascii="Times New Roman" w:hAnsi="Times New Roman" w:eastAsia="Times New Roman" w:cs="Times New Roman"/>
                <w:i/>
                <w:iCs/>
                <w:sz w:val="20"/>
              </w:rPr>
              <w:t xml:space="preserve">PTEN</w:t>
            </w:r>
          </w:p>
        </w:tc>
        <w:tc>
          <w:tcPr/>
          <w:p>
            <w:pPr>
              <w:pStyle w:val="Compact"/>
            </w:pPr>
            <m:oMath>
              <m:r>
                <m:rPr>
                  <m:sty m:val="p"/>
                </m:rPr>
                <m:t>−</m:t>
              </m:r>
              <m:r>
                <m:t>0.004</m:t>
              </m:r>
            </m:oMath>
          </w:p>
        </w:tc>
        <w:tc>
          <w:tcPr/>
          <w:p>
            <w:pPr>
              <w:pStyle w:val="Compact"/>
            </w:pPr>
            <w:r>
              <w:rPr>
                <w:rFonts w:ascii="Times New Roman" w:hAnsi="Times New Roman" w:eastAsia="Times New Roman" w:cs="Times New Roman"/>
                <w:sz w:val="20"/>
              </w:rPr>
              <w:t xml:space="preserve">0.0015</w:t>
            </w:r>
          </w:p>
        </w:tc>
        <w:tc>
          <w:tcPr/>
          <w:p>
            <w:pPr>
              <w:pStyle w:val="Compact"/>
            </w:pPr>
            <w:r>
              <w:rPr>
                <w:rFonts w:ascii="Times New Roman" w:hAnsi="Times New Roman" w:eastAsia="Times New Roman" w:cs="Times New Roman"/>
                <w:sz w:val="20"/>
              </w:rPr>
              <w:t xml:space="preserve">0.0009</w:t>
            </w:r>
          </w:p>
        </w:tc>
        <w:tc>
          <w:tcPr/>
          <w:p>
            <w:pPr>
              <w:pStyle w:val="Compact"/>
            </w:pPr>
            <w:r>
              <w:rPr>
                <w:rFonts w:ascii="Times New Roman" w:hAnsi="Times New Roman" w:eastAsia="Times New Roman" w:cs="Times New Roman"/>
                <w:sz w:val="20"/>
              </w:rPr>
              <w:t xml:space="preserve">Haploinsufficient; Cowden syndrome</w:t>
            </w:r>
          </w:p>
        </w:tc>
      </w:tr>
    </w:tbl>
    <w:p>
      <w:pPr>
        <w:pStyle w:val="BodyText"/>
      </w:pPr>
      <w:r>
        <w:rPr>
          <w:rFonts w:ascii="Times New Roman" w:hAnsi="Times New Roman" w:eastAsia="Times New Roman" w:cs="Times New Roman"/>
          <w:sz w:val="24"/>
        </w:rPr>
        <w:t xml:space="preserve">Dominant-negative genes (e.g.,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TP53</w:t>
      </w:r>
      <w:r>
        <w:rPr>
          <w:rFonts w:ascii="Times New Roman" w:hAnsi="Times New Roman" w:eastAsia="Times New Roman" w:cs="Times New Roman"/>
          <w:sz w:val="24"/>
        </w:rPr>
        <w:t xml:space="preserve">) use stricter thresholds (</w:t>
      </w:r>
      <m:oMath>
        <m:d>
          <m:dPr>
            <m:begChr m:val="|"/>
            <m:endChr m:val="|"/>
            <m:sepChr m:val=""/>
            <m:grow/>
          </m:dPr>
          <m:e>
            <m:sSub>
              <m:e>
                <m:r>
                  <m:t>τ</m:t>
                </m:r>
              </m:e>
              <m:sub>
                <m:r>
                  <m:t>g</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smaller) because mutant proteins can interfere with wild-type function, making even subtle changes pathogenic. Haploinsufficient genes (e.g.,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BRCA1</w:t>
      </w:r>
      <w:r>
        <w:rPr>
          <w:rFonts w:ascii="Times New Roman" w:hAnsi="Times New Roman" w:eastAsia="Times New Roman" w:cs="Times New Roman"/>
          <w:sz w:val="24"/>
        </w:rPr>
        <w:t xml:space="preserve">) tolerate moderate thresholds because pathogenicity requires near-complete loss of function.</w:t>
      </w:r>
    </w:p>
    <w:p>
      <w:pPr>
        <w:pStyle w:val="BodyText"/>
      </w:pPr>
      <w:r>
        <w:rPr>
          <w:rFonts w:ascii="Times New Roman" w:hAnsi="Times New Roman" w:eastAsia="Times New Roman" w:cs="Times New Roman"/>
          <w:sz w:val="24"/>
        </w:rPr>
        <w:t xml:space="preserve">The variance parameters</w:t>
      </w:r>
      <w:r>
        <w:rPr>
          <w:rFonts w:ascii="Times New Roman" w:hAnsi="Times New Roman" w:eastAsia="Times New Roman" w:cs="Times New Roman"/>
          <w:sz w:val="24"/>
        </w:rPr>
        <w:t xml:space="preserve"> </w:t>
      </w:r>
      <m:oMath>
        <m:sSub>
          <m:e>
            <m:r>
              <m:t>σ</m:t>
            </m:r>
          </m:e>
          <m:sub>
            <m:r>
              <m:rPr>
                <m:nor/>
                <m:sty m:val="p"/>
              </m:rPr>
              <m:t>LOF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σ</m:t>
            </m:r>
          </m:e>
          <m:sub>
            <m:r>
              <m:rPr>
                <m:nor/>
                <m:sty m:val="p"/>
              </m:rPr>
              <m:t>func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currently shared across all five genes. Ideally, these would be calibrated per gene from functional assay data, as the delta score distribution differs between genes due to differences in gene length, domain architecture, and evolutionary rate. However, gene-specific calibration requires sufficient functional assay data per gene — the Findlay BRCA1 saturation dataset [6] (</w:t>
      </w:r>
      <m:oMath>
        <m:r>
          <m:t>n</m:t>
        </m:r>
        <m:r>
          <m:rPr>
            <m:sty m:val="p"/>
          </m:rPr>
          <m:t>=</m:t>
        </m:r>
        <m:r>
          <m:t>3893</m:t>
        </m:r>
      </m:oMath>
      <w:r>
        <w:rPr>
          <w:rFonts w:ascii="Times New Roman" w:hAnsi="Times New Roman" w:eastAsia="Times New Roman" w:cs="Times New Roman"/>
          <w:sz w:val="24"/>
        </w:rPr>
        <w:t xml:space="preserve">) is the only assay with adequate coverage. For the remaining four genes, the number of validated loss-of-function and functional variants in ClinVar is insufficient to estimate gene-specific</w:t>
      </w:r>
      <w:r>
        <w:rPr>
          <w:rFonts w:ascii="Times New Roman" w:hAnsi="Times New Roman" w:eastAsia="Times New Roman" w:cs="Times New Roman"/>
          <w:sz w:val="24"/>
        </w:rPr>
        <w:t xml:space="preserve"> </w:t>
      </w:r>
      <m:oMath>
        <m:r>
          <m:t>σ</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reliably (</w:t>
      </w:r>
      <m:oMath>
        <m:r>
          <m:t>n</m:t>
        </m:r>
        <m:r>
          <m:rPr>
            <m:sty m:val="p"/>
          </m:rPr>
          <m:t>&lt;</m:t>
        </m:r>
        <m:r>
          <m:t>50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 gene per category). We therefore use a shared</w:t>
      </w:r>
      <w:r>
        <w:rPr>
          <w:rFonts w:ascii="Times New Roman" w:hAnsi="Times New Roman" w:eastAsia="Times New Roman" w:cs="Times New Roman"/>
          <w:sz w:val="24"/>
        </w:rPr>
        <w:t xml:space="preserve"> </w:t>
      </w:r>
      <m:oMath>
        <m:r>
          <m:t>σ</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estimated from the pooled Findlay dataset as a regularized prior, accepting a small bias in confidence calibration for non-BRCA1 genes in exchange for reduced variance in the estimate. As larger saturation mutagenesis datasets become available for additional genes (e.g., the Atlas of Variant Effects [99]), gene-specific</w:t>
      </w:r>
      <w:r>
        <w:rPr>
          <w:rFonts w:ascii="Times New Roman" w:hAnsi="Times New Roman" w:eastAsia="Times New Roman" w:cs="Times New Roman"/>
          <w:sz w:val="24"/>
        </w:rPr>
        <w:t xml:space="preserve"> </w:t>
      </w:r>
      <m:oMath>
        <m:r>
          <m:t>σ</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 will replace the shared parameters.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backend/paper/figure_gene_thresholds.png</w:t>
      </w:r>
    </w:p>
    <w:p>
      <w:pPr>
        <w:pStyle w:val="Caption"/>
      </w:pPr>
      <w:bookmarkStart w:id="95706" w:name="_Fig1"/>
      <w:r>
        <w:rPr>
          <w:rFonts w:ascii="Times New Roman" w:hAnsi="Times New Roman" w:eastAsia="Times New Roman" w:cs="Times New Roman"/>
          <w:b/>
          <w:bCs/>
          <w:sz w:val="24"/>
        </w:rPr>
        <w:t xml:space="preserve">Figure 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Gene-specific Evo2 classification thresholds.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Pathogenic threshold</w:t>
      </w:r>
      <w:r>
        <w:rPr>
          <w:rFonts w:ascii="Times New Roman" w:hAnsi="Times New Roman" w:eastAsia="Times New Roman" w:cs="Times New Roman"/>
          <w:sz w:val="24"/>
        </w:rPr>
        <w:t xml:space="preserve"> </w:t>
      </w:r>
      <m:oMath>
        <m:sSub>
          <m:e>
            <m:r>
              <m:t>τ</m:t>
            </m:r>
          </m:e>
          <m:sub>
            <m:r>
              <m:t>g</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(red bars) and benign threshold</w:t>
      </w:r>
      <w:r>
        <w:rPr>
          <w:rFonts w:ascii="Times New Roman" w:hAnsi="Times New Roman" w:eastAsia="Times New Roman" w:cs="Times New Roman"/>
          <w:sz w:val="24"/>
        </w:rPr>
        <w:t xml:space="preserve"> </w:t>
      </w:r>
      <m:oMath>
        <m:d>
          <m:dPr>
            <m:begChr m:val="|"/>
            <m:endChr m:val="|"/>
            <m:sepChr m:val=""/>
            <m:grow/>
          </m:dPr>
          <m:e>
            <m:sSub>
              <m:e>
                <m:r>
                  <m:t>τ</m:t>
                </m:r>
              </m:e>
              <m:sub>
                <m:r>
                  <m:t>g</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(blue markers) for five clinically actionable genes, with</w:t>
      </w:r>
      <w:r>
        <w:rPr>
          <w:rFonts w:ascii="Times New Roman" w:hAnsi="Times New Roman" w:eastAsia="Times New Roman" w:cs="Times New Roman"/>
          <w:sz w:val="24"/>
        </w:rPr>
        <w:t xml:space="preserve"> </w:t>
      </w:r>
      <m:oMath>
        <m:r>
          <m:rPr>
            <m:sty m:val="p"/>
          </m:rPr>
          <m:t>±</m:t>
        </m:r>
        <m:sSub>
          <m:e>
            <m:r>
              <m:t>σ</m:t>
            </m:r>
          </m:e>
          <m:sub>
            <m:r>
              <m:rPr>
                <m:nor/>
                <m:sty m:val="p"/>
              </m:rPr>
              <m:t>LOF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error bars indicating the standard deviation of delta scores for loss-of-function variants.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TP53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exhibits the narrowest decision boundary (</w:t>
      </w:r>
      <m:oMath>
        <m:sSub>
          <m:e>
            <m:r>
              <m:t>τ</m:t>
            </m:r>
          </m:e>
          <m:sub>
            <m:r>
              <m:t>g</m:t>
            </m:r>
          </m:sub>
        </m:sSub>
        <m:r>
          <m:rPr>
            <m:sty m:val="p"/>
          </m:rPr>
          <m:t>=</m:t>
        </m:r>
        <m:r>
          <m:rPr>
            <m:sty m:val="p"/>
          </m:rPr>
          <m:t>−</m:t>
        </m:r>
        <m:r>
          <m:t>0.003</m:t>
        </m:r>
      </m:oMath>
      <w:r>
        <w:rPr>
          <w:rFonts w:ascii="Times New Roman" w:hAnsi="Times New Roman" w:eastAsia="Times New Roman" w:cs="Times New Roman"/>
          <w:sz w:val="24"/>
        </w:rPr>
        <w:t xml:space="preserve">), reflecting its dominant-negative disease mechanism in which even subtle protein alterations can interfere with wild-type p53 tetramer function.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BRCA1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MSH2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employ the widest boundaries (</w:t>
      </w:r>
      <m:oMath>
        <m:sSub>
          <m:e>
            <m:r>
              <m:t>τ</m:t>
            </m:r>
          </m:e>
          <m:sub>
            <m:r>
              <m:t>g</m:t>
            </m:r>
          </m:sub>
        </m:sSub>
        <m:r>
          <m:rPr>
            <m:sty m:val="p"/>
          </m:rPr>
          <m:t>=</m:t>
        </m:r>
        <m:r>
          <m:rPr>
            <m:sty m:val="p"/>
          </m:rPr>
          <m:t>−</m:t>
        </m:r>
        <m:r>
          <m:t>0.007</m:t>
        </m:r>
      </m:oMath>
      <w:r>
        <w:rPr>
          <w:rFonts w:ascii="Times New Roman" w:hAnsi="Times New Roman" w:eastAsia="Times New Roman" w:cs="Times New Roman"/>
          <w:sz w:val="24"/>
        </w:rPr>
        <w:t xml:space="preserve">), consistent with haploinsufficient mechanisms requiring near-complete loss of function.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Decision boundary visualization along the Evo2</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score axis. Red regions denote pathogenic classifications (</w:t>
      </w:r>
      <m:oMath>
        <m:r>
          <m:t>Δ</m:t>
        </m:r>
        <m:r>
          <m:rPr>
            <m:sty m:val="p"/>
          </m:rPr>
          <m:t>&lt;</m:t>
        </m:r>
        <m:sSub>
          <m:e>
            <m:r>
              <m:t>τ</m:t>
            </m:r>
          </m:e>
          <m:sub>
            <m:r>
              <m:t>g</m:t>
            </m:r>
          </m:sub>
        </m:sSub>
      </m:oMath>
      <w:r>
        <w:rPr>
          <w:rFonts w:ascii="Times New Roman" w:hAnsi="Times New Roman" w:eastAsia="Times New Roman" w:cs="Times New Roman"/>
          <w:sz w:val="24"/>
        </w:rPr>
        <w:t xml:space="preserve">), orange regions denote variants of uncertain significance (</w:t>
      </w:r>
      <m:oMath>
        <m:sSub>
          <m:e>
            <m:r>
              <m:t>τ</m:t>
            </m:r>
          </m:e>
          <m:sub>
            <m:r>
              <m:t>g</m:t>
            </m:r>
          </m:sub>
        </m:sSub>
        <m:r>
          <m:rPr>
            <m:sty m:val="p"/>
          </m:rPr>
          <m:t>≤</m:t>
        </m:r>
        <m:r>
          <m:t>Δ</m:t>
        </m:r>
        <m:r>
          <m:rPr>
            <m:sty m:val="p"/>
          </m:rPr>
          <m:t>≤</m:t>
        </m:r>
        <m:d>
          <m:dPr>
            <m:begChr m:val="|"/>
            <m:endChr m:val="|"/>
            <m:sepChr m:val=""/>
            <m:grow/>
          </m:dPr>
          <m:e>
            <m:sSub>
              <m:e>
                <m:r>
                  <m:t>τ</m:t>
                </m:r>
              </m:e>
              <m:sub>
                <m:r>
                  <m:t>g</m:t>
                </m:r>
              </m:sub>
            </m:sSub>
          </m:e>
        </m:d>
      </m:oMath>
      <w:r>
        <w:rPr>
          <w:rFonts w:ascii="Times New Roman" w:hAnsi="Times New Roman" w:eastAsia="Times New Roman" w:cs="Times New Roman"/>
          <w:sz w:val="24"/>
        </w:rPr>
        <w:t xml:space="preserve">), and blue regions denote benign classifications (</w:t>
      </w:r>
      <m:oMath>
        <m:r>
          <m:t>Δ</m:t>
        </m:r>
        <m:r>
          <m:rPr>
            <m:sty m:val="p"/>
          </m:rPr>
          <m:t>&gt;</m:t>
        </m:r>
        <m:d>
          <m:dPr>
            <m:begChr m:val="|"/>
            <m:endChr m:val="|"/>
            <m:sepChr m:val=""/>
            <m:grow/>
          </m:dPr>
          <m:e>
            <m:sSub>
              <m:e>
                <m:r>
                  <m:t>τ</m:t>
                </m:r>
              </m:e>
              <m:sub>
                <m:r>
                  <m:t>g</m:t>
                </m:r>
              </m:sub>
            </m:sSub>
          </m:e>
        </m:d>
      </m:oMath>
      <w:r>
        <w:rPr>
          <w:rFonts w:ascii="Times New Roman" w:hAnsi="Times New Roman" w:eastAsia="Times New Roman" w:cs="Times New Roman"/>
          <w:sz w:val="24"/>
        </w:rPr>
        <w:t xml:space="preserve">). Disease mechanisms are annotated at right. The VUS region width is inversely proportional to</w:t>
      </w:r>
      <w:r>
        <w:rPr>
          <w:rFonts w:ascii="Times New Roman" w:hAnsi="Times New Roman" w:eastAsia="Times New Roman" w:cs="Times New Roman"/>
          <w:sz w:val="24"/>
        </w:rPr>
        <w:t xml:space="preserve"> </w:t>
      </w:r>
      <m:oMath>
        <m:d>
          <m:dPr>
            <m:begChr m:val="|"/>
            <m:endChr m:val="|"/>
            <m:sepChr m:val=""/>
            <m:grow/>
          </m:dPr>
          <m:e>
            <m:sSub>
              <m:e>
                <m:r>
                  <m:t>τ</m:t>
                </m:r>
              </m:e>
              <m:sub>
                <m:r>
                  <m:t>g</m:t>
                </m:r>
              </m:sub>
            </m:sSub>
          </m:e>
        </m:d>
      </m:oMath>
      <w:r>
        <w:rPr>
          <w:rFonts w:ascii="Times New Roman" w:hAnsi="Times New Roman" w:eastAsia="Times New Roman" w:cs="Times New Roman"/>
          <w:sz w:val="24"/>
        </w:rPr>
        <w:t xml:space="preserve">: genes with stricter thresholds (e.g.,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TP53</w:t>
      </w:r>
      <w:r>
        <w:rPr>
          <w:rFonts w:ascii="Times New Roman" w:hAnsi="Times New Roman" w:eastAsia="Times New Roman" w:cs="Times New Roman"/>
          <w:sz w:val="24"/>
        </w:rPr>
        <w:t xml:space="preserve">) have narrower uncertainty bands, reducing the fraction of variants classified as VUS at the cost of higher sensitivity to borderline pathogenic calls.</w:t>
      </w:r>
      <w:bookmarkEnd w:id="95706"/>
    </w:p>
    <w:bookmarkEnd w:id="46"/>
    <w:bookmarkStart w:id="51" w:name="Xbd7eb5e3a506e0adb7b90b3aaa74c914591c72a"/>
    <w:p>
      <w:pPr>
        <w:pStyle w:val="Heading3"/>
      </w:pPr>
      <w:r>
        <w:rPr>
          <w:rFonts w:ascii="Times New Roman" w:hAnsi="Times New Roman" w:eastAsia="Times New Roman" w:cs="Times New Roman"/>
          <w:sz w:val="24"/>
        </w:rPr>
        <w:t xml:space="preserve">6.6 High-Resolution In-Silico Mutagenesis (ISM) for Local Constraint Mapping</w:t>
      </w:r>
    </w:p>
    <w:bookmarkStart w:id="47" w:name="biological-rationale"/>
    <w:p>
      <w:pPr>
        <w:pStyle w:val="Heading4"/>
      </w:pPr>
      <w:r>
        <w:rPr>
          <w:rFonts w:ascii="Times New Roman" w:hAnsi="Times New Roman" w:eastAsia="Times New Roman" w:cs="Times New Roman"/>
          <w:sz w:val="24"/>
        </w:rPr>
        <w:t xml:space="preserve">6.6.1 Biological Rationale</w:t>
      </w:r>
    </w:p>
    <w:p>
      <w:pPr>
        <w:pStyle w:val="FirstParagraph"/>
      </w:pPr>
      <w:r>
        <w:rPr>
          <w:rFonts w:ascii="Times New Roman" w:hAnsi="Times New Roman" w:eastAsia="Times New Roman" w:cs="Times New Roman"/>
          <w:sz w:val="24"/>
        </w:rPr>
        <w:t xml:space="preserve">Traditional variant effect predictors (CADD [3], REVEL [4], AlphaMissense [2]) evaluate each mutation in isolation, collapsing the surrounding genomic architecture into a single scalar score. However, the pathogenicity of a variant is intrinsically tied to its local genomic neighborhood. A missense substitution at a highly conserved residue within a functional domain carries different clinical implications than the same substitution in a disordered linker region, yet single-position predictors cannot distinguish these contexts without external domain annotations.</w:t>
      </w:r>
    </w:p>
    <w:p>
      <w:pPr>
        <w:pStyle w:val="BodyText"/>
      </w:pPr>
      <w:r>
        <w:rPr>
          <w:rFonts w:ascii="Times New Roman" w:hAnsi="Times New Roman" w:eastAsia="Times New Roman" w:cs="Times New Roman"/>
          <w:sz w:val="24"/>
        </w:rPr>
        <w:t xml:space="preserve">To capture this spatial context, the system implements an in-silico mutagenesis (ISM) scan — a computational saturation mutagenesis assay that systematically perturbs every nucleotide in a local window around the variant and queries Evo2 for the resulting likelihood shift. This generates a high-resolution topological map of evolutionary constraint, revealing functional boundaries such as cryptic splice sites, regulatory motifs, and conserved protein-binding domains. The constraint profile provides mechanistic evidence that isolated scoring fundamentally lacks: rather than asking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this variant pathogenic?”</w:t>
      </w:r>
      <w:r>
        <w:rPr>
          <w:rFonts w:ascii="Times New Roman" w:hAnsi="Times New Roman" w:eastAsia="Times New Roman" w:cs="Times New Roman"/>
          <w:sz w:val="24"/>
        </w:rPr>
        <w:t xml:space="preserve">, the ISM scan asks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this variant located in a region where the genome is intolerant to any mutation?”</w:t>
      </w:r>
    </w:p>
    <w:bookmarkEnd w:id="47"/>
    <w:bookmarkStart w:id="48" w:name="mathematical-formalism"/>
    <w:p>
      <w:pPr>
        <w:pStyle w:val="Heading4"/>
      </w:pPr>
      <w:r>
        <w:rPr>
          <w:rFonts w:ascii="Times New Roman" w:hAnsi="Times New Roman" w:eastAsia="Times New Roman" w:cs="Times New Roman"/>
          <w:sz w:val="24"/>
        </w:rPr>
        <w:t xml:space="preserve">6.6.2 Mathematical Formalism</w:t>
      </w:r>
    </w:p>
    <w:p>
      <w:pPr>
        <w:pStyle w:val="FirstParagraph"/>
      </w:pPr>
      <w:r>
        <w:rPr>
          <w:rFonts w:ascii="Times New Roman" w:hAnsi="Times New Roman" w:eastAsia="Times New Roman" w:cs="Times New Roman"/>
          <w:sz w:val="24"/>
        </w:rPr>
        <w:t xml:space="preserve">The ISM scan quantifies the evolutionary permissiveness of the local sequence space under the learned parameters</w:t>
      </w:r>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the Evo2-7B model. For a variant at position</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we define a local genomic window</w:t>
      </w:r>
      <w:r>
        <w:rPr>
          <w:rFonts w:ascii="Times New Roman" w:hAnsi="Times New Roman" w:eastAsia="Times New Roman" w:cs="Times New Roman"/>
          <w:sz w:val="24"/>
        </w:rPr>
        <w:t xml:space="preserve"> </w:t>
      </w:r>
      <m:oMath>
        <m:r>
          <m:t>W</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radius</w:t>
      </w:r>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(default</w:t>
      </w:r>
      <w:r>
        <w:rPr>
          <w:rFonts w:ascii="Times New Roman" w:hAnsi="Times New Roman" w:eastAsia="Times New Roman" w:cs="Times New Roman"/>
          <w:sz w:val="24"/>
        </w:rPr>
        <w:t xml:space="preserve"> </w:t>
      </w:r>
      <m:oMath>
        <m:r>
          <m:t>r</m:t>
        </m:r>
        <m:r>
          <m:rPr>
            <m:sty m:val="p"/>
          </m:rPr>
          <m:t>=</m:t>
        </m:r>
        <m:r>
          <m:t>20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yielding</w:t>
      </w:r>
      <w:r>
        <w:rPr>
          <w:rFonts w:ascii="Times New Roman" w:hAnsi="Times New Roman" w:eastAsia="Times New Roman" w:cs="Times New Roman"/>
          <w:sz w:val="24"/>
        </w:rPr>
        <w:t xml:space="preserve"> </w:t>
      </w:r>
      <m:oMath>
        <m:r>
          <m:t>N</m:t>
        </m:r>
        <m:r>
          <m:rPr>
            <m:sty m:val="p"/>
          </m:rPr>
          <m:t>=</m:t>
        </m:r>
        <m:r>
          <m:t>2</m:t>
        </m:r>
        <m:r>
          <m:t>r</m:t>
        </m:r>
        <m:r>
          <m:rPr>
            <m:sty m:val="p"/>
          </m:rPr>
          <m:t>+</m:t>
        </m:r>
        <m:r>
          <m:t>1</m:t>
        </m:r>
        <m:r>
          <m:rPr>
            <m:sty m:val="p"/>
          </m:rPr>
          <m:t>=</m:t>
        </m:r>
        <m:r>
          <m:t>41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positions). For each position</w:t>
      </w:r>
      <w:r>
        <w:rPr>
          <w:rFonts w:ascii="Times New Roman" w:hAnsi="Times New Roman" w:eastAsia="Times New Roman" w:cs="Times New Roman"/>
          <w:sz w:val="24"/>
        </w:rPr>
        <w:t xml:space="preserve"> </w:t>
      </w:r>
      <m:oMath>
        <m:r>
          <m:t>i</m:t>
        </m:r>
        <m:r>
          <m:rPr>
            <m:sty m:val="p"/>
          </m:rPr>
          <m:t>∈</m:t>
        </m:r>
        <m:r>
          <m:t>W</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each alternative nucleotide</w:t>
      </w:r>
      <w:r>
        <w:rPr>
          <w:rFonts w:ascii="Times New Roman" w:hAnsi="Times New Roman" w:eastAsia="Times New Roman" w:cs="Times New Roman"/>
          <w:sz w:val="24"/>
        </w:rPr>
        <w:t xml:space="preserve"> </w:t>
      </w:r>
      <m:oMath>
        <m:r>
          <m:t>a</m:t>
        </m:r>
        <m:r>
          <m:rPr>
            <m:sty m:val="p"/>
          </m:rPr>
          <m:t>∈</m:t>
        </m:r>
        <m:r>
          <m:rPr>
            <m:sty m:val="p"/>
          </m:rPr>
          <m:t>{</m:t>
        </m:r>
        <m:r>
          <m:rPr>
            <m:nor/>
            <m:sty m:val="p"/>
          </m:rPr>
          <m:t>A, C, G, T</m:t>
        </m:r>
        <m:r>
          <m:rPr>
            <m:sty m:val="p"/>
          </m:rPr>
          <m:t>}</m:t>
        </m:r>
        <m:r>
          <m:rPr>
            <m:sty m:val="p"/>
          </m:rPr>
          <m:t>\</m:t>
        </m:r>
        <m:r>
          <m:rPr>
            <m:sty m:val="p"/>
          </m:rPr>
          <m:t>{</m:t>
        </m:r>
        <m:sSub>
          <m:e>
            <m:r>
              <m:t>S</m:t>
            </m:r>
          </m:e>
          <m:sub>
            <m:r>
              <m:rPr>
                <m:nor/>
                <m:sty m:val="p"/>
              </m:rPr>
              <m:t>ref</m:t>
            </m:r>
          </m:sub>
        </m:sSub>
        <m:d>
          <m:dPr>
            <m:begChr m:val="["/>
            <m:endChr m:val="]"/>
            <m:sepChr m:val=""/>
            <m:grow/>
          </m:dPr>
          <m:e>
            <m:r>
              <m:t>i</m:t>
            </m:r>
          </m:e>
        </m:d>
        <m:r>
          <m:rPr>
            <m:sty m:val="p"/>
          </m:rPr>
          <m:t>}</m:t>
        </m:r>
      </m:oMath>
      <w:r>
        <w:rPr>
          <w:rFonts w:ascii="Times New Roman" w:hAnsi="Times New Roman" w:eastAsia="Times New Roman" w:cs="Times New Roman"/>
          <w:sz w:val="24"/>
        </w:rPr>
        <w:t xml:space="preserve">, we construct a perturbed sequence</w:t>
      </w:r>
      <w:r>
        <w:rPr>
          <w:rFonts w:ascii="Times New Roman" w:hAnsi="Times New Roman" w:eastAsia="Times New Roman" w:cs="Times New Roman"/>
          <w:sz w:val="24"/>
        </w:rPr>
        <w:t xml:space="preserve"> </w:t>
      </w:r>
      <m:oMath>
        <m:sSub>
          <m:e>
            <m:r>
              <m:t>S</m:t>
            </m:r>
          </m:e>
          <m:sub>
            <m:r>
              <m:t>i</m:t>
            </m:r>
            <m:r>
              <m:rPr>
                <m:sty m:val="p"/>
              </m:rPr>
              <m:t>→</m:t>
            </m:r>
            <m:r>
              <m:t>a</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substituting the nucleotide at position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The evolutionary log-likelihood shift is:</w:t>
      </w:r>
    </w:p>
    <w:p>
      <w:pPr>
        <w:pStyle w:val="BodyText"/>
      </w:pPr>
      <m:oMathPara>
        <m:oMathParaPr>
          <m:jc m:val="center"/>
        </m:oMathParaPr>
        <m:oMath>
          <m:sSub>
            <m:e>
              <m:r>
                <m:t>δ</m:t>
              </m:r>
            </m:e>
            <m:sub>
              <m:r>
                <m:t>i</m:t>
              </m:r>
              <m:r>
                <m:rPr>
                  <m:sty m:val="p"/>
                </m:rPr>
                <m:t>,</m:t>
              </m:r>
              <m:r>
                <m:t>a</m:t>
              </m:r>
            </m:sub>
          </m:sSub>
          <m:r>
            <m:rPr>
              <m:sty m:val="p"/>
            </m:rPr>
            <m:t>=</m:t>
          </m:r>
          <m:r>
            <m:rPr>
              <m:sty m:val="p"/>
            </m:rPr>
            <m:t>log</m:t>
          </m:r>
          <m:r>
            <m:t>P</m:t>
          </m:r>
          <m:d>
            <m:dPr>
              <m:begChr m:val="("/>
              <m:endChr m:val=")"/>
              <m:sepChr m:val=""/>
              <m:grow/>
            </m:dPr>
            <m:e>
              <m:sSub>
                <m:e>
                  <m:r>
                    <m:t>S</m:t>
                  </m:r>
                </m:e>
                <m:sub>
                  <m:r>
                    <m:t>i</m:t>
                  </m:r>
                  <m:r>
                    <m:rPr>
                      <m:sty m:val="p"/>
                    </m:rPr>
                    <m:t>→</m:t>
                  </m:r>
                  <m:r>
                    <m:t>a</m:t>
                  </m:r>
                </m:sub>
              </m:sSub>
              <m:r>
                <m:rPr>
                  <m:sty m:val="p"/>
                </m:rPr>
                <m:t>∣</m:t>
              </m:r>
              <m:r>
                <m:t>θ</m:t>
              </m:r>
            </m:e>
          </m:d>
          <m:r>
            <m:rPr>
              <m:sty m:val="p"/>
            </m:rPr>
            <m:t>−</m:t>
          </m:r>
          <m:r>
            <m:rPr>
              <m:sty m:val="p"/>
            </m:rPr>
            <m:t>log</m:t>
          </m:r>
          <m:r>
            <m:t>P</m:t>
          </m:r>
          <m:d>
            <m:dPr>
              <m:begChr m:val="("/>
              <m:endChr m:val=")"/>
              <m:sepChr m:val=""/>
              <m:grow/>
            </m:dPr>
            <m:e>
              <m:sSub>
                <m:e>
                  <m:r>
                    <m:t>S</m:t>
                  </m:r>
                </m:e>
                <m:sub>
                  <m:r>
                    <m:rPr>
                      <m:nor/>
                      <m:sty m:val="p"/>
                    </m:rPr>
                    <m:t>ref</m:t>
                  </m:r>
                </m:sub>
              </m:sSub>
              <m:r>
                <m:rPr>
                  <m:sty m:val="p"/>
                </m:rPr>
                <m:t>∣</m:t>
              </m:r>
              <m:r>
                <m:t>θ</m:t>
              </m:r>
            </m:e>
          </m:d>
        </m:oMath>
      </m:oMathPara>
    </w:p>
    <w:p>
      <w:pPr>
        <w:pStyle w:val="FirstParagraph"/>
      </w:pPr>
      <w:r>
        <w:rPr>
          <w:rFonts w:ascii="Times New Roman" w:hAnsi="Times New Roman" w:eastAsia="Times New Roman" w:cs="Times New Roman"/>
          <w:sz w:val="24"/>
        </w:rPr>
        <w:t xml:space="preserve">This perturbation protocol generates a</w:t>
      </w:r>
      <w:r>
        <w:rPr>
          <w:rFonts w:ascii="Times New Roman" w:hAnsi="Times New Roman" w:eastAsia="Times New Roman" w:cs="Times New Roman"/>
          <w:sz w:val="24"/>
        </w:rPr>
        <w:t xml:space="preserve"> </w:t>
      </w:r>
      <m:oMath>
        <m:r>
          <m:t>3</m:t>
        </m:r>
        <m:r>
          <m:rPr>
            <m:sty m:val="p"/>
          </m:rPr>
          <m:t>×</m:t>
        </m:r>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dense constraint matrix</w:t>
      </w:r>
      <w:r>
        <w:rPr>
          <w:rFonts w:ascii="Times New Roman" w:hAnsi="Times New Roman" w:eastAsia="Times New Roman" w:cs="Times New Roman"/>
          <w:sz w:val="24"/>
        </w:rPr>
        <w:t xml:space="preserve"> </w:t>
      </w:r>
      <m:oMath>
        <m:r>
          <m:rPr>
            <m:sty m:val="b"/>
          </m:rPr>
          <m:t>D</m:t>
        </m:r>
        <m:r>
          <m:rPr>
            <m:sty m:val="p"/>
          </m:rPr>
          <m:t>∈</m:t>
        </m:r>
        <m:sSup>
          <m:e>
            <m:r>
              <m:rPr>
                <m:sty m:val="p"/>
                <m:scr m:val="double-struck"/>
              </m:rPr>
              <m:t>R</m:t>
            </m:r>
          </m:e>
          <m:sup>
            <m:r>
              <m:t>3</m:t>
            </m:r>
            <m:r>
              <m:rPr>
                <m:sty m:val="p"/>
              </m:rPr>
              <m:t>×</m:t>
            </m:r>
            <m:r>
              <m:t>41</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(three alternative nucleotides per position). A negative</w:t>
      </w:r>
      <w:r>
        <w:rPr>
          <w:rFonts w:ascii="Times New Roman" w:hAnsi="Times New Roman" w:eastAsia="Times New Roman" w:cs="Times New Roman"/>
          <w:sz w:val="24"/>
        </w:rPr>
        <w:t xml:space="preserve"> </w:t>
      </w:r>
      <m:oMath>
        <m:sSub>
          <m:e>
            <m:r>
              <m:t>δ</m:t>
            </m:r>
          </m:e>
          <m:sub>
            <m:r>
              <m:t>i</m:t>
            </m:r>
            <m:r>
              <m:rPr>
                <m:sty m:val="p"/>
              </m:rPr>
              <m:t>,</m:t>
            </m:r>
            <m:r>
              <m:t>a</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indicates that substitution</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 position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reduces sequence likelihood relative to the reference, implying the position is under purifying selection. To identify loci under strong evolutionary constraint, we define the positional constraint as the magnitude of the most negative likelihood shift at position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w:t>
      </w:r>
    </w:p>
    <w:p>
      <w:pPr>
        <w:pStyle w:val="BodyText"/>
      </w:pPr>
      <m:oMathPara>
        <m:oMathParaPr>
          <m:jc m:val="center"/>
        </m:oMathParaPr>
        <m:oMath>
          <m:sSub>
            <m:e>
              <m:r>
                <m:t>Δ</m:t>
              </m:r>
            </m:e>
            <m:sub>
              <m:r>
                <m:rPr>
                  <m:sty m:val="p"/>
                </m:rPr>
                <m:t>max</m:t>
              </m:r>
            </m:sub>
          </m:sSub>
          <m:d>
            <m:dPr>
              <m:begChr m:val="("/>
              <m:endChr m:val=")"/>
              <m:sepChr m:val=""/>
              <m:grow/>
            </m:dPr>
            <m:e>
              <m:r>
                <m:t>i</m:t>
              </m:r>
            </m:e>
          </m:d>
          <m:r>
            <m:rPr>
              <m:sty m:val="p"/>
            </m:rPr>
            <m:t>=</m:t>
          </m:r>
          <m:r>
            <m:rPr>
              <m:sty m:val="p"/>
            </m:rPr>
            <m:t>−</m:t>
          </m:r>
          <m:limLow>
            <m:e>
              <m:r>
                <m:rPr>
                  <m:sty m:val="p"/>
                </m:rPr>
                <m:t>min</m:t>
              </m:r>
            </m:e>
            <m:lim>
              <m:r>
                <m:t>a</m:t>
              </m:r>
            </m:lim>
          </m:limLow>
          <m:sSub>
            <m:e>
              <m:r>
                <m:t>δ</m:t>
              </m:r>
            </m:e>
            <m:sub>
              <m:r>
                <m:t>i</m:t>
              </m:r>
              <m:r>
                <m:rPr>
                  <m:sty m:val="p"/>
                </m:rPr>
                <m:t>,</m:t>
              </m:r>
              <m:r>
                <m:t>a</m:t>
              </m:r>
            </m:sub>
          </m:sSub>
        </m:oMath>
      </m:oMathPara>
    </w:p>
    <w:p>
      <w:pPr>
        <w:pStyle w:val="FirstParagraph"/>
      </w:pPr>
      <w:r>
        <w:rPr>
          <w:rFonts w:ascii="Times New Roman" w:hAnsi="Times New Roman" w:eastAsia="Times New Roman" w:cs="Times New Roman"/>
          <w:sz w:val="24"/>
        </w:rPr>
        <w:t xml:space="preserve">This formulation captures the worst-case (most deleterious) substitution at each position. A positive</w:t>
      </w:r>
      <w:r>
        <w:rPr>
          <w:rFonts w:ascii="Times New Roman" w:hAnsi="Times New Roman" w:eastAsia="Times New Roman" w:cs="Times New Roman"/>
          <w:sz w:val="24"/>
        </w:rPr>
        <w:t xml:space="preserve"> </w:t>
      </w:r>
      <m:oMath>
        <m:sSub>
          <m:e>
            <m:r>
              <m:t>δ</m:t>
            </m:r>
          </m:e>
          <m:sub>
            <m:r>
              <m:t>i</m:t>
            </m:r>
            <m:r>
              <m:rPr>
                <m:sty m:val="p"/>
              </m:rPr>
              <m:t>,</m:t>
            </m:r>
            <m:r>
              <m:t>a</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(tolerated substitution) does not inflate the constraint score, ensuring that positions where some substitutions are tolerated but others are not are correctly classified as partially constrained. A genomic position is classified as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evolutionarily constrained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if</w:t>
      </w:r>
      <w:r>
        <w:rPr>
          <w:rFonts w:ascii="Times New Roman" w:hAnsi="Times New Roman" w:eastAsia="Times New Roman" w:cs="Times New Roman"/>
          <w:sz w:val="24"/>
        </w:rPr>
        <w:t xml:space="preserve"> </w:t>
      </w:r>
      <m:oMath>
        <m:sSub>
          <m:e>
            <m:r>
              <m:t>Δ</m:t>
            </m:r>
          </m:e>
          <m:sub>
            <m:r>
              <m:rPr>
                <m:sty m:val="p"/>
              </m:rPr>
              <m:t>max</m:t>
            </m:r>
          </m:sub>
        </m:sSub>
        <m:d>
          <m:dPr>
            <m:begChr m:val="("/>
            <m:endChr m:val=")"/>
            <m:sepChr m:val=""/>
            <m:grow/>
          </m:dPr>
          <m:e>
            <m:r>
              <m:t>i</m:t>
            </m:r>
          </m:e>
        </m:d>
        <m:r>
          <m:rPr>
            <m:sty m:val="p"/>
          </m:rPr>
          <m:t>&gt;</m:t>
        </m:r>
        <m:sSub>
          <m:e>
            <m:r>
              <m:t>τ</m:t>
            </m:r>
          </m:e>
          <m:sub>
            <m:r>
              <m:t>c</m:t>
            </m:r>
          </m:sub>
        </m:sSub>
      </m:oMath>
      <w:r>
        <w:rPr>
          <w:rFonts w:ascii="Times New Roman" w:hAnsi="Times New Roman" w:eastAsia="Times New Roman" w:cs="Times New Roman"/>
          <w:sz w:val="24"/>
        </w:rPr>
        <w:t xml:space="preserve">, where</w:t>
      </w:r>
      <w:r>
        <w:rPr>
          <w:rFonts w:ascii="Times New Roman" w:hAnsi="Times New Roman" w:eastAsia="Times New Roman" w:cs="Times New Roman"/>
          <w:sz w:val="24"/>
        </w:rPr>
        <w:t xml:space="preserve"> </w:t>
      </w:r>
      <m:oMath>
        <m:sSub>
          <m:e>
            <m:r>
              <m:t>τ</m:t>
            </m:r>
          </m:e>
          <m:sub>
            <m:r>
              <m:t>c</m:t>
            </m:r>
          </m:sub>
        </m:sSub>
        <m:r>
          <m:rPr>
            <m:sty m:val="p"/>
          </m:rPr>
          <m:t>=</m:t>
        </m:r>
        <m:r>
          <m:t>0.001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constraint threshold, calibrated from the distribution of delta scores at known functional positions in the Findlay BRCA1 saturation dataset. The constraint ratio</w:t>
      </w:r>
      <w:r>
        <w:rPr>
          <w:rFonts w:ascii="Times New Roman" w:hAnsi="Times New Roman" w:eastAsia="Times New Roman" w:cs="Times New Roman"/>
          <w:sz w:val="24"/>
        </w:rPr>
        <w:t xml:space="preserve"> </w:t>
      </w:r>
      <m:oMath>
        <m:sSub>
          <m:e>
            <m:r>
              <m:t>f</m:t>
            </m:r>
          </m:e>
          <m:sub>
            <m:r>
              <m:t>c</m:t>
            </m:r>
          </m:sub>
        </m:sSub>
        <m:r>
          <m:rPr>
            <m:sty m:val="p"/>
          </m:rPr>
          <m:t>=</m:t>
        </m:r>
        <m:d>
          <m:dPr>
            <m:begChr m:val="|"/>
            <m:endChr m:val="|"/>
            <m:sepChr m:val=""/>
            <m:grow/>
          </m:dPr>
          <m:e>
            <m:r>
              <m:rPr>
                <m:sty m:val="p"/>
              </m:rPr>
              <m:t>{</m:t>
            </m:r>
            <m:r>
              <m:t>i</m:t>
            </m:r>
            <m:r>
              <m:rPr>
                <m:sty m:val="p"/>
              </m:rPr>
              <m:t>:</m:t>
            </m:r>
            <m:sSub>
              <m:e>
                <m:r>
                  <m:t>Δ</m:t>
                </m:r>
              </m:e>
              <m:sub>
                <m:r>
                  <m:rPr>
                    <m:sty m:val="p"/>
                  </m:rPr>
                  <m:t>max</m:t>
                </m:r>
              </m:sub>
            </m:sSub>
            <m:d>
              <m:dPr>
                <m:begChr m:val="("/>
                <m:endChr m:val=")"/>
                <m:sepChr m:val=""/>
                <m:grow/>
              </m:dPr>
              <m:e>
                <m:r>
                  <m:t>i</m:t>
                </m:r>
              </m:e>
            </m:d>
            <m:r>
              <m:rPr>
                <m:sty m:val="p"/>
              </m:rPr>
              <m:t>&gt;</m:t>
            </m:r>
            <m:sSub>
              <m:e>
                <m:r>
                  <m:t>τ</m:t>
                </m:r>
              </m:e>
              <m:sub>
                <m:r>
                  <m:t>c</m:t>
                </m:r>
              </m:sub>
            </m:sSub>
            <m:r>
              <m:rPr>
                <m:sty m:val="p"/>
              </m:rPr>
              <m:t>}</m:t>
            </m:r>
          </m:e>
        </m:d>
        <m:r>
          <m:rPr>
            <m:sty m:val="p"/>
          </m:rPr>
          <m:t>/</m:t>
        </m:r>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determines the zone classification: high (</w:t>
      </w:r>
      <m:oMath>
        <m:sSub>
          <m:e>
            <m:r>
              <m:t>f</m:t>
            </m:r>
          </m:e>
          <m:sub>
            <m:r>
              <m:t>c</m:t>
            </m:r>
          </m:sub>
        </m:sSub>
        <m:r>
          <m:rPr>
            <m:sty m:val="p"/>
          </m:rPr>
          <m:t>&gt;</m:t>
        </m:r>
        <m:r>
          <m:t>0.5</m:t>
        </m:r>
      </m:oMath>
      <w:r>
        <w:rPr>
          <w:rFonts w:ascii="Times New Roman" w:hAnsi="Times New Roman" w:eastAsia="Times New Roman" w:cs="Times New Roman"/>
          <w:sz w:val="24"/>
        </w:rPr>
        <w:t xml:space="preserve">), moderate (</w:t>
      </w:r>
      <m:oMath>
        <m:sSub>
          <m:e>
            <m:r>
              <m:t>f</m:t>
            </m:r>
          </m:e>
          <m:sub>
            <m:r>
              <m:t>c</m:t>
            </m:r>
          </m:sub>
        </m:sSub>
        <m:r>
          <m:rPr>
            <m:sty m:val="p"/>
          </m:rPr>
          <m:t>&gt;</m:t>
        </m:r>
        <m:r>
          <m:t>0.2</m:t>
        </m:r>
      </m:oMath>
      <w:r>
        <w:rPr>
          <w:rFonts w:ascii="Times New Roman" w:hAnsi="Times New Roman" w:eastAsia="Times New Roman" w:cs="Times New Roman"/>
          <w:sz w:val="24"/>
        </w:rPr>
        <w:t xml:space="preserve">), or low (</w:t>
      </w:r>
      <m:oMath>
        <m:sSub>
          <m:e>
            <m:r>
              <m:t>f</m:t>
            </m:r>
          </m:e>
          <m:sub>
            <m:r>
              <m:t>c</m:t>
            </m:r>
          </m:sub>
        </m:sSub>
        <m:r>
          <m:rPr>
            <m:sty m:val="p"/>
          </m:rPr>
          <m:t>≤</m:t>
        </m:r>
        <m:r>
          <m:t>0.2</m:t>
        </m:r>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Constraint boundaries — positions where the constraint status transitions between constrained and neutral — are detected by scanning for sign changes in the binary constraint indicator:</w:t>
      </w:r>
    </w:p>
    <w:p>
      <w:pPr>
        <w:pStyle w:val="BodyText"/>
      </w:pPr>
      <m:oMathPara>
        <m:oMathParaPr>
          <m:jc m:val="center"/>
        </m:oMathParaPr>
        <m:oMath>
          <m:r>
            <m:rPr>
              <m:sty m:val="p"/>
              <m:scr m:val="script"/>
            </m:rPr>
            <m:t>B</m:t>
          </m:r>
          <m:r>
            <m:rPr>
              <m:sty m:val="p"/>
            </m:rPr>
            <m:t>=</m:t>
          </m:r>
          <m:r>
            <m:rPr>
              <m:sty m:val="p"/>
            </m:rPr>
            <m:t>{</m:t>
          </m:r>
          <m:r>
            <m:t>i</m:t>
          </m:r>
          <m:r>
            <m:rPr>
              <m:sty m:val="p"/>
            </m:rPr>
            <m:t>∈</m:t>
          </m:r>
          <m:r>
            <m:t>W</m:t>
          </m:r>
          <m:r>
            <m:rPr>
              <m:sty m:val="p"/>
            </m:rPr>
            <m:t>:</m:t>
          </m:r>
          <m:r>
            <m:rPr>
              <m:sty m:val="p"/>
              <m:scr m:val="double-struck"/>
            </m:rPr>
            <m:t>1</m:t>
          </m:r>
          <m:d>
            <m:dPr>
              <m:begChr m:val="["/>
              <m:endChr m:val="]"/>
              <m:sepChr m:val=""/>
              <m:grow/>
            </m:dPr>
            <m:e>
              <m:sSub>
                <m:e>
                  <m:r>
                    <m:t>Δ</m:t>
                  </m:r>
                </m:e>
                <m:sub>
                  <m:r>
                    <m:rPr>
                      <m:sty m:val="p"/>
                    </m:rPr>
                    <m:t>max</m:t>
                  </m:r>
                </m:sub>
              </m:sSub>
              <m:d>
                <m:dPr>
                  <m:begChr m:val="("/>
                  <m:endChr m:val=")"/>
                  <m:sepChr m:val=""/>
                  <m:grow/>
                </m:dPr>
                <m:e>
                  <m:r>
                    <m:t>i</m:t>
                  </m:r>
                </m:e>
              </m:d>
              <m:r>
                <m:rPr>
                  <m:sty m:val="p"/>
                </m:rPr>
                <m:t>&gt;</m:t>
              </m:r>
              <m:sSub>
                <m:e>
                  <m:r>
                    <m:t>τ</m:t>
                  </m:r>
                </m:e>
                <m:sub>
                  <m:r>
                    <m:t>c</m:t>
                  </m:r>
                </m:sub>
              </m:sSub>
            </m:e>
          </m:d>
          <m:r>
            <m:rPr>
              <m:sty m:val="p"/>
            </m:rPr>
            <m:t>≠</m:t>
          </m:r>
          <m:r>
            <m:rPr>
              <m:sty m:val="p"/>
              <m:scr m:val="double-struck"/>
            </m:rPr>
            <m:t>1</m:t>
          </m:r>
          <m:d>
            <m:dPr>
              <m:begChr m:val="["/>
              <m:endChr m:val="]"/>
              <m:sepChr m:val=""/>
              <m:grow/>
            </m:dPr>
            <m:e>
              <m:sSub>
                <m:e>
                  <m:r>
                    <m:t>Δ</m:t>
                  </m:r>
                </m:e>
                <m:sub>
                  <m:r>
                    <m:rPr>
                      <m:sty m:val="p"/>
                    </m:rPr>
                    <m:t>max</m:t>
                  </m:r>
                </m:sub>
              </m:sSub>
              <m:d>
                <m:dPr>
                  <m:begChr m:val="("/>
                  <m:endChr m:val=")"/>
                  <m:sepChr m:val=""/>
                  <m:grow/>
                </m:dPr>
                <m:e>
                  <m:r>
                    <m:t>i</m:t>
                  </m:r>
                  <m:r>
                    <m:rPr>
                      <m:sty m:val="p"/>
                    </m:rPr>
                    <m:t>−</m:t>
                  </m:r>
                  <m:r>
                    <m:t>1</m:t>
                  </m:r>
                </m:e>
              </m:d>
              <m:r>
                <m:rPr>
                  <m:sty m:val="p"/>
                </m:rPr>
                <m:t>&gt;</m:t>
              </m:r>
              <m:sSub>
                <m:e>
                  <m:r>
                    <m:t>τ</m:t>
                  </m:r>
                </m:e>
                <m:sub>
                  <m:r>
                    <m:t>c</m:t>
                  </m:r>
                </m:sub>
              </m:sSub>
            </m:e>
          </m:d>
          <m:r>
            <m:rPr>
              <m:sty m:val="p"/>
            </m:rPr>
            <m:t>}</m:t>
          </m:r>
        </m:oMath>
      </m:oMathPara>
    </w:p>
    <w:p>
      <w:pPr>
        <w:pStyle w:val="FirstParagraph"/>
      </w:pPr>
      <w:r>
        <w:rPr>
          <w:rFonts w:ascii="Times New Roman" w:hAnsi="Times New Roman" w:eastAsia="Times New Roman" w:cs="Times New Roman"/>
          <w:sz w:val="24"/>
        </w:rPr>
        <w:t xml:space="preserve">These boundaries correspond to functional domain edges, regulatory element borders, or splice site transitions, providing clinically interpretable structural information.</w:t>
      </w:r>
    </w:p>
    <w:bookmarkEnd w:id="48"/>
    <w:bookmarkStart w:id="49" w:name="computational-requirements"/>
    <w:p>
      <w:pPr>
        <w:pStyle w:val="Heading4"/>
      </w:pPr>
      <w:r>
        <w:rPr>
          <w:rFonts w:ascii="Times New Roman" w:hAnsi="Times New Roman" w:eastAsia="Times New Roman" w:cs="Times New Roman"/>
          <w:sz w:val="24"/>
        </w:rPr>
        <w:t xml:space="preserve">6.6.3 Computational Requirements</w:t>
      </w:r>
    </w:p>
    <w:p>
      <w:pPr>
        <w:pStyle w:val="FirstParagraph"/>
      </w:pPr>
      <w:r>
        <w:rPr>
          <w:rFonts w:ascii="Times New Roman" w:hAnsi="Times New Roman" w:eastAsia="Times New Roman" w:cs="Times New Roman"/>
          <w:sz w:val="24"/>
        </w:rPr>
        <w:t xml:space="preserve">Executing an ISM scan requires</w:t>
      </w:r>
      <w:r>
        <w:rPr>
          <w:rFonts w:ascii="Times New Roman" w:hAnsi="Times New Roman" w:eastAsia="Times New Roman" w:cs="Times New Roman"/>
          <w:sz w:val="24"/>
        </w:rPr>
        <w:t xml:space="preserve"> </w:t>
      </w:r>
      <m:oMath>
        <m:r>
          <m:t>3</m:t>
        </m:r>
        <m:r>
          <m:t>N</m:t>
        </m:r>
        <m:r>
          <m:rPr>
            <m:sty m:val="p"/>
          </m:rPr>
          <m:t>=</m:t>
        </m:r>
        <m:r>
          <m:t>123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forward passes of the 7-billion-parameter model, each processing an 8,192 bp sequence. The reference sequence score</w:t>
      </w:r>
      <w:r>
        <w:rPr>
          <w:rFonts w:ascii="Times New Roman" w:hAnsi="Times New Roman" w:eastAsia="Times New Roman" w:cs="Times New Roman"/>
          <w:sz w:val="24"/>
        </w:rPr>
        <w:t xml:space="preserve"> </w:t>
      </w:r>
      <m:oMath>
        <m:r>
          <m:rPr>
            <m:sty m:val="p"/>
          </m:rPr>
          <m:t>log</m:t>
        </m:r>
        <m:r>
          <m:t>P</m:t>
        </m:r>
        <m:d>
          <m:dPr>
            <m:begChr m:val="("/>
            <m:endChr m:val=")"/>
            <m:sepChr m:val=""/>
            <m:grow/>
          </m:dPr>
          <m:e>
            <m:sSub>
              <m:e>
                <m:r>
                  <m:t>S</m:t>
                </m:r>
              </m:e>
              <m:sub>
                <m:r>
                  <m:rPr>
                    <m:nor/>
                    <m:sty m:val="p"/>
                  </m:rPr>
                  <m:t>ref</m:t>
                </m:r>
              </m:sub>
            </m:sSub>
            <m:r>
              <m:rPr>
                <m:sty m:val="p"/>
              </m:rPr>
              <m:t>∣</m:t>
            </m:r>
            <m:r>
              <m:t>θ</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computed once and reused for all delta calculations, reducing the total to</w:t>
      </w:r>
      <w:r>
        <w:rPr>
          <w:rFonts w:ascii="Times New Roman" w:hAnsi="Times New Roman" w:eastAsia="Times New Roman" w:cs="Times New Roman"/>
          <w:sz w:val="24"/>
        </w:rPr>
        <w:t xml:space="preserve"> </w:t>
      </w:r>
      <m:oMath>
        <m:r>
          <m:t>3</m:t>
        </m:r>
        <m:r>
          <m:t>N</m:t>
        </m:r>
        <m:r>
          <m:rPr>
            <m:sty m:val="p"/>
          </m:rPr>
          <m:t>+</m:t>
        </m:r>
        <m:r>
          <m:t>1</m:t>
        </m:r>
        <m:r>
          <m:rPr>
            <m:sty m:val="p"/>
          </m:rPr>
          <m:t>=</m:t>
        </m:r>
        <m:r>
          <m:t>124</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forward passes. The 123 mutated context windows are batched into parallelized tensor operations using bfloat16 mixed-precision inference (batch size 16), achieving sub-minute latency on GPU hardware. Deployment details are provided in Supplementary Methods.</w:t>
      </w:r>
    </w:p>
    <w:p>
      <w:pPr>
        <w:pStyle w:val="BodyText"/>
      </w:pPr>
      <w:r>
        <w:rPr>
          <w:rFonts w:ascii="Times New Roman" w:hAnsi="Times New Roman" w:eastAsia="Times New Roman" w:cs="Times New Roman"/>
          <w:sz w:val="24"/>
        </w:rPr>
        <w:t xml:space="preserve">The resulting</w:t>
      </w:r>
      <w:r>
        <w:rPr>
          <w:rFonts w:ascii="Times New Roman" w:hAnsi="Times New Roman" w:eastAsia="Times New Roman" w:cs="Times New Roman"/>
          <w:sz w:val="24"/>
        </w:rPr>
        <w:t xml:space="preserve"> </w:t>
      </w:r>
      <m:oMath>
        <m:r>
          <m:t>3</m:t>
        </m:r>
        <m:r>
          <m:rPr>
            <m:sty m:val="p"/>
          </m:rPr>
          <m:t>×</m:t>
        </m:r>
        <m:r>
          <m:t>41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constraint matrix is serialized as a structured JSON response containing per-position delta scores, constraint classifications, and summary statistics (constraint zone, peak position, boundary locations). This data structure is rendered as a single-nucleotide resolution heatmap overlaid with a positional constraint landscape plot (Figure 12), directly mapping the mathematical tensors into an intuitive clinical interface.</w:t>
      </w:r>
    </w:p>
    <w:p>
      <w:pPr>
        <w:pStyle w:val="BodyText"/>
      </w:pPr>
      <w:r>
        <w:rPr>
          <w:rFonts w:ascii="Times New Roman" w:hAnsi="Times New Roman" w:eastAsia="Times New Roman" w:cs="Times New Roman"/>
          <w:sz w:val="24"/>
        </w:rPr>
        <w:t xml:space="preserve">This positional scan is unique to DNA language models — existing predictors (CADD [3], REVEL [4], AlphaMissense [2]) produce only a single score per variant without local context. The ISM scan transforms variant interpretation from a point estimate to a spatial analysis, providing orthogonal evidence for pathogenicity by confirming that the variant resides within a mutation-intolerant micro-environment. The in-silico mutagenesis paradigm was originally developed for protein stability analysis [27] and deep mutational scanning experiments [28]; its application to DNA foundation models at single-nucleotide resolution is novel.</w:t>
      </w:r>
    </w:p>
    <w:bookmarkEnd w:id="49"/>
    <w:bookmarkStart w:id="50" w:name="integration-with-classification-pipeline"/>
    <w:p>
      <w:pPr>
        <w:pStyle w:val="Heading4"/>
      </w:pPr>
      <w:r>
        <w:rPr>
          <w:rFonts w:ascii="Times New Roman" w:hAnsi="Times New Roman" w:eastAsia="Times New Roman" w:cs="Times New Roman"/>
          <w:sz w:val="24"/>
        </w:rPr>
        <w:t xml:space="preserve">6.6.4 Integration with Classification Pipeline</w:t>
      </w:r>
    </w:p>
    <w:p>
      <w:pPr>
        <w:pStyle w:val="FirstParagraph"/>
      </w:pPr>
      <w:r>
        <w:rPr>
          <w:rFonts w:ascii="Times New Roman" w:hAnsi="Times New Roman" w:eastAsia="Times New Roman" w:cs="Times New Roman"/>
          <w:sz w:val="24"/>
        </w:rPr>
        <w:t xml:space="preserve">The ISM scan output feeds into three downstream components, transforming it from a standalone visualization into an active evidence contributor:</w:t>
      </w:r>
    </w:p>
    <w:p>
      <w:pPr>
        <w:pStyle w:val="BodyText"/>
      </w:pPr>
      <w:r>
        <w:rPr>
          <w:rFonts w:ascii="Times New Roman" w:hAnsi="Times New Roman" w:eastAsia="Times New Roman" w:cs="Times New Roman"/>
          <w:b/>
          <w:bCs/>
          <w:sz w:val="24"/>
        </w:rPr>
        <w:t xml:space="preserve">1. ACMG Evidence Modifier.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constraint ratio</w:t>
      </w:r>
      <w:r>
        <w:rPr>
          <w:rFonts w:ascii="Times New Roman" w:hAnsi="Times New Roman" w:eastAsia="Times New Roman" w:cs="Times New Roman"/>
          <w:sz w:val="24"/>
        </w:rPr>
        <w:t xml:space="preserve"> </w:t>
      </w:r>
      <m:oMath>
        <m:sSub>
          <m:e>
            <m:r>
              <m:t>f</m:t>
            </m:r>
          </m:e>
          <m:sub>
            <m:r>
              <m:t>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modifies the strength of the computational evidence codes PP3 (pathogenic) and BP4 (benign):</w:t>
      </w:r>
    </w:p>
    <w:p>
      <w:pPr>
        <w:pStyle w:val="Caption"/>
      </w:pPr>
      <w:bookmarkStart w:id="38065" w:name="_Tbl6"/>
      <w:r>
        <w:rPr>
          <w:rFonts w:ascii="Times New Roman" w:hAnsi="Times New Roman" w:eastAsia="Times New Roman" w:cs="Times New Roman"/>
          <w:b/>
          <w:bCs/>
          <w:sz w:val="24"/>
        </w:rPr>
        <w:t xml:space="preserve">Table 6: ISM Constraint Zone Evidence Modification.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Mapping of ISM constraint ratio (</w:t>
      </w:r>
      <m:oMath>
        <m:sSub>
          <m:e>
            <m:r>
              <m:t>f</m:t>
            </m:r>
          </m:e>
          <m:sub>
            <m:r>
              <m:t>c</m:t>
            </m:r>
          </m:sub>
        </m:sSub>
      </m:oMath>
      <w:r>
        <w:rPr>
          <w:rFonts w:ascii="Times New Roman" w:hAnsi="Times New Roman" w:eastAsia="Times New Roman" w:cs="Times New Roman"/>
          <w:sz w:val="24"/>
        </w:rPr>
        <w:t xml:space="preserve">) zones to ACMG PP3/BP4 evidence strength adjustments. The constraint zone determines whether computational evidence is reinforced, unchanged, or weakened based on the local mutational tolerance of the variant’s genomic neighborhood.</w:t>
      </w:r>
      <w:bookmarkEnd w:id="38065"/>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Constraint zone</w:t>
            </w:r>
          </w:p>
        </w:tc>
        <w:tc>
          <w:tcPr/>
          <w:p>
            <w:pPr>
              <w:pStyle w:val="Compact"/>
            </w:pPr>
            <m:oMath>
              <m:sSub>
                <m:e>
                  <m:r>
                    <m:t>f</m:t>
                  </m:r>
                </m:e>
                <m:sub>
                  <m:r>
                    <m:t>c</m:t>
                  </m:r>
                </m:sub>
              </m:sSub>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range</w:t>
            </w:r>
          </w:p>
        </w:tc>
        <w:tc>
          <w:tcPr/>
          <w:p>
            <w:pPr>
              <w:pStyle w:val="Compact"/>
            </w:pPr>
            <w:r>
              <w:rPr>
                <w:rFonts w:ascii="Times New Roman" w:hAnsi="Times New Roman" w:eastAsia="Times New Roman" w:cs="Times New Roman"/>
                <w:sz w:val="20"/>
              </w:rPr>
              <w:t xml:space="preserve">PP3/BP4 adjustment</w:t>
            </w:r>
          </w:p>
        </w:tc>
        <w:tc>
          <w:tcPr/>
          <w:p>
            <w:pPr>
              <w:pStyle w:val="Compact"/>
            </w:pPr>
            <w:r>
              <w:rPr>
                <w:rFonts w:ascii="Times New Roman" w:hAnsi="Times New Roman" w:eastAsia="Times New Roman" w:cs="Times New Roman"/>
                <w:sz w:val="20"/>
              </w:rPr>
              <w:t xml:space="preserve">Rationale</w:t>
            </w:r>
          </w:p>
        </w:tc>
      </w:tr>
      <w:tr>
        <w:tc>
          <w:tcPr/>
          <w:p>
            <w:pPr>
              <w:pStyle w:val="Compact"/>
            </w:pPr>
            <w:r>
              <w:rPr>
                <w:rFonts w:ascii="Times New Roman" w:hAnsi="Times New Roman" w:eastAsia="Times New Roman" w:cs="Times New Roman"/>
                <w:sz w:val="20"/>
              </w:rPr>
              <w:t xml:space="preserve">High</w:t>
            </w:r>
          </w:p>
        </w:tc>
        <w:tc>
          <w:tcPr/>
          <w:p>
            <w:pPr>
              <w:pStyle w:val="Compact"/>
            </w:pPr>
            <m:oMath>
              <m:sSub>
                <m:e>
                  <m:r>
                    <m:t>f</m:t>
                  </m:r>
                </m:e>
                <m:sub>
                  <m:r>
                    <m:t>c</m:t>
                  </m:r>
                </m:sub>
              </m:sSub>
              <m:r>
                <m:rPr>
                  <m:sty m:val="p"/>
                </m:rPr>
                <m:t>&gt;</m:t>
              </m:r>
              <m:r>
                <m:t>0.5</m:t>
              </m:r>
            </m:oMath>
          </w:p>
        </w:tc>
        <w:tc>
          <w:tcPr/>
          <w:p>
            <w:pPr>
              <w:pStyle w:val="Compact"/>
            </w:pPr>
            <w:r>
              <w:rPr>
                <w:rFonts w:ascii="Times New Roman" w:hAnsi="Times New Roman" w:eastAsia="Times New Roman" w:cs="Times New Roman"/>
                <w:sz w:val="20"/>
              </w:rPr>
              <w:t xml:space="preserve">Supporting → Moderate</w:t>
            </w:r>
          </w:p>
        </w:tc>
        <w:tc>
          <w:tcPr/>
          <w:p>
            <w:pPr>
              <w:pStyle w:val="Compact"/>
            </w:pPr>
            <w:r>
              <w:rPr>
                <w:rFonts w:ascii="Times New Roman" w:hAnsi="Times New Roman" w:eastAsia="Times New Roman" w:cs="Times New Roman"/>
                <w:sz w:val="20"/>
              </w:rPr>
              <w:t xml:space="preserve">Variant in mutation-intolerant region; computational prediction reinforced</w:t>
            </w:r>
          </w:p>
        </w:tc>
      </w:tr>
      <w:tr>
        <w:tc>
          <w:tcPr/>
          <w:p>
            <w:pPr>
              <w:pStyle w:val="Compact"/>
            </w:pPr>
            <w:r>
              <w:rPr>
                <w:rFonts w:ascii="Times New Roman" w:hAnsi="Times New Roman" w:eastAsia="Times New Roman" w:cs="Times New Roman"/>
                <w:sz w:val="20"/>
              </w:rPr>
              <w:t xml:space="preserve">Moderate</w:t>
            </w:r>
          </w:p>
        </w:tc>
        <w:tc>
          <w:tcPr/>
          <w:p>
            <w:pPr>
              <w:pStyle w:val="Compact"/>
            </w:pPr>
            <m:oMath>
              <m:r>
                <m:t>0.2</m:t>
              </m:r>
              <m:r>
                <m:rPr>
                  <m:sty m:val="p"/>
                </m:rPr>
                <m:t>&lt;</m:t>
              </m:r>
              <m:sSub>
                <m:e>
                  <m:r>
                    <m:t>f</m:t>
                  </m:r>
                </m:e>
                <m:sub>
                  <m:r>
                    <m:t>c</m:t>
                  </m:r>
                </m:sub>
              </m:sSub>
              <m:r>
                <m:rPr>
                  <m:sty m:val="p"/>
                </m:rPr>
                <m:t>≤</m:t>
              </m:r>
              <m:r>
                <m:t>0.5</m:t>
              </m:r>
            </m:oMath>
          </w:p>
        </w:tc>
        <w:tc>
          <w:tcPr/>
          <w:p>
            <w:pPr>
              <w:pStyle w:val="Compact"/>
            </w:pPr>
            <w:r>
              <w:rPr>
                <w:rFonts w:ascii="Times New Roman" w:hAnsi="Times New Roman" w:eastAsia="Times New Roman" w:cs="Times New Roman"/>
                <w:sz w:val="20"/>
              </w:rPr>
              <w:t xml:space="preserve">No change (Supporting)</w:t>
            </w:r>
          </w:p>
        </w:tc>
        <w:tc>
          <w:tcPr/>
          <w:p>
            <w:pPr>
              <w:pStyle w:val="Compact"/>
            </w:pPr>
            <w:r>
              <w:rPr>
                <w:rFonts w:ascii="Times New Roman" w:hAnsi="Times New Roman" w:eastAsia="Times New Roman" w:cs="Times New Roman"/>
                <w:sz w:val="20"/>
              </w:rPr>
              <w:t xml:space="preserve">Partial constraint; standard evidence weight</w:t>
            </w:r>
          </w:p>
        </w:tc>
      </w:tr>
      <w:tr>
        <w:tc>
          <w:tcPr/>
          <w:p>
            <w:pPr>
              <w:pStyle w:val="Compact"/>
            </w:pPr>
            <w:r>
              <w:rPr>
                <w:rFonts w:ascii="Times New Roman" w:hAnsi="Times New Roman" w:eastAsia="Times New Roman" w:cs="Times New Roman"/>
                <w:sz w:val="20"/>
              </w:rPr>
              <w:t xml:space="preserve">Low</w:t>
            </w:r>
          </w:p>
        </w:tc>
        <w:tc>
          <w:tcPr/>
          <w:p>
            <w:pPr>
              <w:pStyle w:val="Compact"/>
            </w:pPr>
            <m:oMath>
              <m:sSub>
                <m:e>
                  <m:r>
                    <m:t>f</m:t>
                  </m:r>
                </m:e>
                <m:sub>
                  <m:r>
                    <m:t>c</m:t>
                  </m:r>
                </m:sub>
              </m:sSub>
              <m:r>
                <m:rPr>
                  <m:sty m:val="p"/>
                </m:rPr>
                <m:t>≤</m:t>
              </m:r>
              <m:r>
                <m:t>0.2</m:t>
              </m:r>
            </m:oMath>
          </w:p>
        </w:tc>
        <w:tc>
          <w:tcPr/>
          <w:p>
            <w:pPr>
              <w:pStyle w:val="Compact"/>
            </w:pPr>
            <w:r>
              <w:rPr>
                <w:rFonts w:ascii="Times New Roman" w:hAnsi="Times New Roman" w:eastAsia="Times New Roman" w:cs="Times New Roman"/>
                <w:sz w:val="20"/>
              </w:rPr>
              <w:t xml:space="preserve">Supporting → Not Met</w:t>
            </w:r>
          </w:p>
        </w:tc>
        <w:tc>
          <w:tcPr/>
          <w:p>
            <w:pPr>
              <w:pStyle w:val="Compact"/>
            </w:pPr>
            <w:r>
              <w:rPr>
                <w:rFonts w:ascii="Times New Roman" w:hAnsi="Times New Roman" w:eastAsia="Times New Roman" w:cs="Times New Roman"/>
                <w:sz w:val="20"/>
              </w:rPr>
              <w:t xml:space="preserve">Variant in mutation-tolerant region; computational prediction weakened</w:t>
            </w:r>
          </w:p>
        </w:tc>
      </w:tr>
    </w:tbl>
    <w:p>
      <w:pPr>
        <w:pStyle w:val="BodyText"/>
      </w:pPr>
      <w:r>
        <w:rPr>
          <w:rFonts w:ascii="Times New Roman" w:hAnsi="Times New Roman" w:eastAsia="Times New Roman" w:cs="Times New Roman"/>
          <w:sz w:val="24"/>
        </w:rPr>
        <w:t xml:space="preserve">This modifier is applied after the rule-based ACMG criteria and before the LLM refinement. A variant with a strong Evo2 score (</w:t>
      </w:r>
      <m:oMath>
        <m:r>
          <m:t>Δ</m:t>
        </m:r>
        <m:r>
          <m:rPr>
            <m:sty m:val="p"/>
          </m:rPr>
          <m:t>&lt;</m:t>
        </m:r>
        <m:sSub>
          <m:e>
            <m:r>
              <m:t>τ</m:t>
            </m:r>
          </m:e>
          <m:sub>
            <m:r>
              <m:t>g</m:t>
            </m:r>
          </m:sub>
        </m:sSub>
      </m:oMath>
      <w:r>
        <w:rPr>
          <w:rFonts w:ascii="Times New Roman" w:hAnsi="Times New Roman" w:eastAsia="Times New Roman" w:cs="Times New Roman"/>
          <w:sz w:val="24"/>
        </w:rPr>
        <w:t xml:space="preserve">) in a high-constraint zone (</w:t>
      </w:r>
      <m:oMath>
        <m:sSub>
          <m:e>
            <m:r>
              <m:t>f</m:t>
            </m:r>
          </m:e>
          <m:sub>
            <m:r>
              <m:t>c</m:t>
            </m:r>
          </m:sub>
        </m:sSub>
        <m:r>
          <m:rPr>
            <m:sty m:val="p"/>
          </m:rPr>
          <m:t>&gt;</m:t>
        </m:r>
        <m:r>
          <m:t>0.5</m:t>
        </m:r>
      </m:oMath>
      <w:r>
        <w:rPr>
          <w:rFonts w:ascii="Times New Roman" w:hAnsi="Times New Roman" w:eastAsia="Times New Roman" w:cs="Times New Roman"/>
          <w:sz w:val="24"/>
        </w:rPr>
        <w:t xml:space="preserve">) receives PP3 at Moderate strength, contributing more weight to the final classification. Conversely, a variant with a strong Evo2 score in a low-constraint zone (</w:t>
      </w:r>
      <m:oMath>
        <m:sSub>
          <m:e>
            <m:r>
              <m:t>f</m:t>
            </m:r>
          </m:e>
          <m:sub>
            <m:r>
              <m:t>c</m:t>
            </m:r>
          </m:sub>
        </m:sSub>
        <m:r>
          <m:rPr>
            <m:sty m:val="p"/>
          </m:rPr>
          <m:t>≤</m:t>
        </m:r>
        <m:r>
          <m:t>0.2</m:t>
        </m:r>
      </m:oMath>
      <w:r>
        <w:rPr>
          <w:rFonts w:ascii="Times New Roman" w:hAnsi="Times New Roman" w:eastAsia="Times New Roman" w:cs="Times New Roman"/>
          <w:sz w:val="24"/>
        </w:rPr>
        <w:t xml:space="preserve">) has its PP3 downgraded, preventing over-classification of variants in evolutionary neutral regions.</w:t>
      </w:r>
    </w:p>
    <w:p>
      <w:pPr>
        <w:pStyle w:val="BodyText"/>
      </w:pPr>
      <w:r>
        <w:rPr>
          <w:rFonts w:ascii="Times New Roman" w:hAnsi="Times New Roman" w:eastAsia="Times New Roman" w:cs="Times New Roman"/>
          <w:b/>
          <w:bCs/>
          <w:sz w:val="24"/>
        </w:rPr>
        <w:t xml:space="preserve">2. XAI Concordance Factor.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ISM concordance metric — whether the variant position itself is constrained (</w:t>
      </w:r>
      <m:oMath>
        <m:sSub>
          <m:e>
            <m:r>
              <m:t>Δ</m:t>
            </m:r>
          </m:e>
          <m:sub>
            <m:r>
              <m:rPr>
                <m:sty m:val="p"/>
              </m:rPr>
              <m:t>max</m:t>
            </m:r>
          </m:sub>
        </m:sSub>
        <m:d>
          <m:dPr>
            <m:begChr m:val="("/>
            <m:endChr m:val=")"/>
            <m:sepChr m:val=""/>
            <m:grow/>
          </m:dPr>
          <m:e>
            <m:r>
              <m:t>p</m:t>
            </m:r>
          </m:e>
        </m:d>
        <m:r>
          <m:rPr>
            <m:sty m:val="p"/>
          </m:rPr>
          <m:t>&gt;</m:t>
        </m:r>
        <m:sSub>
          <m:e>
            <m:r>
              <m:t>τ</m:t>
            </m:r>
          </m:e>
          <m:sub>
            <m:r>
              <m:t>c</m:t>
            </m:r>
          </m:sub>
        </m:sSub>
      </m:oMath>
      <w:r>
        <w:rPr>
          <w:rFonts w:ascii="Times New Roman" w:hAnsi="Times New Roman" w:eastAsia="Times New Roman" w:cs="Times New Roman"/>
          <w:sz w:val="24"/>
        </w:rPr>
        <w:t xml:space="preserve">) — provides an interpretable signal for the clinical report. When the Evo2 delta score and the ISM concordance agree (both indicate constraint or both indicate tolerance), the confidence score is increased by 10%. When they disagree, the confidence is decreased by 10%, and the report flags the discordance for manual review.</w:t>
      </w:r>
    </w:p>
    <w:p>
      <w:pPr>
        <w:pStyle w:val="BodyText"/>
      </w:pPr>
      <w:r>
        <w:rPr>
          <w:rFonts w:ascii="Times New Roman" w:hAnsi="Times New Roman" w:eastAsia="Times New Roman" w:cs="Times New Roman"/>
          <w:b/>
          <w:bCs/>
          <w:sz w:val="24"/>
        </w:rPr>
        <w:t xml:space="preserve">3. Non-Coding Variant Pathway (Future).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variants without a protein-level VEP consequence (deep intronic, UTR, promoter), the ISM constraint zone is architecturally intended to serve as the primary classification signal, as no AlphaMissense or CEFN v2 score is available. This integration is described as future work.</w:t>
      </w:r>
    </w:p>
    <w:p>
      <w:r>
        <w:rPr>
          <w:rFonts w:ascii="Times New Roman" w:hAnsi="Times New Roman" w:eastAsia="Times New Roman" w:cs="Times New Roman"/>
          <w:sz w:val="24"/>
        </w:rPr>
        <w:pict>
          <v:rect style="width:0;height:1.5pt" o:hralign="center" o:hrstd="t" o:hr="t"/>
        </w:pict>
      </w:r>
    </w:p>
    <w:bookmarkEnd w:id="50"/>
    <w:bookmarkEnd w:id="51"/>
    <w:bookmarkEnd w:id="52"/>
    <w:bookmarkStart w:id="56" w:name="X6d17a7aa3c5ac43472c5f46bc78ab4b66ed5d92"/>
    <w:p>
      <w:pPr>
        <w:pStyle w:val="Heading2"/>
      </w:pPr>
      <w:r>
        <w:rPr>
          <w:rFonts w:ascii="Times New Roman" w:hAnsi="Times New Roman" w:eastAsia="Times New Roman" w:cs="Times New Roman"/>
          <w:sz w:val="24"/>
        </w:rPr>
        <w:t xml:space="preserve">7. Population Frequency Filtering and Ancestry-Aware Analysis</w:t>
      </w:r>
    </w:p>
    <w:bookmarkStart w:id="53" w:name="X9918769dc61e5bd0b5c6f6f53da8fe434258edf"/>
    <w:p>
      <w:pPr>
        <w:pStyle w:val="Heading3"/>
      </w:pPr>
      <w:r>
        <w:rPr>
          <w:rFonts w:ascii="Times New Roman" w:hAnsi="Times New Roman" w:eastAsia="Times New Roman" w:cs="Times New Roman"/>
          <w:sz w:val="24"/>
        </w:rPr>
        <w:t xml:space="preserve">7.1 Evolutionary Rationale and Ancestry Stratification</w:t>
      </w:r>
    </w:p>
    <w:p>
      <w:pPr>
        <w:pStyle w:val="FirstParagraph"/>
      </w:pPr>
      <w:r>
        <w:rPr>
          <w:rFonts w:ascii="Times New Roman" w:hAnsi="Times New Roman" w:eastAsia="Times New Roman" w:cs="Times New Roman"/>
          <w:sz w:val="24"/>
        </w:rPr>
        <w:t xml:space="preserve">The clinical pathogenicity of a genetic variant is inversely proportional to its allele frequency in the general population, a core tenet derived from Kimura’s neutral theory of molecular evolution [29]. Deleterious mutations are systematically purged by purifying selection; therefore, variants observed at high population frequencies are inherently evolutionarily tolerated. The ACMG/AMP variant classification framework [5] formalizes this evolutionary logic via specific frequency thresholds.</w:t>
      </w:r>
    </w:p>
    <w:p>
      <w:pPr>
        <w:pStyle w:val="BodyText"/>
      </w:pPr>
      <w:r>
        <w:rPr>
          <w:rFonts w:ascii="Times New Roman" w:hAnsi="Times New Roman" w:eastAsia="Times New Roman" w:cs="Times New Roman"/>
          <w:sz w:val="24"/>
        </w:rPr>
        <w:t xml:space="preserve">However, deploying a monolithic global allele frequency (AF) relies on the flawed assumption of uniform genetic distribution. Due to founder effects, genetic drift, and localized environmental adaptation, a variant may present as globally rare (</w:t>
      </w:r>
      <m:oMath>
        <m:r>
          <m:rPr>
            <m:nor/>
            <m:sty m:val="p"/>
          </m:rPr>
          <m:t>AF</m:t>
        </m:r>
        <m:r>
          <m:rPr>
            <m:sty m:val="p"/>
          </m:rPr>
          <m:t>&lt;</m:t>
        </m:r>
        <m:r>
          <m:t>0.001</m:t>
        </m:r>
        <m:r>
          <m:rPr>
            <m:sty m:val="p"/>
          </m:rPr>
          <m:t>%</m:t>
        </m:r>
      </m:oMath>
      <w:r>
        <w:rPr>
          <w:rFonts w:ascii="Times New Roman" w:hAnsi="Times New Roman" w:eastAsia="Times New Roman" w:cs="Times New Roman"/>
          <w:sz w:val="24"/>
        </w:rPr>
        <w:t xml:space="preserve">) while being highly penetrant in a specific ancestry group (e.g.,</w:t>
      </w:r>
      <w:r>
        <w:rPr>
          <w:rFonts w:ascii="Times New Roman" w:hAnsi="Times New Roman" w:eastAsia="Times New Roman" w:cs="Times New Roman"/>
          <w:sz w:val="24"/>
        </w:rPr>
        <w:t xml:space="preserve"> </w:t>
      </w:r>
      <m:oMath>
        <m:r>
          <m:rPr>
            <m:nor/>
            <m:sty m:val="p"/>
          </m:rPr>
          <m:t>AF</m:t>
        </m:r>
        <m:r>
          <m:rPr>
            <m:sty m:val="p"/>
          </m:rPr>
          <m:t>=</m:t>
        </m:r>
        <m:r>
          <m:t>2</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African populations). Evaluating such a variant on a strictly global scale would erroneously trigger a pathogenic classification (PM2) for a variant that is demonstrably tolerated within its local ancestral context. To resolve this, the architecture implements an ancestry-aware stratification protocol.</w:t>
      </w:r>
    </w:p>
    <w:bookmarkEnd w:id="53"/>
    <w:bookmarkStart w:id="54" w:name="ancestry-calibrated-frequency-models"/>
    <w:p>
      <w:pPr>
        <w:pStyle w:val="Heading3"/>
      </w:pPr>
      <w:r>
        <w:rPr>
          <w:rFonts w:ascii="Times New Roman" w:hAnsi="Times New Roman" w:eastAsia="Times New Roman" w:cs="Times New Roman"/>
          <w:sz w:val="24"/>
        </w:rPr>
        <w:t xml:space="preserve">7.2 Ancestry-Calibrated Frequency Models</w:t>
      </w:r>
    </w:p>
    <w:p>
      <w:pPr>
        <w:pStyle w:val="FirstParagraph"/>
      </w:pPr>
      <w:r>
        <w:rPr>
          <w:rFonts w:ascii="Times New Roman" w:hAnsi="Times New Roman" w:eastAsia="Times New Roman" w:cs="Times New Roman"/>
          <w:sz w:val="24"/>
        </w:rPr>
        <w:t xml:space="preserve">The system interfaces with a federated genomic data pipeline querying the gnomAD v4.1 database (807,162 individuals) [7]. Let</w:t>
      </w:r>
      <w:r>
        <w:rPr>
          <w:rFonts w:ascii="Times New Roman" w:hAnsi="Times New Roman" w:eastAsia="Times New Roman" w:cs="Times New Roman"/>
          <w:sz w:val="24"/>
        </w:rPr>
        <w:t xml:space="preserve"> </w:t>
      </w:r>
      <m:oMath>
        <m:r>
          <m:rPr>
            <m:sty m:val="p"/>
            <m:scr m:val="script"/>
          </m:rPr>
          <m:t>P</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represent the set of nine major continental populations evaluated (African/African American, Non-Finnish European, East Asian, South Asian, Latino/Admixed American, Ashkenazi Jewish, Finnish, Middle Eastern, and Other).</w:t>
      </w:r>
    </w:p>
    <w:p>
      <w:pPr>
        <w:pStyle w:val="BodyText"/>
      </w:pPr>
      <w:r>
        <w:rPr>
          <w:rFonts w:ascii="Times New Roman" w:hAnsi="Times New Roman" w:eastAsia="Times New Roman" w:cs="Times New Roman"/>
          <w:sz w:val="24"/>
        </w:rPr>
        <w:t xml:space="preserve">For any given variant, the system retrieves the joint global allele frequency (</w:t>
      </w:r>
      <m:oMath>
        <m:sSub>
          <m:e>
            <m:r>
              <m:rPr>
                <m:nor/>
                <m:sty m:val="p"/>
              </m:rPr>
              <m:t>AF</m:t>
            </m:r>
          </m:e>
          <m:sub>
            <m:r>
              <m:rPr>
                <m:nor/>
                <m:sty m:val="p"/>
              </m:rPr>
              <m:t>joint</m:t>
            </m:r>
          </m:sub>
        </m:sSub>
      </m:oMath>
      <w:r>
        <w:rPr>
          <w:rFonts w:ascii="Times New Roman" w:hAnsi="Times New Roman" w:eastAsia="Times New Roman" w:cs="Times New Roman"/>
          <w:sz w:val="24"/>
        </w:rPr>
        <w:t xml:space="preserve">) and computes the population-specific maximum allele frequency (</w:t>
      </w:r>
      <m:oMath>
        <m:sSub>
          <m:e>
            <m:r>
              <m:rPr>
                <m:nor/>
                <m:sty m:val="p"/>
              </m:rPr>
              <m:t>AF</m:t>
            </m:r>
          </m:e>
          <m:sub>
            <m:r>
              <m:rPr>
                <m:nor/>
                <m:sty m:val="p"/>
              </m:rPr>
              <m:t>popmax</m:t>
            </m:r>
          </m:sub>
        </m:sSub>
      </m:oMath>
      <w:r>
        <w:rPr>
          <w:rFonts w:ascii="Times New Roman" w:hAnsi="Times New Roman" w:eastAsia="Times New Roman" w:cs="Times New Roman"/>
          <w:sz w:val="24"/>
        </w:rPr>
        <w:t xml:space="preserve">) as the supremum across all evaluated demographic cohorts:</w:t>
      </w:r>
    </w:p>
    <w:p>
      <w:pPr>
        <w:pStyle w:val="BodyText"/>
      </w:pPr>
      <m:oMathPara>
        <m:oMathParaPr>
          <m:jc m:val="center"/>
        </m:oMathParaPr>
        <m:oMath>
          <m:sSub>
            <m:e>
              <m:r>
                <m:rPr>
                  <m:nor/>
                  <m:sty m:val="p"/>
                </m:rPr>
                <m:t>AF</m:t>
              </m:r>
            </m:e>
            <m:sub>
              <m:r>
                <m:rPr>
                  <m:nor/>
                  <m:sty m:val="p"/>
                </m:rPr>
                <m:t>popmax</m:t>
              </m:r>
            </m:sub>
          </m:sSub>
          <m:r>
            <m:rPr>
              <m:sty m:val="p"/>
            </m:rPr>
            <m:t>=</m:t>
          </m:r>
          <m:limLow>
            <m:e>
              <m:r>
                <m:rPr>
                  <m:sty m:val="p"/>
                </m:rPr>
                <m:t>max</m:t>
              </m:r>
            </m:e>
            <m:lim>
              <m:r>
                <m:t>p</m:t>
              </m:r>
              <m:r>
                <m:rPr>
                  <m:sty m:val="p"/>
                </m:rPr>
                <m:t>∈</m:t>
              </m:r>
              <m:r>
                <m:rPr>
                  <m:sty m:val="p"/>
                  <m:scr m:val="script"/>
                </m:rPr>
                <m:t>P</m:t>
              </m:r>
            </m:lim>
          </m:limLow>
          <m:d>
            <m:dPr>
              <m:begChr m:val="("/>
              <m:endChr m:val=")"/>
              <m:sepChr m:val=""/>
              <m:grow/>
            </m:dPr>
            <m:e>
              <m:sSub>
                <m:e>
                  <m:r>
                    <m:rPr>
                      <m:nor/>
                      <m:sty m:val="p"/>
                    </m:rPr>
                    <m:t>AF</m:t>
                  </m:r>
                </m:e>
                <m:sub>
                  <m:r>
                    <m:t>p</m:t>
                  </m:r>
                </m:sub>
              </m:sSub>
            </m:e>
          </m:d>
        </m:oMath>
      </m:oMathPara>
    </w:p>
    <w:p>
      <w:pPr>
        <w:pStyle w:val="FirstParagraph"/>
      </w:pPr>
      <w:r>
        <w:rPr>
          <w:rFonts w:ascii="Times New Roman" w:hAnsi="Times New Roman" w:eastAsia="Times New Roman" w:cs="Times New Roman"/>
          <w:sz w:val="24"/>
        </w:rPr>
        <w:t xml:space="preserve">These frequencies are mapped to the ACMG/AMP standardized evidence codes using a discrete piecewise classification function:</w:t>
      </w:r>
    </w:p>
    <w:p>
      <w:pPr>
        <w:pStyle w:val="BodyText"/>
      </w:pPr>
      <m:oMathPara>
        <m:oMathParaPr>
          <m:jc m:val="center"/>
        </m:oMathParaPr>
        <m:oMath>
          <m:r>
            <m:rPr>
              <m:nor/>
              <m:sty m:val="p"/>
            </m:rPr>
            <m:t>Evidence</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BA1 (Standalone Benign)</m:t>
                    </m:r>
                  </m:e>
                  <m:e>
                    <m:r>
                      <m:rPr>
                        <m:nor/>
                        <m:sty m:val="p"/>
                      </m:rPr>
                      <m:t>if </m:t>
                    </m:r>
                    <m:sSub>
                      <m:e>
                        <m:r>
                          <m:rPr>
                            <m:nor/>
                            <m:sty m:val="p"/>
                          </m:rPr>
                          <m:t>AF</m:t>
                        </m:r>
                      </m:e>
                      <m:sub>
                        <m:r>
                          <m:rPr>
                            <m:nor/>
                            <m:sty m:val="p"/>
                          </m:rPr>
                          <m:t>popmax</m:t>
                        </m:r>
                      </m:sub>
                    </m:sSub>
                    <m:r>
                      <m:rPr>
                        <m:sty m:val="p"/>
                      </m:rPr>
                      <m:t>≥</m:t>
                    </m:r>
                    <m:r>
                      <m:t>0.05</m:t>
                    </m:r>
                  </m:e>
                </m:mr>
                <m:mr>
                  <m:e>
                    <m:r>
                      <m:rPr>
                        <m:nor/>
                        <m:sty m:val="p"/>
                      </m:rPr>
                      <m:t>BS1 (Strong Benign)</m:t>
                    </m:r>
                  </m:e>
                  <m:e>
                    <m:r>
                      <m:rPr>
                        <m:nor/>
                        <m:sty m:val="p"/>
                      </m:rPr>
                      <m:t>if </m:t>
                    </m:r>
                    <m:sSub>
                      <m:e>
                        <m:r>
                          <m:rPr>
                            <m:nor/>
                            <m:sty m:val="p"/>
                          </m:rPr>
                          <m:t>AF</m:t>
                        </m:r>
                      </m:e>
                      <m:sub>
                        <m:r>
                          <m:rPr>
                            <m:nor/>
                            <m:sty m:val="p"/>
                          </m:rPr>
                          <m:t>joint</m:t>
                        </m:r>
                      </m:sub>
                    </m:sSub>
                    <m:r>
                      <m:rPr>
                        <m:sty m:val="p"/>
                      </m:rPr>
                      <m:t>≥</m:t>
                    </m:r>
                    <m:r>
                      <m:t>0.01</m:t>
                    </m:r>
                  </m:e>
                </m:mr>
                <m:mr>
                  <m:e>
                    <m:r>
                      <m:rPr>
                        <m:nor/>
                        <m:sty m:val="p"/>
                      </m:rPr>
                      <m:t>PM2 (Moderate Pathogenic)</m:t>
                    </m:r>
                  </m:e>
                  <m:e>
                    <m:r>
                      <m:rPr>
                        <m:nor/>
                        <m:sty m:val="p"/>
                      </m:rPr>
                      <m:t>if </m:t>
                    </m:r>
                    <m:sSub>
                      <m:e>
                        <m:r>
                          <m:rPr>
                            <m:nor/>
                            <m:sty m:val="p"/>
                          </m:rPr>
                          <m:t>AF</m:t>
                        </m:r>
                      </m:e>
                      <m:sub>
                        <m:r>
                          <m:rPr>
                            <m:nor/>
                            <m:sty m:val="p"/>
                          </m:rPr>
                          <m:t>joint</m:t>
                        </m:r>
                      </m:sub>
                    </m:sSub>
                    <m:r>
                      <m:rPr>
                        <m:sty m:val="p"/>
                      </m:rPr>
                      <m:t>&lt;</m:t>
                    </m:r>
                    <m:sSup>
                      <m:e>
                        <m:r>
                          <m:t>10</m:t>
                        </m:r>
                      </m:e>
                      <m:sup>
                        <m:r>
                          <m:rPr>
                            <m:sty m:val="p"/>
                          </m:rPr>
                          <m:t>−</m:t>
                        </m:r>
                        <m:r>
                          <m:t>4</m:t>
                        </m:r>
                      </m:sup>
                    </m:sSup>
                  </m:e>
                </m:mr>
              </m:m>
            </m:e>
          </m:d>
        </m:oMath>
      </m:oMathPara>
    </w:p>
    <w:p>
      <w:pPr>
        <w:pStyle w:val="FirstParagraph"/>
      </w:pPr>
      <w:r>
        <w:rPr>
          <w:rFonts w:ascii="Times New Roman" w:hAnsi="Times New Roman" w:eastAsia="Times New Roman" w:cs="Times New Roman"/>
          <w:sz w:val="24"/>
        </w:rPr>
        <w:t xml:space="preserve">By prioritizing</w:t>
      </w:r>
      <w:r>
        <w:rPr>
          <w:rFonts w:ascii="Times New Roman" w:hAnsi="Times New Roman" w:eastAsia="Times New Roman" w:cs="Times New Roman"/>
          <w:sz w:val="24"/>
        </w:rPr>
        <w:t xml:space="preserve"> </w:t>
      </w:r>
      <m:oMath>
        <m:sSub>
          <m:e>
            <m:r>
              <m:rPr>
                <m:nor/>
                <m:sty m:val="p"/>
              </m:rPr>
              <m:t>AF</m:t>
            </m:r>
          </m:e>
          <m:sub>
            <m:r>
              <m:rPr>
                <m:nor/>
                <m:sty m:val="p"/>
              </m:rPr>
              <m:t>popmax</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the BA1 threshold, the system guarantees that population-specific benign variants are not misclassified as pathogenic due to underrepresentation in the global aggregate, establishing a critical equity safeguard in clinical genomics.</w:t>
      </w:r>
    </w:p>
    <w:bookmarkEnd w:id="54"/>
    <w:bookmarkStart w:id="55" w:name="Xd688eff8d4c50e6485228118403c800f0da08bb"/>
    <w:p>
      <w:pPr>
        <w:pStyle w:val="Heading3"/>
      </w:pPr>
      <w:r>
        <w:rPr>
          <w:rFonts w:ascii="Times New Roman" w:hAnsi="Times New Roman" w:eastAsia="Times New Roman" w:cs="Times New Roman"/>
          <w:sz w:val="24"/>
        </w:rPr>
        <w:t xml:space="preserve">7.3 Architectural Optimization: Compute-Aware Short-Circuiting</w:t>
      </w:r>
    </w:p>
    <w:p>
      <w:pPr>
        <w:pStyle w:val="FirstParagraph"/>
      </w:pPr>
      <w:r>
        <w:rPr>
          <w:rFonts w:ascii="Times New Roman" w:hAnsi="Times New Roman" w:eastAsia="Times New Roman" w:cs="Times New Roman"/>
          <w:sz w:val="24"/>
        </w:rPr>
        <w:t xml:space="preserve">Beyond clinical accuracy, the population frequency filter serves as a critical systems-engineering optimization. The BA1 rule (</w:t>
      </w:r>
      <m:oMath>
        <m:sSub>
          <m:e>
            <m:r>
              <m:rPr>
                <m:nor/>
                <m:sty m:val="p"/>
              </m:rPr>
              <m:t>AF</m:t>
            </m:r>
          </m:e>
          <m:sub>
            <m:r>
              <m:rPr>
                <m:nor/>
                <m:sty m:val="p"/>
              </m:rPr>
              <m:t>popmax</m:t>
            </m:r>
          </m:sub>
        </m:sSub>
        <m:r>
          <m:rPr>
            <m:sty m:val="p"/>
          </m:rPr>
          <m:t>≥</m:t>
        </m:r>
        <m:r>
          <m:t>0.05</m:t>
        </m:r>
      </m:oMath>
      <w:r>
        <w:rPr>
          <w:rFonts w:ascii="Times New Roman" w:hAnsi="Times New Roman" w:eastAsia="Times New Roman" w:cs="Times New Roman"/>
          <w:sz w:val="24"/>
        </w:rPr>
        <w:t xml:space="preserve">) is implemented as a heuristic short-circuit in the primary execution loop: if a queried variant satisfies the BA1 condition, the variant is definitively classified as benign, bypassing the GPU inference pipeline entirely. This reduces end-to-end classification latency for common variants from 5–15 seconds to</w:t>
      </w:r>
      <w:r>
        <w:rPr>
          <w:rFonts w:ascii="Times New Roman" w:hAnsi="Times New Roman" w:eastAsia="Times New Roman" w:cs="Times New Roman"/>
          <w:sz w:val="24"/>
        </w:rPr>
        <w:t xml:space="preserve"> </w:t>
      </w:r>
      <m:oMath>
        <m:r>
          <m:rPr>
            <m:sty m:val="p"/>
          </m:rPr>
          <m:t>&lt;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seconds while maintaining strict ACMG diagnostic compliance. Implementation details (cache configuration, serverless deployment) are provided in Supplementary Methods.</w:t>
      </w:r>
    </w:p>
    <w:p>
      <w:r>
        <w:rPr>
          <w:rFonts w:ascii="Times New Roman" w:hAnsi="Times New Roman" w:eastAsia="Times New Roman" w:cs="Times New Roman"/>
          <w:sz w:val="24"/>
        </w:rPr>
        <w:pict>
          <v:rect style="width:0;height:1.5pt" o:hralign="center" o:hrstd="t" o:hr="t"/>
        </w:pict>
      </w:r>
    </w:p>
    <w:bookmarkEnd w:id="55"/>
    <w:bookmarkEnd w:id="56"/>
    <w:bookmarkStart w:id="61" w:name="clinical-evidence-enrichment"/>
    <w:p>
      <w:pPr>
        <w:pStyle w:val="Heading2"/>
      </w:pPr>
      <w:r>
        <w:rPr>
          <w:rFonts w:ascii="Times New Roman" w:hAnsi="Times New Roman" w:eastAsia="Times New Roman" w:cs="Times New Roman"/>
          <w:sz w:val="24"/>
        </w:rPr>
        <w:t xml:space="preserve">8. Clinical Evidence Enrichment</w:t>
      </w:r>
    </w:p>
    <w:p>
      <w:pPr>
        <w:pStyle w:val="FirstParagraph"/>
      </w:pPr>
      <w:r>
        <w:rPr>
          <w:rFonts w:ascii="Times New Roman" w:hAnsi="Times New Roman" w:eastAsia="Times New Roman" w:cs="Times New Roman"/>
          <w:sz w:val="24"/>
        </w:rPr>
        <w:t xml:space="preserve">Five evidence sources are queried in parallel:</w:t>
      </w:r>
    </w:p>
    <w:bookmarkStart w:id="57" w:name="clinvar"/>
    <w:p>
      <w:pPr>
        <w:pStyle w:val="Heading3"/>
      </w:pPr>
      <w:r>
        <w:rPr>
          <w:rFonts w:ascii="Times New Roman" w:hAnsi="Times New Roman" w:eastAsia="Times New Roman" w:cs="Times New Roman"/>
          <w:sz w:val="24"/>
        </w:rPr>
        <w:t xml:space="preserve">8.1 ClinVar</w:t>
      </w:r>
    </w:p>
    <w:p>
      <w:pPr>
        <w:pStyle w:val="FirstParagraph"/>
      </w:pPr>
      <w:r>
        <w:rPr>
          <w:rFonts w:ascii="Times New Roman" w:hAnsi="Times New Roman" w:eastAsia="Times New Roman" w:cs="Times New Roman"/>
          <w:sz w:val="24"/>
        </w:rPr>
        <w:t xml:space="preserve">NCBI ClinVar (Entrez ESearch + EFetch) provides clinical significance, review status (0–4 stars per the ClinVar review system), submitter count, and conflict flags [30]. Review status quantifies the strength of community consensus: 4 stars indicates a practice guideline, 3 stars indicates professional society review, 2 stars indicates consensus from multiple submitters, 1 star indicates a single submitter, and 0 stars indicates no review.</w:t>
      </w:r>
    </w:p>
    <w:bookmarkEnd w:id="57"/>
    <w:bookmarkStart w:id="58" w:name="uniprot"/>
    <w:p>
      <w:pPr>
        <w:pStyle w:val="Heading3"/>
      </w:pPr>
      <w:r>
        <w:rPr>
          <w:rFonts w:ascii="Times New Roman" w:hAnsi="Times New Roman" w:eastAsia="Times New Roman" w:cs="Times New Roman"/>
          <w:sz w:val="24"/>
        </w:rPr>
        <w:t xml:space="preserve">8.2 UniProt</w:t>
      </w:r>
    </w:p>
    <w:p>
      <w:pPr>
        <w:pStyle w:val="FirstParagraph"/>
      </w:pPr>
      <w:r>
        <w:rPr>
          <w:rFonts w:ascii="Times New Roman" w:hAnsi="Times New Roman" w:eastAsia="Times New Roman" w:cs="Times New Roman"/>
          <w:sz w:val="24"/>
        </w:rPr>
        <w:t xml:space="preserve">The UniProt REST API provides protein annotations: functional domains (Pfam/InterPro), subcellular localization, Gene Ontology (GO) molecular function terms, and disease associations [31,32]. Domain context is biologically significant — a missense variant within the RING finger domain of BRCA1 (E3 ubiquitin ligase activity) has different pathogenic potential than one in a disordered linker region.</w:t>
      </w:r>
    </w:p>
    <w:bookmarkEnd w:id="58"/>
    <w:bookmarkStart w:id="59" w:name="pubmed"/>
    <w:p>
      <w:pPr>
        <w:pStyle w:val="Heading3"/>
      </w:pPr>
      <w:r>
        <w:rPr>
          <w:rFonts w:ascii="Times New Roman" w:hAnsi="Times New Roman" w:eastAsia="Times New Roman" w:cs="Times New Roman"/>
          <w:sz w:val="24"/>
        </w:rPr>
        <w:t xml:space="preserve">8.3 PubMed</w:t>
      </w:r>
    </w:p>
    <w:p>
      <w:pPr>
        <w:pStyle w:val="FirstParagraph"/>
      </w:pPr>
      <w:r>
        <w:rPr>
          <w:rFonts w:ascii="Times New Roman" w:hAnsi="Times New Roman" w:eastAsia="Times New Roman" w:cs="Times New Roman"/>
          <w:sz w:val="24"/>
        </w:rPr>
        <w:t xml:space="preserve">NCBI PubMed (Entrez ESearch + EFetch) retrieves up to 20 recent abstracts. A Groq-hosted Llama 3.3 70B model [33] synthesizes these into a structured summary, extracting functional studies, case reports, and population frequency data.</w:t>
      </w:r>
    </w:p>
    <w:bookmarkEnd w:id="59"/>
    <w:bookmarkStart w:id="60" w:name="alphamissense"/>
    <w:p>
      <w:pPr>
        <w:pStyle w:val="Heading3"/>
      </w:pPr>
      <w:r>
        <w:rPr>
          <w:rFonts w:ascii="Times New Roman" w:hAnsi="Times New Roman" w:eastAsia="Times New Roman" w:cs="Times New Roman"/>
          <w:sz w:val="24"/>
        </w:rPr>
        <w:t xml:space="preserve">8.4 AlphaMissense</w:t>
      </w:r>
    </w:p>
    <w:p>
      <w:pPr>
        <w:pStyle w:val="FirstParagraph"/>
      </w:pPr>
      <w:r>
        <w:rPr>
          <w:rFonts w:ascii="Times New Roman" w:hAnsi="Times New Roman" w:eastAsia="Times New Roman" w:cs="Times New Roman"/>
          <w:sz w:val="24"/>
        </w:rPr>
        <w:t xml:space="preserve">AlphaMissense [2] is a protein language model that predicts pathogenicity scores for all 71 million possible missense variants in the human proteome. The model fine-tunes a pretrained protein language model (based on the MSA transformer architecture [34]) on ClinVar-annotated variants, learning to distinguish pathogenic from benign substitutions using evolutionary conservation and amino acid physicochemical properties.</w:t>
      </w:r>
    </w:p>
    <w:p>
      <w:pPr>
        <w:pStyle w:val="BodyText"/>
      </w:pPr>
      <w:r>
        <w:rPr>
          <w:rFonts w:ascii="Times New Roman" w:hAnsi="Times New Roman" w:eastAsia="Times New Roman" w:cs="Times New Roman"/>
          <w:sz w:val="24"/>
        </w:rPr>
        <w:t xml:space="preserve">A local DuckDB database (9.2 GB) stores all predictions. Lookup by composite key</w:t>
      </w:r>
      <w:r>
        <w:rPr>
          <w:rFonts w:ascii="Times New Roman" w:hAnsi="Times New Roman" w:eastAsia="Times New Roman" w:cs="Times New Roman"/>
          <w:sz w:val="24"/>
        </w:rPr>
        <w:t xml:space="preserve"> </w:t>
      </w:r>
      <m:oMath>
        <m:d>
          <m:dPr>
            <m:begChr m:val="("/>
            <m:endChr m:val=")"/>
            <m:sepChr m:val=""/>
            <m:grow/>
          </m:dPr>
          <m:e>
            <m:r>
              <m:rPr>
                <m:nor/>
                <m:sty m:val="p"/>
              </m:rPr>
              <m:t>UniProt_accession</m:t>
            </m:r>
            <m:r>
              <m:rPr>
                <m:sty m:val="p"/>
              </m:rPr>
              <m:t>,</m:t>
            </m:r>
            <m:r>
              <m:rPr>
                <m:nor/>
                <m:sty m:val="p"/>
              </m:rPr>
              <m:t>position</m:t>
            </m:r>
            <m:r>
              <m:rPr>
                <m:sty m:val="p"/>
              </m:rPr>
              <m:t>,</m:t>
            </m:r>
            <m:r>
              <m:rPr>
                <m:nor/>
                <m:sty m:val="p"/>
              </m:rPr>
              <m:t>ref_aa</m:t>
            </m:r>
            <m:r>
              <m:rPr>
                <m:sty m:val="p"/>
              </m:rPr>
              <m:t>,</m:t>
            </m:r>
            <m:r>
              <m:rPr>
                <m:nor/>
                <m:sty m:val="p"/>
              </m:rPr>
              <m:t>alt_aa</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returns a score</w:t>
      </w:r>
      <w:r>
        <w:rPr>
          <w:rFonts w:ascii="Times New Roman" w:hAnsi="Times New Roman" w:eastAsia="Times New Roman" w:cs="Times New Roman"/>
          <w:sz w:val="24"/>
        </w:rPr>
        <w:t xml:space="preserve"> </w:t>
      </w:r>
      <m:oMath>
        <m:r>
          <m:t>A</m:t>
        </m:r>
        <m:r>
          <m:t>M</m:t>
        </m:r>
        <m:r>
          <m:rPr>
            <m:sty m:val="p"/>
          </m:rPr>
          <m:t>∈</m:t>
        </m:r>
        <m:d>
          <m:dPr>
            <m:begChr m:val="["/>
            <m:endChr m:val="]"/>
            <m:sepChr m:val=""/>
            <m:grow/>
          </m:dPr>
          <m:e>
            <m:r>
              <m:t>0</m:t>
            </m:r>
            <m:r>
              <m:rPr>
                <m:sty m:val="p"/>
              </m:rPr>
              <m:t>,</m:t>
            </m:r>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z w:val="24"/>
        </w:rPr>
        <w:t xml:space="preserve"> </w:t>
      </w:r>
      <m:oMath>
        <m:r>
          <m:rPr>
            <m:sty m:val="p"/>
            <m:scr m:val="script"/>
          </m:rPr>
          <m:t>O</m:t>
        </m:r>
        <m:d>
          <m:dPr>
            <m:begChr m:val="("/>
            <m:endChr m:val=")"/>
            <m:sepChr m:val=""/>
            <m:grow/>
          </m:dPr>
          <m:e>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time (mean latency 2.6 ms). Classification thresholds from the original publication:</w:t>
      </w:r>
    </w:p>
    <w:p>
      <w:pPr>
        <w:pStyle w:val="BodyText"/>
      </w:pPr>
      <m:oMathPara>
        <m:oMathParaPr>
          <m:jc m:val="center"/>
        </m:oMathParaPr>
        <m:oMath>
          <m:sSub>
            <m:e>
              <m:acc>
                <m:accPr>
                  <m:chr m:val="̂"/>
                </m:accPr>
                <m:e>
                  <m:r>
                    <m:t>y</m:t>
                  </m:r>
                </m:e>
              </m:acc>
            </m:e>
            <m:sub>
              <m:r>
                <m:rPr>
                  <m:nor/>
                  <m:sty m:val="p"/>
                </m:rPr>
                <m:t>AM</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Pathogenic</m:t>
                    </m:r>
                  </m:e>
                  <m:e>
                    <m:r>
                      <m:rPr>
                        <m:nor/>
                        <m:sty m:val="p"/>
                      </m:rPr>
                      <m:t>if </m:t>
                    </m:r>
                    <m:r>
                      <m:t>A</m:t>
                    </m:r>
                    <m:r>
                      <m:t>M</m:t>
                    </m:r>
                    <m:r>
                      <m:rPr>
                        <m:sty m:val="p"/>
                      </m:rPr>
                      <m:t>&gt;</m:t>
                    </m:r>
                    <m:r>
                      <m:t>0.564</m:t>
                    </m:r>
                  </m:e>
                </m:mr>
                <m:mr>
                  <m:e>
                    <m:r>
                      <m:rPr>
                        <m:nor/>
                        <m:sty m:val="p"/>
                      </m:rPr>
                      <m:t>Benign</m:t>
                    </m:r>
                  </m:e>
                  <m:e>
                    <m:r>
                      <m:rPr>
                        <m:nor/>
                        <m:sty m:val="p"/>
                      </m:rPr>
                      <m:t>if </m:t>
                    </m:r>
                    <m:r>
                      <m:t>A</m:t>
                    </m:r>
                    <m:r>
                      <m:t>M</m:t>
                    </m:r>
                    <m:r>
                      <m:rPr>
                        <m:sty m:val="p"/>
                      </m:rPr>
                      <m:t>&lt;</m:t>
                    </m:r>
                    <m:r>
                      <m:t>0.340</m:t>
                    </m:r>
                  </m:e>
                </m:mr>
                <m:mr>
                  <m:e>
                    <m:r>
                      <m:rPr>
                        <m:nor/>
                        <m:sty m:val="p"/>
                      </m:rPr>
                      <m:t>Uncertain</m:t>
                    </m:r>
                  </m:e>
                  <m:e>
                    <m:r>
                      <m:rPr>
                        <m:nor/>
                        <m:sty m:val="p"/>
                      </m:rPr>
                      <m:t>otherwise</m:t>
                    </m:r>
                  </m:e>
                </m:mr>
              </m:m>
            </m:e>
          </m:d>
        </m:oMath>
      </m:oMathPara>
    </w:p>
    <w:p>
      <w:pPr>
        <w:pStyle w:val="FirstParagraph"/>
      </w:pPr>
      <w:r>
        <w:rPr>
          <w:rFonts w:ascii="Times New Roman" w:hAnsi="Times New Roman" w:eastAsia="Times New Roman" w:cs="Times New Roman"/>
          <w:sz w:val="24"/>
        </w:rPr>
        <w:t xml:space="preserve">These thresholds correspond to the 90th percentile separation between pathogenic and benign ClinVar variants in the training set.</w:t>
      </w:r>
    </w:p>
    <w:p>
      <w:r>
        <w:rPr>
          <w:rFonts w:ascii="Times New Roman" w:hAnsi="Times New Roman" w:eastAsia="Times New Roman" w:cs="Times New Roman"/>
          <w:sz w:val="24"/>
        </w:rPr>
        <w:pict>
          <v:rect style="width:0;height:1.5pt" o:hralign="center" o:hrstd="t" o:hr="t"/>
        </w:pict>
      </w:r>
    </w:p>
    <w:bookmarkEnd w:id="60"/>
    <w:bookmarkEnd w:id="61"/>
    <w:bookmarkStart w:id="84" w:name="Xf23a09bd95e96e67f3b3407f7efe86269cf4103"/>
    <w:p>
      <w:pPr>
        <w:pStyle w:val="Heading2"/>
      </w:pPr>
      <w:r>
        <w:rPr>
          <w:rFonts w:ascii="Times New Roman" w:hAnsi="Times New Roman" w:eastAsia="Times New Roman" w:cs="Times New Roman"/>
          <w:sz w:val="24"/>
        </w:rPr>
        <w:t xml:space="preserve">9. CEFN v2 — Confidence-Estimated Fusion Network</w:t>
      </w:r>
    </w:p>
    <w:bookmarkStart w:id="62" w:name="motivation-and-problem-formulation"/>
    <w:p>
      <w:pPr>
        <w:pStyle w:val="Heading3"/>
      </w:pPr>
      <w:r>
        <w:rPr>
          <w:rFonts w:ascii="Times New Roman" w:hAnsi="Times New Roman" w:eastAsia="Times New Roman" w:cs="Times New Roman"/>
          <w:sz w:val="24"/>
        </w:rPr>
        <w:t xml:space="preserve">9.1 Motivation and Problem Formulation</w:t>
      </w:r>
    </w:p>
    <w:p>
      <w:pPr>
        <w:pStyle w:val="FirstParagraph"/>
      </w:pPr>
      <w:r>
        <w:rPr>
          <w:rFonts w:ascii="Times New Roman" w:hAnsi="Times New Roman" w:eastAsia="Times New Roman" w:cs="Times New Roman"/>
          <w:sz w:val="24"/>
        </w:rPr>
        <w:t xml:space="preserve">Clinical variant interpretation pipelines that combine multiple predictors face three fundamental limitations. First,</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missing data</w:t>
      </w:r>
      <w:r>
        <w:rPr>
          <w:rFonts w:ascii="Times New Roman" w:hAnsi="Times New Roman" w:eastAsia="Times New Roman" w:cs="Times New Roman"/>
          <w:sz w:val="24"/>
        </w:rPr>
        <w:t xml:space="preserve">: AlphaMissense covers only missense variants; for non-missense variants (nonsense, splice site, frameshift, synonymous), the AlphaMissense predictor is unavailable. Standard fusion approaches (mean imputation, re-weighting) do not model the information loss from a missing predictor — they treat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 says benign”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 is unavailable”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identically. Second,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overconfident fusion</w:t>
      </w:r>
      <w:r>
        <w:rPr>
          <w:rFonts w:ascii="Times New Roman" w:hAnsi="Times New Roman" w:eastAsia="Times New Roman" w:cs="Times New Roman"/>
          <w:sz w:val="24"/>
        </w:rPr>
        <w:t xml:space="preserve">: weighted averaging produces a point estimate without calibrated uncertainty. Clinical decision-making requires knowing when the model is uncertain —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“Likely pathogenic”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prediction at 99% confidence warrants different clinical action than the same prediction at 55%. Third,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VUS collapse</w:t>
      </w:r>
      <w:r>
        <w:rPr>
          <w:rFonts w:ascii="Times New Roman" w:hAnsi="Times New Roman" w:eastAsia="Times New Roman" w:cs="Times New Roman"/>
          <w:sz w:val="24"/>
        </w:rPr>
        <w:t xml:space="preserve">: Dempster-Shafer combination rules, the standard approach for evidence fusion, produce low belief masses when predictors disagree or when only one is available, causing the baseline to abstain on the majority of variants (66.2% VUS rate).</w:t>
      </w:r>
    </w:p>
    <w:p>
      <w:pPr>
        <w:pStyle w:val="BodyText"/>
      </w:pPr>
      <w:r>
        <w:rPr>
          <w:rFonts w:ascii="Times New Roman" w:hAnsi="Times New Roman" w:eastAsia="Times New Roman" w:cs="Times New Roman"/>
          <w:sz w:val="24"/>
        </w:rPr>
        <w:t xml:space="preserve">CEFN v2 addresses all three limitations through an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evidential deep learning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framework grounded in Dempster-Shafer theory. Given</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predictors (here</w:t>
      </w:r>
      <w:r>
        <w:rPr>
          <w:rFonts w:ascii="Times New Roman" w:hAnsi="Times New Roman" w:eastAsia="Times New Roman" w:cs="Times New Roman"/>
          <w:sz w:val="24"/>
        </w:rPr>
        <w:t xml:space="preserve"> </w:t>
      </w:r>
      <m:oMath>
        <m:r>
          <m:t>K</m:t>
        </m:r>
        <m:r>
          <m:rPr>
            <m:sty m:val="p"/>
          </m:rPr>
          <m:t>=</m:t>
        </m:r>
        <m:r>
          <m:t>2</m:t>
        </m:r>
      </m:oMath>
      <w:r>
        <w:rPr>
          <w:rFonts w:ascii="Times New Roman" w:hAnsi="Times New Roman" w:eastAsia="Times New Roman" w:cs="Times New Roman"/>
          <w:sz w:val="24"/>
        </w:rPr>
        <w:t xml:space="preserve">: Evo2 and AlphaMissense), each producing a calibrated score</w:t>
      </w:r>
      <w:r>
        <w:rPr>
          <w:rFonts w:ascii="Times New Roman" w:hAnsi="Times New Roman" w:eastAsia="Times New Roman" w:cs="Times New Roman"/>
          <w:sz w:val="24"/>
        </w:rPr>
        <w:t xml:space="preserve"> </w:t>
      </w:r>
      <m:oMath>
        <m:sSub>
          <m:e>
            <m:r>
              <m:t>s</m:t>
            </m:r>
          </m:e>
          <m:sub>
            <m:r>
              <m:t>k</m:t>
            </m:r>
          </m:sub>
        </m:sSub>
        <m:r>
          <m:rPr>
            <m:sty m:val="p"/>
          </m:rPr>
          <m:t>∈</m:t>
        </m:r>
        <m:d>
          <m:dPr>
            <m:begChr m:val="["/>
            <m:endChr m:val="]"/>
            <m:sepChr m:val=""/>
            <m:grow/>
          </m:dPr>
          <m:e>
            <m:r>
              <m:t>0</m:t>
            </m:r>
            <m:r>
              <m:rPr>
                <m:sty m:val="p"/>
              </m:rPr>
              <m:t>,</m:t>
            </m:r>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a binary availability mask</w:t>
      </w:r>
      <w:r>
        <w:rPr>
          <w:rFonts w:ascii="Times New Roman" w:hAnsi="Times New Roman" w:eastAsia="Times New Roman" w:cs="Times New Roman"/>
          <w:sz w:val="24"/>
        </w:rPr>
        <w:t xml:space="preserve"> </w:t>
      </w:r>
      <m:oMath>
        <m:sSub>
          <m:e>
            <m:r>
              <m:t>m</m:t>
            </m:r>
          </m:e>
          <m:sub>
            <m:r>
              <m:t>k</m:t>
            </m:r>
          </m:sub>
        </m:sSub>
        <m:r>
          <m:rPr>
            <m:sty m:val="p"/>
          </m:rPr>
          <m:t>∈</m:t>
        </m:r>
        <m:r>
          <m:rPr>
            <m:sty m:val="p"/>
          </m:rPr>
          <m:t>{</m:t>
        </m:r>
        <m:r>
          <m:t>0</m:t>
        </m:r>
        <m:r>
          <m:rPr>
            <m:sty m:val="p"/>
          </m:rPr>
          <m:t>,</m:t>
        </m:r>
        <m:r>
          <m:t>1</m:t>
        </m:r>
        <m:r>
          <m:rPr>
            <m:sty m:val="p"/>
          </m:rPr>
          <m:t>}</m:t>
        </m:r>
      </m:oMath>
      <w:r>
        <w:rPr>
          <w:rFonts w:ascii="Times New Roman" w:hAnsi="Times New Roman" w:eastAsia="Times New Roman" w:cs="Times New Roman"/>
          <w:sz w:val="24"/>
        </w:rPr>
        <w:t xml:space="preserve">, the task is to produce a calibrated probability distribution over three classes: Pathogenic (</w:t>
      </w:r>
      <m:oMath>
        <m:r>
          <m:t>P</m:t>
        </m:r>
      </m:oMath>
      <w:r>
        <w:rPr>
          <w:rFonts w:ascii="Times New Roman" w:hAnsi="Times New Roman" w:eastAsia="Times New Roman" w:cs="Times New Roman"/>
          <w:sz w:val="24"/>
        </w:rPr>
        <w:t xml:space="preserve">), Benign (</w:t>
      </w:r>
      <m:oMath>
        <m:r>
          <m:t>B</m:t>
        </m:r>
      </m:oMath>
      <w:r>
        <w:rPr>
          <w:rFonts w:ascii="Times New Roman" w:hAnsi="Times New Roman" w:eastAsia="Times New Roman" w:cs="Times New Roman"/>
          <w:sz w:val="24"/>
        </w:rPr>
        <w:t xml:space="preserve">), and Variant of Uncertain Significance (VUS).</w:t>
      </w:r>
    </w:p>
    <w:bookmarkEnd w:id="62"/>
    <w:bookmarkStart w:id="63" w:name="dataset-and-data-partitioning"/>
    <w:p>
      <w:pPr>
        <w:pStyle w:val="Heading3"/>
      </w:pPr>
      <w:r>
        <w:rPr>
          <w:rFonts w:ascii="Times New Roman" w:hAnsi="Times New Roman" w:eastAsia="Times New Roman" w:cs="Times New Roman"/>
          <w:sz w:val="24"/>
        </w:rPr>
        <w:t xml:space="preserve">9.2 Dataset and Data Partitioning</w:t>
      </w:r>
    </w:p>
    <w:p>
      <w:pPr>
        <w:pStyle w:val="FirstParagraph"/>
      </w:pPr>
      <w:r>
        <w:rPr>
          <w:rFonts w:ascii="Times New Roman" w:hAnsi="Times New Roman" w:eastAsia="Times New Roman" w:cs="Times New Roman"/>
          <w:sz w:val="24"/>
        </w:rPr>
        <w:t xml:space="preserve">The training dataset comprises 4,000 single-nucleotide variants from ClinVar (release 2026-05-23, genome build hg38), sampled across all autosomes with stratification by clinical significance. Inclusion criteria: (i) SNVs only, (ii) ClinVar review status</w:t>
      </w:r>
      <w:r>
        <w:rPr>
          <w:rFonts w:ascii="Times New Roman" w:hAnsi="Times New Roman" w:eastAsia="Times New Roman" w:cs="Times New Roman"/>
          <w:sz w:val="24"/>
        </w:rPr>
        <w:t xml:space="preserve"> </w:t>
      </w:r>
      <m:oMath>
        <m:r>
          <m:rPr>
            <m:sty m:val="p"/>
          </m:rPr>
          <m: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(criteria provided), (iii) unambiguous labels (Pathogenic/Likely Pathogenic or Benign/Likely Benign). Variants with conflicting classifications were retained as a separate VUS category for uncertainty evaluation.</w:t>
      </w:r>
    </w:p>
    <w:p>
      <w:pPr>
        <w:pStyle w:val="BodyText"/>
      </w:pPr>
      <w:r>
        <w:rPr>
          <w:rFonts w:ascii="Times New Roman" w:hAnsi="Times New Roman" w:eastAsia="Times New Roman" w:cs="Times New Roman"/>
          <w:sz w:val="24"/>
        </w:rPr>
        <w:t xml:space="preserve">To prevent linkage disequilibrium (LD) leakage — variants on the same chromosome may share haplotype blocks, and random splitting can place correlated variants in both train and test sets — the data is partitioned by chromosome:</w:t>
      </w:r>
    </w:p>
    <w:p>
      <w:pPr>
        <w:pStyle w:val="Caption"/>
      </w:pPr>
      <w:bookmarkStart w:id="77616" w:name="_Tbl7"/>
      <w:r>
        <w:rPr>
          <w:rFonts w:ascii="Times New Roman" w:hAnsi="Times New Roman" w:eastAsia="Times New Roman" w:cs="Times New Roman"/>
          <w:b/>
          <w:bCs/>
          <w:sz w:val="24"/>
        </w:rPr>
        <w:t xml:space="preserve">Table 7: Chromosome-Based Data Partitioning.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Training, validation, and test splits for CEFN v2 evaluation, partitioned by chromosome to prevent linkage disequilibrium leakage. The test set (chr 19–22) is fully held out from training and validation.</w:t>
      </w:r>
      <w:bookmarkEnd w:id="77616"/>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Split</w:t>
            </w:r>
          </w:p>
        </w:tc>
        <w:tc>
          <w:tcPr/>
          <w:p>
            <w:pPr>
              <w:pStyle w:val="Compact"/>
            </w:pPr>
            <w:r>
              <w:rPr>
                <w:rFonts w:ascii="Times New Roman" w:hAnsi="Times New Roman" w:eastAsia="Times New Roman" w:cs="Times New Roman"/>
                <w:sz w:val="20"/>
              </w:rPr>
              <w:t xml:space="preserve">Chromosomes</w:t>
            </w:r>
          </w:p>
        </w:tc>
        <w:tc>
          <w:tcPr/>
          <w:p>
            <w:pPr>
              <w:pStyle w:val="Compact"/>
            </w:pPr>
            <m:oMath>
              <m:r>
                <m:t>n</m:t>
              </m:r>
            </m:oMath>
          </w:p>
        </w:tc>
        <w:tc>
          <w:tcPr/>
          <w:p>
            <w:pPr>
              <w:pStyle w:val="Compact"/>
            </w:pPr>
            <w:r>
              <w:rPr>
                <w:rFonts w:ascii="Times New Roman" w:hAnsi="Times New Roman" w:eastAsia="Times New Roman" w:cs="Times New Roman"/>
                <w:sz w:val="20"/>
              </w:rPr>
              <w:t xml:space="preserve">Purpose</w:t>
            </w:r>
          </w:p>
        </w:tc>
      </w:tr>
      <w:tr>
        <w:tc>
          <w:tcPr/>
          <w:p>
            <w:pPr>
              <w:pStyle w:val="Compact"/>
            </w:pPr>
            <w:r>
              <w:rPr>
                <w:rFonts w:ascii="Times New Roman" w:hAnsi="Times New Roman" w:eastAsia="Times New Roman" w:cs="Times New Roman"/>
                <w:sz w:val="20"/>
              </w:rPr>
              <w:t xml:space="preserve">Training</w:t>
            </w:r>
          </w:p>
        </w:tc>
        <w:tc>
          <w:tcPr/>
          <w:p>
            <w:pPr>
              <w:pStyle w:val="Compact"/>
            </w:pPr>
            <w:r>
              <w:rPr>
                <w:rFonts w:ascii="Times New Roman" w:hAnsi="Times New Roman" w:eastAsia="Times New Roman" w:cs="Times New Roman"/>
                <w:sz w:val="20"/>
              </w:rPr>
              <w:t xml:space="preserve">chr 1–16</w:t>
            </w:r>
          </w:p>
        </w:tc>
        <w:tc>
          <w:tcPr/>
          <w:p>
            <w:pPr>
              <w:pStyle w:val="Compact"/>
            </w:pPr>
            <w:r>
              <w:rPr>
                <w:rFonts w:ascii="Times New Roman" w:hAnsi="Times New Roman" w:eastAsia="Times New Roman" w:cs="Times New Roman"/>
                <w:sz w:val="20"/>
              </w:rPr>
              <w:t xml:space="preserve">3,028</w:t>
            </w:r>
          </w:p>
        </w:tc>
        <w:tc>
          <w:tcPr/>
          <w:p>
            <w:pPr>
              <w:pStyle w:val="Compact"/>
            </w:pPr>
            <w:r>
              <w:rPr>
                <w:rFonts w:ascii="Times New Roman" w:hAnsi="Times New Roman" w:eastAsia="Times New Roman" w:cs="Times New Roman"/>
                <w:sz w:val="20"/>
              </w:rPr>
              <w:t xml:space="preserve">Parameter optimization</w:t>
            </w:r>
          </w:p>
        </w:tc>
      </w:tr>
      <w:tr>
        <w:tc>
          <w:tcPr/>
          <w:p>
            <w:pPr>
              <w:pStyle w:val="Compact"/>
            </w:pPr>
            <w:r>
              <w:rPr>
                <w:rFonts w:ascii="Times New Roman" w:hAnsi="Times New Roman" w:eastAsia="Times New Roman" w:cs="Times New Roman"/>
                <w:sz w:val="20"/>
              </w:rPr>
              <w:t xml:space="preserve">Validation</w:t>
            </w:r>
          </w:p>
        </w:tc>
        <w:tc>
          <w:tcPr/>
          <w:p>
            <w:pPr>
              <w:pStyle w:val="Compact"/>
            </w:pPr>
            <w:r>
              <w:rPr>
                <w:rFonts w:ascii="Times New Roman" w:hAnsi="Times New Roman" w:eastAsia="Times New Roman" w:cs="Times New Roman"/>
                <w:sz w:val="20"/>
              </w:rPr>
              <w:t xml:space="preserve">chr 17–18</w:t>
            </w:r>
          </w:p>
        </w:tc>
        <w:tc>
          <w:tcPr/>
          <w:p>
            <w:pPr>
              <w:pStyle w:val="Compact"/>
            </w:pPr>
            <w:r>
              <w:rPr>
                <w:rFonts w:ascii="Times New Roman" w:hAnsi="Times New Roman" w:eastAsia="Times New Roman" w:cs="Times New Roman"/>
                <w:sz w:val="20"/>
              </w:rPr>
              <w:t xml:space="preserve">341</w:t>
            </w:r>
          </w:p>
        </w:tc>
        <w:tc>
          <w:tcPr/>
          <w:p>
            <w:pPr>
              <w:pStyle w:val="Compact"/>
            </w:pPr>
            <w:r>
              <w:rPr>
                <w:rFonts w:ascii="Times New Roman" w:hAnsi="Times New Roman" w:eastAsia="Times New Roman" w:cs="Times New Roman"/>
                <w:sz w:val="20"/>
              </w:rPr>
              <w:t xml:space="preserve">Early stopping, best-ECE checkpoint</w:t>
            </w:r>
          </w:p>
        </w:tc>
      </w:tr>
      <w:tr>
        <w:tc>
          <w:tcPr/>
          <w:p>
            <w:pPr>
              <w:pStyle w:val="Compact"/>
            </w:pPr>
            <w:r>
              <w:rPr>
                <w:rFonts w:ascii="Times New Roman" w:hAnsi="Times New Roman" w:eastAsia="Times New Roman" w:cs="Times New Roman"/>
                <w:sz w:val="20"/>
              </w:rPr>
              <w:t xml:space="preserve">Test</w:t>
            </w:r>
          </w:p>
        </w:tc>
        <w:tc>
          <w:tcPr/>
          <w:p>
            <w:pPr>
              <w:pStyle w:val="Compact"/>
            </w:pPr>
            <w:r>
              <w:rPr>
                <w:rFonts w:ascii="Times New Roman" w:hAnsi="Times New Roman" w:eastAsia="Times New Roman" w:cs="Times New Roman"/>
                <w:sz w:val="20"/>
              </w:rPr>
              <w:t xml:space="preserve">chr 19–22</w:t>
            </w:r>
          </w:p>
        </w:tc>
        <w:tc>
          <w:tcPr/>
          <w:p>
            <w:pPr>
              <w:pStyle w:val="Compact"/>
            </w:pPr>
            <w:r>
              <w:rPr>
                <w:rFonts w:ascii="Times New Roman" w:hAnsi="Times New Roman" w:eastAsia="Times New Roman" w:cs="Times New Roman"/>
                <w:sz w:val="20"/>
              </w:rPr>
              <w:t xml:space="preserve">397</w:t>
            </w:r>
          </w:p>
        </w:tc>
        <w:tc>
          <w:tcPr/>
          <w:p>
            <w:pPr>
              <w:pStyle w:val="Compact"/>
            </w:pPr>
            <w:r>
              <w:rPr>
                <w:rFonts w:ascii="Times New Roman" w:hAnsi="Times New Roman" w:eastAsia="Times New Roman" w:cs="Times New Roman"/>
                <w:sz w:val="20"/>
              </w:rPr>
              <w:t xml:space="preserve">Held-out evaluation</w:t>
            </w:r>
          </w:p>
        </w:tc>
      </w:tr>
    </w:tbl>
    <w:p>
      <w:pPr>
        <w:pStyle w:val="BodyText"/>
      </w:pPr>
      <w:r>
        <w:rPr>
          <w:rFonts w:ascii="Times New Roman" w:hAnsi="Times New Roman" w:eastAsia="Times New Roman" w:cs="Times New Roman"/>
          <w:sz w:val="24"/>
        </w:rPr>
        <w:t xml:space="preserve">The test set (chr 19–22) comprises 71 pathogenic, 128 benign, and 198 VUS/conflicting variants, of which 190 are missense and 207 are non-missense. Since training and test chromosomes are completely disjoint, the test set provides a stringent evaluation of cross-chromosomal generalization across distinct gene densities, regulatory landscapes, and evolutionary constraints.</w:t>
      </w:r>
    </w:p>
    <w:bookmarkEnd w:id="63"/>
    <w:bookmarkStart w:id="64" w:name="evidential-deep-learning-framework"/>
    <w:p>
      <w:pPr>
        <w:pStyle w:val="Heading3"/>
      </w:pPr>
      <w:r>
        <w:rPr>
          <w:rFonts w:ascii="Times New Roman" w:hAnsi="Times New Roman" w:eastAsia="Times New Roman" w:cs="Times New Roman"/>
          <w:sz w:val="24"/>
        </w:rPr>
        <w:t xml:space="preserve">9.3 Evidential Deep Learning Framework</w:t>
      </w:r>
    </w:p>
    <w:p>
      <w:pPr>
        <w:pStyle w:val="FirstParagraph"/>
      </w:pPr>
      <w:r>
        <w:rPr>
          <w:rFonts w:ascii="Times New Roman" w:hAnsi="Times New Roman" w:eastAsia="Times New Roman" w:cs="Times New Roman"/>
          <w:sz w:val="24"/>
        </w:rPr>
        <w:t xml:space="preserve">CEFN v2 is based on evidential deep learning (Sensoy et al., 2018) [8], which places a Dirichlet prior over the class probabilities and treats the network output as evidence for each class. The Dirichlet distribution</w:t>
      </w:r>
      <w:r>
        <w:rPr>
          <w:rFonts w:ascii="Times New Roman" w:hAnsi="Times New Roman" w:eastAsia="Times New Roman" w:cs="Times New Roman"/>
          <w:sz w:val="24"/>
        </w:rPr>
        <w:t xml:space="preserve"> </w:t>
      </w:r>
      <m:oMath>
        <m:r>
          <m:rPr>
            <m:nor/>
            <m:sty m:val="p"/>
          </m:rPr>
          <m:t>Dir</m:t>
        </m:r>
        <m:d>
          <m:dPr>
            <m:begChr m:val="("/>
            <m:endChr m:val=")"/>
            <m:sepChr m:val=""/>
            <m:grow/>
          </m:dPr>
          <m:e>
            <m:r>
              <m:rPr>
                <m:sty m:val="b"/>
              </m:rPr>
              <m:t>α</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parameters</w:t>
      </w:r>
      <w:r>
        <w:rPr>
          <w:rFonts w:ascii="Times New Roman" w:hAnsi="Times New Roman" w:eastAsia="Times New Roman" w:cs="Times New Roman"/>
          <w:sz w:val="24"/>
        </w:rPr>
        <w:t xml:space="preserve"> </w:t>
      </w:r>
      <m:oMath>
        <m:r>
          <m:rPr>
            <m:sty m:val="b"/>
          </m:rPr>
          <m:t>α</m:t>
        </m:r>
        <m:r>
          <m:rPr>
            <m:sty m:val="p"/>
          </m:rPr>
          <m:t>=</m:t>
        </m:r>
        <m:d>
          <m:dPr>
            <m:begChr m:val="("/>
            <m:endChr m:val=")"/>
            <m:sepChr m:val=""/>
            <m:grow/>
          </m:dPr>
          <m:e>
            <m:sSub>
              <m:e>
                <m:r>
                  <m:t>α</m:t>
                </m:r>
              </m:e>
              <m:sub>
                <m:r>
                  <m:t>P</m:t>
                </m:r>
              </m:sub>
            </m:sSub>
            <m:r>
              <m:rPr>
                <m:sty m:val="p"/>
              </m:rPr>
              <m:t>,</m:t>
            </m:r>
            <m:sSub>
              <m:e>
                <m:r>
                  <m:t>α</m:t>
                </m:r>
              </m:e>
              <m:sub>
                <m:r>
                  <m:t>B</m:t>
                </m:r>
              </m:sub>
            </m:sSub>
            <m:r>
              <m:rPr>
                <m:sty m:val="p"/>
              </m:rPr>
              <m:t>,</m:t>
            </m:r>
            <m:sSub>
              <m:e>
                <m:r>
                  <m:t>α</m:t>
                </m:r>
              </m:e>
              <m:sub>
                <m:r>
                  <m:rPr>
                    <m:nor/>
                    <m:sty m:val="p"/>
                  </m:rPr>
                  <m:t>VUS</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conjugate prior to the multinomial distribution, making it natural for modeling uncertainty over class probabilities. This framework builds on the Dempster-Shafer theory of evidence [13,35], which provides a principled calculus for combining independent evidence sources.</w:t>
      </w:r>
    </w:p>
    <w:p>
      <w:pPr>
        <w:pStyle w:val="BodyText"/>
      </w:pPr>
      <w:r>
        <w:rPr>
          <w:rFonts w:ascii="Times New Roman" w:hAnsi="Times New Roman" w:eastAsia="Times New Roman" w:cs="Times New Roman"/>
          <w:sz w:val="24"/>
        </w:rPr>
        <w:t xml:space="preserve">The expected class probabilities under the Dirichlet are:</w:t>
      </w:r>
    </w:p>
    <w:p>
      <w:pPr>
        <w:pStyle w:val="BodyText"/>
      </w:pPr>
      <m:oMathPara>
        <m:oMathParaPr>
          <m:jc m:val="center"/>
        </m:oMathParaPr>
        <m:oMath>
          <m:sSub>
            <m:e>
              <m:r>
                <m:t>p</m:t>
              </m:r>
            </m:e>
            <m:sub>
              <m:r>
                <m:t>j</m:t>
              </m:r>
            </m:sub>
          </m:sSub>
          <m:r>
            <m:rPr>
              <m:sty m:val="p"/>
            </m:rPr>
            <m:t>=</m:t>
          </m:r>
          <m:f>
            <m:fPr>
              <m:type m:val="bar"/>
            </m:fPr>
            <m:num>
              <m:sSub>
                <m:e>
                  <m:r>
                    <m:t>α</m:t>
                  </m:r>
                </m:e>
                <m:sub>
                  <m:r>
                    <m:t>j</m:t>
                  </m:r>
                </m:sub>
              </m:sSub>
            </m:num>
            <m:den>
              <m:r>
                <m:t>S</m:t>
              </m:r>
            </m:den>
          </m:f>
          <m:r>
            <m:rPr>
              <m:sty m:val="p"/>
            </m:rPr>
            <m:t>,</m:t>
          </m:r>
          <m:r>
            <m:t> </m:t>
          </m:r>
          <m:r>
            <m:t>S</m:t>
          </m:r>
          <m:r>
            <m:rPr>
              <m:sty m:val="p"/>
            </m:rPr>
            <m:t>=</m:t>
          </m:r>
          <m:nary>
            <m:naryPr>
              <m:chr m:val="∑"/>
              <m:limLoc m:val="undOvr"/>
              <m:subHide m:val="off"/>
              <m:supHide m:val="on"/>
            </m:naryPr>
            <m:sub>
              <m:r>
                <m:t>j</m:t>
              </m:r>
            </m:sub>
            <m:sup>
              <m:r>
                <m:t>​</m:t>
              </m:r>
            </m:sup>
            <m:e>
              <m:sSub>
                <m:e>
                  <m:r>
                    <m:t>α</m:t>
                  </m:r>
                </m:e>
                <m:sub>
                  <m:r>
                    <m:t>j</m:t>
                  </m:r>
                </m:sub>
              </m:sSub>
            </m:e>
          </m:nary>
        </m:oMath>
      </m:oMathPara>
    </w:p>
    <w:p>
      <w:pPr>
        <w:pStyle w:val="FirstParagraph"/>
      </w:pPr>
      <w:r>
        <w:rPr>
          <w:rFonts w:ascii="Times New Roman" w:hAnsi="Times New Roman" w:eastAsia="Times New Roman" w:cs="Times New Roman"/>
          <w:sz w:val="24"/>
        </w:rPr>
        <w:t xml:space="preserve">The total evidence is</w:t>
      </w:r>
      <w:r>
        <w:rPr>
          <w:rFonts w:ascii="Times New Roman" w:hAnsi="Times New Roman" w:eastAsia="Times New Roman" w:cs="Times New Roman"/>
          <w:sz w:val="24"/>
        </w:rPr>
        <w:t xml:space="preserve"> </w:t>
      </w:r>
      <m:oMath>
        <m:r>
          <m:t>E</m:t>
        </m:r>
        <m:r>
          <m:rPr>
            <m:sty m:val="p"/>
          </m:rPr>
          <m:t>=</m:t>
        </m:r>
        <m:r>
          <m:t>S</m:t>
        </m:r>
        <m:r>
          <m:rPr>
            <m:sty m:val="p"/>
          </m:rPr>
          <m:t>−</m:t>
        </m:r>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K</m:t>
        </m:r>
        <m:r>
          <m:rPr>
            <m:sty m:val="p"/>
          </m:rPr>
          <m:t>=</m:t>
        </m:r>
        <m:r>
          <m:t>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number of classes). When evidence is low (</w:t>
      </w:r>
      <m:oMath>
        <m:sSub>
          <m:e>
            <m:r>
              <m:t>α</m:t>
            </m:r>
          </m:e>
          <m:sub>
            <m:r>
              <m:t>j</m:t>
            </m:r>
          </m:sub>
        </m:sSub>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all</w:t>
      </w:r>
      <w:r>
        <w:rPr>
          <w:rFonts w:ascii="Times New Roman" w:hAnsi="Times New Roman" w:eastAsia="Times New Roman" w:cs="Times New Roman"/>
          <w:sz w:val="24"/>
        </w:rPr>
        <w:t xml:space="preserve"> </w:t>
      </w:r>
      <m:oMath>
        <m:r>
          <m:t>j</m:t>
        </m:r>
      </m:oMath>
      <w:r>
        <w:rPr>
          <w:rFonts w:ascii="Times New Roman" w:hAnsi="Times New Roman" w:eastAsia="Times New Roman" w:cs="Times New Roman"/>
          <w:sz w:val="24"/>
        </w:rPr>
        <w:t xml:space="preserve">), the distribution approaches uniform, indicating high uncertainty. When evidence is concentrated in one class (</w:t>
      </w:r>
      <m:oMath>
        <m:sSub>
          <m:e>
            <m:r>
              <m:t>α</m:t>
            </m:r>
          </m:e>
          <m:sub>
            <m:r>
              <m:t>j</m:t>
            </m:r>
          </m:sub>
        </m:sSub>
        <m:r>
          <m:rPr>
            <m:sty m:val="p"/>
          </m:rPr>
          <m:t>≫</m:t>
        </m:r>
        <m:r>
          <m:t>1</m:t>
        </m:r>
      </m:oMath>
      <w:r>
        <w:rPr>
          <w:rFonts w:ascii="Times New Roman" w:hAnsi="Times New Roman" w:eastAsia="Times New Roman" w:cs="Times New Roman"/>
          <w:sz w:val="24"/>
        </w:rPr>
        <w:t xml:space="preserve">), the distribution is peaked, indicating high confidence. This property allows the model to express calibrated uncertainty without a separate confidence estimation step.</w:t>
      </w:r>
    </w:p>
    <w:bookmarkEnd w:id="64"/>
    <w:bookmarkStart w:id="69" w:name="architecture"/>
    <w:p>
      <w:pPr>
        <w:pStyle w:val="Heading3"/>
      </w:pPr>
      <w:r>
        <w:rPr>
          <w:rFonts w:ascii="Times New Roman" w:hAnsi="Times New Roman" w:eastAsia="Times New Roman" w:cs="Times New Roman"/>
          <w:sz w:val="24"/>
        </w:rPr>
        <w:t xml:space="preserve">9.4 Architecture</w:t>
      </w:r>
    </w:p>
    <w:p>
      <w:pPr>
        <w:pStyle w:val="FirstParagraph"/>
      </w:pPr>
      <w:r>
        <w:rPr>
          <w:rFonts w:ascii="Times New Roman" w:hAnsi="Times New Roman" w:eastAsia="Times New Roman" w:cs="Times New Roman"/>
          <w:sz w:val="24"/>
        </w:rPr>
        <w:t xml:space="preserve">The network has 71,236 parameters and four components:</w:t>
      </w:r>
    </w:p>
    <w:bookmarkStart w:id="65" w:name="predictor-specific-missing-embeddings"/>
    <w:p>
      <w:pPr>
        <w:pStyle w:val="Heading4"/>
      </w:pPr>
      <w:r>
        <w:rPr>
          <w:rFonts w:ascii="Times New Roman" w:hAnsi="Times New Roman" w:eastAsia="Times New Roman" w:cs="Times New Roman"/>
          <w:sz w:val="24"/>
        </w:rPr>
        <w:t xml:space="preserve">9.4.1 Predictor-Specific Missing Embeddings</w:t>
      </w:r>
    </w:p>
    <w:p>
      <w:pPr>
        <w:pStyle w:val="FirstParagraph"/>
      </w:pPr>
      <w:r>
        <w:rPr>
          <w:rFonts w:ascii="Times New Roman" w:hAnsi="Times New Roman" w:eastAsia="Times New Roman" w:cs="Times New Roman"/>
          <w:sz w:val="24"/>
        </w:rPr>
        <w:t xml:space="preserve">For each predictor</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two embeddings are maintained:</w:t>
      </w:r>
      <w:r>
        <w:rPr>
          <w:rFonts w:ascii="Times New Roman" w:hAnsi="Times New Roman" w:eastAsia="Times New Roman" w:cs="Times New Roman"/>
          <w:sz w:val="24"/>
        </w:rPr>
        <w:t xml:space="preserve"> </w:t>
      </w:r>
      <m:oMath>
        <m:sSubSup>
          <m:e>
            <m:r>
              <m:rPr>
                <m:sty m:val="b"/>
              </m:rPr>
              <m:t>e</m:t>
            </m:r>
          </m:e>
          <m:sub>
            <m:r>
              <m:t>k</m:t>
            </m:r>
          </m:sub>
          <m:sup>
            <m:r>
              <m:rPr>
                <m:nor/>
                <m:sty m:val="p"/>
              </m:rPr>
              <m:t>present</m:t>
            </m:r>
          </m:sup>
        </m:sSubSup>
        <m:r>
          <m:rPr>
            <m:sty m:val="p"/>
          </m:rPr>
          <m:t>∈</m:t>
        </m:r>
        <m:sSup>
          <m:e>
            <m:r>
              <m:rPr>
                <m:sty m:val="p"/>
                <m:scr m:val="double-struck"/>
              </m:rPr>
              <m:t>R</m:t>
            </m:r>
          </m:e>
          <m:sup>
            <m:r>
              <m:t>16</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(via an embedding layer) and</w:t>
      </w:r>
      <w:r>
        <w:rPr>
          <w:rFonts w:ascii="Times New Roman" w:hAnsi="Times New Roman" w:eastAsia="Times New Roman" w:cs="Times New Roman"/>
          <w:sz w:val="24"/>
        </w:rPr>
        <w:t xml:space="preserve"> </w:t>
      </w:r>
      <m:oMath>
        <m:sSubSup>
          <m:e>
            <m:r>
              <m:rPr>
                <m:sty m:val="b"/>
              </m:rPr>
              <m:t>e</m:t>
            </m:r>
          </m:e>
          <m:sub>
            <m:r>
              <m:t>k</m:t>
            </m:r>
          </m:sub>
          <m:sup>
            <m:r>
              <m:rPr>
                <m:nor/>
                <m:sty m:val="p"/>
              </m:rPr>
              <m:t>missing</m:t>
            </m:r>
          </m:sup>
        </m:sSubSup>
        <m:r>
          <m:rPr>
            <m:sty m:val="p"/>
          </m:rPr>
          <m:t>∈</m:t>
        </m:r>
        <m:sSup>
          <m:e>
            <m:r>
              <m:rPr>
                <m:sty m:val="p"/>
                <m:scr m:val="double-struck"/>
              </m:rPr>
              <m:t>R</m:t>
            </m:r>
          </m:e>
          <m:sup>
            <m:r>
              <m:t>16</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learned parameter). The embedding used for predictor</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w:t>
      </w:r>
    </w:p>
    <w:p>
      <w:pPr>
        <w:pStyle w:val="BodyText"/>
      </w:pPr>
      <m:oMathPara>
        <m:oMathParaPr>
          <m:jc m:val="center"/>
        </m:oMathParaPr>
        <m:oMath>
          <m:sSub>
            <m:e>
              <m:r>
                <m:rPr>
                  <m:sty m:val="b"/>
                </m:rPr>
                <m:t>e</m:t>
              </m:r>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sSubSup>
                      <m:e>
                        <m:r>
                          <m:rPr>
                            <m:sty m:val="b"/>
                          </m:rPr>
                          <m:t>e</m:t>
                        </m:r>
                      </m:e>
                      <m:sub>
                        <m:r>
                          <m:t>k</m:t>
                        </m:r>
                      </m:sub>
                      <m:sup>
                        <m:r>
                          <m:rPr>
                            <m:nor/>
                            <m:sty m:val="p"/>
                          </m:rPr>
                          <m:t>present</m:t>
                        </m:r>
                      </m:sup>
                    </m:sSubSup>
                  </m:e>
                  <m:e>
                    <m:r>
                      <m:rPr>
                        <m:nor/>
                        <m:sty m:val="p"/>
                      </m:rPr>
                      <m:t>if </m:t>
                    </m:r>
                    <m:sSub>
                      <m:e>
                        <m:r>
                          <m:t>m</m:t>
                        </m:r>
                      </m:e>
                      <m:sub>
                        <m:r>
                          <m:t>k</m:t>
                        </m:r>
                      </m:sub>
                    </m:sSub>
                    <m:r>
                      <m:rPr>
                        <m:sty m:val="p"/>
                      </m:rPr>
                      <m:t>=</m:t>
                    </m:r>
                    <m:r>
                      <m:t>1</m:t>
                    </m:r>
                  </m:e>
                </m:mr>
                <m:mr>
                  <m:e>
                    <m:sSubSup>
                      <m:e>
                        <m:r>
                          <m:rPr>
                            <m:sty m:val="b"/>
                          </m:rPr>
                          <m:t>e</m:t>
                        </m:r>
                      </m:e>
                      <m:sub>
                        <m:r>
                          <m:t>k</m:t>
                        </m:r>
                      </m:sub>
                      <m:sup>
                        <m:r>
                          <m:rPr>
                            <m:nor/>
                            <m:sty m:val="p"/>
                          </m:rPr>
                          <m:t>missing</m:t>
                        </m:r>
                      </m:sup>
                    </m:sSubSup>
                  </m:e>
                  <m:e>
                    <m:r>
                      <m:rPr>
                        <m:nor/>
                        <m:sty m:val="p"/>
                      </m:rPr>
                      <m:t>if </m:t>
                    </m:r>
                    <m:sSub>
                      <m:e>
                        <m:r>
                          <m:t>m</m:t>
                        </m:r>
                      </m:e>
                      <m:sub>
                        <m:r>
                          <m:t>k</m:t>
                        </m:r>
                      </m:sub>
                    </m:sSub>
                    <m:r>
                      <m:rPr>
                        <m:sty m:val="p"/>
                      </m:rPr>
                      <m:t>=</m:t>
                    </m:r>
                    <m:r>
                      <m:t>0</m:t>
                    </m:r>
                  </m:e>
                </m:mr>
              </m:m>
            </m:e>
          </m:d>
        </m:oMath>
      </m:oMathPara>
    </w:p>
    <w:p>
      <w:pPr>
        <w:pStyle w:val="FirstParagraph"/>
      </w:pPr>
      <w:r>
        <w:rPr>
          <w:rFonts w:ascii="Times New Roman" w:hAnsi="Times New Roman" w:eastAsia="Times New Roman" w:cs="Times New Roman"/>
          <w:sz w:val="24"/>
        </w:rPr>
        <w:t xml:space="preserve">This is distinct from a shared missing token (used in standard masked language modeling). Predictor-specific missing embeddings allow the network to learn different fusion behavior depending 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which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 is absent. When AlphaMissense is missing (non-missense variant), the network receives a signal encoding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“AlphaMissense is unavailable”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distinct from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“Evo2 is unavailable”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enabling it to learn that AlphaMissense absence is expected for non-missense variants and should not inflate uncertainty. The input feature for predictor</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w:t>
      </w:r>
    </w:p>
    <w:p>
      <w:pPr>
        <w:pStyle w:val="BodyText"/>
      </w:pPr>
      <m:oMathPara>
        <m:oMathParaPr>
          <m:jc m:val="center"/>
        </m:oMathParaPr>
        <m:oMath>
          <m:sSub>
            <m:e>
              <m:r>
                <m:rPr>
                  <m:sty m:val="b"/>
                </m:rPr>
                <m:t>x</m:t>
              </m:r>
            </m:e>
            <m:sub>
              <m:r>
                <m:t>k</m:t>
              </m:r>
            </m:sub>
          </m:sSub>
          <m:r>
            <m:rPr>
              <m:sty m:val="p"/>
            </m:rPr>
            <m:t>=</m:t>
          </m:r>
          <m:d>
            <m:dPr>
              <m:begChr m:val="["/>
              <m:endChr m:val="]"/>
              <m:sepChr m:val=""/>
              <m:grow/>
            </m:dPr>
            <m:e>
              <m:sSub>
                <m:e>
                  <m:r>
                    <m:t>s</m:t>
                  </m:r>
                </m:e>
                <m:sub>
                  <m:r>
                    <m:t>k</m:t>
                  </m:r>
                </m:sub>
              </m:sSub>
              <m:r>
                <m:rPr>
                  <m:sty m:val="p"/>
                </m:rPr>
                <m:t>,</m:t>
              </m:r>
              <m:r>
                <m:t> </m:t>
              </m:r>
              <m:sSub>
                <m:e>
                  <m:r>
                    <m:t>m</m:t>
                  </m:r>
                </m:e>
                <m:sub>
                  <m:r>
                    <m:t>k</m:t>
                  </m:r>
                </m:sub>
              </m:sSub>
              <m:r>
                <m:rPr>
                  <m:sty m:val="p"/>
                </m:rPr>
                <m:t>,</m:t>
              </m:r>
              <m:r>
                <m:t> </m:t>
              </m:r>
              <m:sSub>
                <m:e>
                  <m:r>
                    <m:rPr>
                      <m:sty m:val="b"/>
                    </m:rPr>
                    <m:t>e</m:t>
                  </m:r>
                </m:e>
                <m:sub>
                  <m:r>
                    <m:t>k</m:t>
                  </m:r>
                </m:sub>
              </m:sSub>
            </m:e>
          </m:d>
          <m:r>
            <m:rPr>
              <m:sty m:val="p"/>
            </m:rPr>
            <m:t>∈</m:t>
          </m:r>
          <m:sSup>
            <m:e>
              <m:r>
                <m:rPr>
                  <m:sty m:val="p"/>
                  <m:scr m:val="double-struck"/>
                </m:rPr>
                <m:t>R</m:t>
              </m:r>
            </m:e>
            <m:sup>
              <m:r>
                <m:t>18</m:t>
              </m:r>
            </m:sup>
          </m:sSup>
        </m:oMath>
      </m:oMathPara>
    </w:p>
    <w:bookmarkEnd w:id="65"/>
    <w:bookmarkStart w:id="66" w:name="deep-set-encoder"/>
    <w:p>
      <w:pPr>
        <w:pStyle w:val="Heading4"/>
      </w:pPr>
      <w:r>
        <w:rPr>
          <w:rFonts w:ascii="Times New Roman" w:hAnsi="Times New Roman" w:eastAsia="Times New Roman" w:cs="Times New Roman"/>
          <w:sz w:val="24"/>
        </w:rPr>
        <w:t xml:space="preserve">9.4.2 Deep Set Encoder</w:t>
      </w:r>
    </w:p>
    <w:p>
      <w:pPr>
        <w:pStyle w:val="FirstParagraph"/>
      </w:pPr>
      <w:r>
        <w:rPr>
          <w:rFonts w:ascii="Times New Roman" w:hAnsi="Times New Roman" w:eastAsia="Times New Roman" w:cs="Times New Roman"/>
          <w:sz w:val="24"/>
        </w:rPr>
        <w:t xml:space="preserve">The predictor features</w:t>
      </w:r>
      <w:r>
        <w:rPr>
          <w:rFonts w:ascii="Times New Roman" w:hAnsi="Times New Roman" w:eastAsia="Times New Roman" w:cs="Times New Roman"/>
          <w:sz w:val="24"/>
        </w:rPr>
        <w:t xml:space="preserve"> </w:t>
      </w:r>
      <m:oMath>
        <m:r>
          <m:rPr>
            <m:sty m:val="p"/>
          </m:rPr>
          <m:t>{</m:t>
        </m:r>
        <m:sSub>
          <m:e>
            <m:r>
              <m:rPr>
                <m:sty m:val="b"/>
              </m:rPr>
              <m:t>x</m:t>
            </m:r>
          </m:e>
          <m:sub>
            <m:r>
              <m:t>1</m:t>
            </m:r>
          </m:sub>
        </m:sSub>
        <m:r>
          <m:rPr>
            <m:sty m:val="p"/>
          </m:rPr>
          <m:t>,</m:t>
        </m:r>
        <m:r>
          <m:rPr>
            <m:sty m:val="p"/>
          </m:rPr>
          <m:t>…</m:t>
        </m:r>
        <m:r>
          <m:rPr>
            <m:sty m:val="p"/>
          </m:rPr>
          <m:t>,</m:t>
        </m:r>
        <m:sSub>
          <m:e>
            <m:r>
              <m:rPr>
                <m:sty m:val="b"/>
              </m:rPr>
              <m:t>x</m:t>
            </m:r>
          </m:e>
          <m:sub>
            <m:r>
              <m:t>K</m:t>
            </m:r>
          </m:sub>
        </m:sSub>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encoded using a Deep Sets architecture (Zaheer et al., 2017) [9], which guarantees permutation invariance:</w:t>
      </w:r>
    </w:p>
    <w:p>
      <w:pPr>
        <w:pStyle w:val="BodyText"/>
      </w:pPr>
      <m:oMathPara>
        <m:oMathParaPr>
          <m:jc m:val="center"/>
        </m:oMathParaPr>
        <m:oMath>
          <m:r>
            <m:rPr>
              <m:sty m:val="b"/>
            </m:rPr>
            <m:t>z</m:t>
          </m:r>
          <m:r>
            <m:rPr>
              <m:sty m:val="p"/>
            </m:rPr>
            <m:t>=</m:t>
          </m:r>
          <m:r>
            <m:t>ρ</m:t>
          </m:r>
          <m:r>
            <m:t>​</m:t>
          </m:r>
          <m:d>
            <m:dPr>
              <m:begChr m:val="("/>
              <m:endChr m:val=")"/>
              <m:sepChr m:val=""/>
              <m:grow/>
            </m:dPr>
            <m:e>
              <m:f>
                <m:fPr>
                  <m:type m:val="bar"/>
                </m:fPr>
                <m:num>
                  <m:r>
                    <m:t>1</m:t>
                  </m:r>
                </m:num>
                <m:den>
                  <m:r>
                    <m:t>K</m:t>
                  </m:r>
                </m:den>
              </m:f>
              <m:nary>
                <m:naryPr>
                  <m:chr m:val="∑"/>
                  <m:limLoc m:val="undOvr"/>
                  <m:subHide m:val="off"/>
                  <m:supHide m:val="off"/>
                </m:naryPr>
                <m:sub>
                  <m:r>
                    <m:t>k</m:t>
                  </m:r>
                  <m:r>
                    <m:rPr>
                      <m:sty m:val="p"/>
                    </m:rPr>
                    <m:t>=</m:t>
                  </m:r>
                  <m:r>
                    <m:t>1</m:t>
                  </m:r>
                </m:sub>
                <m:sup>
                  <m:r>
                    <m:t>K</m:t>
                  </m:r>
                </m:sup>
                <m:e>
                  <m:r>
                    <m:t>φ</m:t>
                  </m:r>
                </m:e>
              </m:nary>
              <m:d>
                <m:dPr>
                  <m:begChr m:val="("/>
                  <m:endChr m:val=")"/>
                  <m:sepChr m:val=""/>
                  <m:grow/>
                </m:dPr>
                <m:e>
                  <m:sSub>
                    <m:e>
                      <m:r>
                        <m:rPr>
                          <m:sty m:val="b"/>
                        </m:rPr>
                        <m:t>x</m:t>
                      </m:r>
                    </m:e>
                    <m:sub>
                      <m:r>
                        <m:t>k</m:t>
                      </m:r>
                    </m:sub>
                  </m:sSub>
                </m:e>
              </m:d>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φ</m:t>
        </m:r>
        <m:r>
          <m:rPr>
            <m:sty m:val="p"/>
          </m:rPr>
          <m:t>:</m:t>
        </m:r>
        <m:sSup>
          <m:e>
            <m:r>
              <m:rPr>
                <m:sty m:val="p"/>
                <m:scr m:val="double-struck"/>
              </m:rPr>
              <m:t>R</m:t>
            </m:r>
          </m:e>
          <m:sup>
            <m:r>
              <m:t>18</m:t>
            </m:r>
          </m:sup>
        </m:sSup>
        <m:r>
          <m:rPr>
            <m:sty m:val="p"/>
          </m:rPr>
          <m:t>→</m:t>
        </m:r>
        <m:sSup>
          <m:e>
            <m:r>
              <m:rPr>
                <m:sty m:val="p"/>
                <m:scr m:val="double-struck"/>
              </m:rPr>
              <m:t>R</m:t>
            </m:r>
          </m:e>
          <m:sup>
            <m:r>
              <m:t>128</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 shared MLP (2 linear layers, LayerNorm, ReLU) and</w:t>
      </w:r>
      <w:r>
        <w:rPr>
          <w:rFonts w:ascii="Times New Roman" w:hAnsi="Times New Roman" w:eastAsia="Times New Roman" w:cs="Times New Roman"/>
          <w:sz w:val="24"/>
        </w:rPr>
        <w:t xml:space="preserve"> </w:t>
      </w:r>
      <m:oMath>
        <m:r>
          <m:t>ρ</m:t>
        </m:r>
        <m:r>
          <m:rPr>
            <m:sty m:val="p"/>
          </m:rPr>
          <m:t>:</m:t>
        </m:r>
        <m:sSup>
          <m:e>
            <m:r>
              <m:rPr>
                <m:sty m:val="p"/>
                <m:scr m:val="double-struck"/>
              </m:rPr>
              <m:t>R</m:t>
            </m:r>
          </m:e>
          <m:sup>
            <m:r>
              <m:t>128</m:t>
            </m:r>
          </m:sup>
        </m:sSup>
        <m:r>
          <m:rPr>
            <m:sty m:val="p"/>
          </m:rPr>
          <m:t>→</m:t>
        </m:r>
        <m:sSup>
          <m:e>
            <m:r>
              <m:rPr>
                <m:sty m:val="p"/>
                <m:scr m:val="double-struck"/>
              </m:rPr>
              <m:t>R</m:t>
            </m:r>
          </m:e>
          <m:sup>
            <m:r>
              <m:t>128</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 projection MLP. Mean pooling ensures the output</w:t>
      </w:r>
      <w:r>
        <w:rPr>
          <w:rFonts w:ascii="Times New Roman" w:hAnsi="Times New Roman" w:eastAsia="Times New Roman" w:cs="Times New Roman"/>
          <w:sz w:val="24"/>
        </w:rPr>
        <w:t xml:space="preserve"> </w:t>
      </w:r>
      <m:oMath>
        <m:r>
          <m:rPr>
            <m:sty m:val="b"/>
          </m:rPr>
          <m:t>z</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invariant to predictor ordering. Deep Sets are preferred over attention because</w:t>
      </w:r>
      <w:r>
        <w:rPr>
          <w:rFonts w:ascii="Times New Roman" w:hAnsi="Times New Roman" w:eastAsia="Times New Roman" w:cs="Times New Roman"/>
          <w:sz w:val="24"/>
        </w:rPr>
        <w:t xml:space="preserve"> </w:t>
      </w:r>
      <m:oMath>
        <m:r>
          <m:t>K</m:t>
        </m:r>
        <m:r>
          <m:rPr>
            <m:sty m:val="p"/>
          </m:rPr>
          <m:t>≤</m:t>
        </m:r>
        <m:r>
          <m:t>4</m:t>
        </m:r>
      </m:oMath>
      <w:r>
        <w:rPr>
          <w:rFonts w:ascii="Times New Roman" w:hAnsi="Times New Roman" w:eastAsia="Times New Roman" w:cs="Times New Roman"/>
          <w:sz w:val="24"/>
        </w:rPr>
        <w:t xml:space="preserve">, making the</w:t>
      </w:r>
      <w:r>
        <w:rPr>
          <w:rFonts w:ascii="Times New Roman" w:hAnsi="Times New Roman" w:eastAsia="Times New Roman" w:cs="Times New Roman"/>
          <w:sz w:val="24"/>
        </w:rPr>
        <w:t xml:space="preserve"> </w:t>
      </w:r>
      <m:oMath>
        <m:r>
          <m:rPr>
            <m:sty m:val="p"/>
            <m:scr m:val="script"/>
          </m:rPr>
          <m:t>O</m:t>
        </m:r>
        <m:d>
          <m:dPr>
            <m:begChr m:val="("/>
            <m:endChr m:val=")"/>
            <m:sepChr m:val=""/>
            <m:grow/>
          </m:dPr>
          <m:e>
            <m:sSup>
              <m:e>
                <m:r>
                  <m:t>K</m:t>
                </m:r>
              </m:e>
              <m:sup>
                <m:r>
                  <m:t>2</m:t>
                </m:r>
              </m:sup>
            </m:sSup>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attention mechanism unnecessary.</w:t>
      </w:r>
    </w:p>
    <w:bookmarkEnd w:id="66"/>
    <w:bookmarkStart w:id="67" w:name="prior-network-variant-type-conditioning"/>
    <w:p>
      <w:pPr>
        <w:pStyle w:val="Heading4"/>
      </w:pPr>
      <w:r>
        <w:rPr>
          <w:rFonts w:ascii="Times New Roman" w:hAnsi="Times New Roman" w:eastAsia="Times New Roman" w:cs="Times New Roman"/>
          <w:sz w:val="24"/>
        </w:rPr>
        <w:t xml:space="preserve">9.4.3 Prior Network (Variant-Type Conditioning)</w:t>
      </w:r>
    </w:p>
    <w:p>
      <w:pPr>
        <w:pStyle w:val="FirstParagraph"/>
      </w:pPr>
      <w:r>
        <w:rPr>
          <w:rFonts w:ascii="Times New Roman" w:hAnsi="Times New Roman" w:eastAsia="Times New Roman" w:cs="Times New Roman"/>
          <w:sz w:val="24"/>
        </w:rPr>
        <w:t xml:space="preserve">A prior network conditions the Dirichlet parameters on variant type. The input is a one-hot vector</w:t>
      </w:r>
      <w:r>
        <w:rPr>
          <w:rFonts w:ascii="Times New Roman" w:hAnsi="Times New Roman" w:eastAsia="Times New Roman" w:cs="Times New Roman"/>
          <w:sz w:val="24"/>
        </w:rPr>
        <w:t xml:space="preserve"> </w:t>
      </w:r>
      <m:oMath>
        <m:r>
          <m:rPr>
            <m:sty m:val="b"/>
          </m:rPr>
          <m:t>v</m:t>
        </m:r>
        <m:r>
          <m:rPr>
            <m:sty m:val="p"/>
          </m:rPr>
          <m:t>∈</m:t>
        </m:r>
        <m:r>
          <m:rPr>
            <m:sty m:val="p"/>
          </m:rPr>
          <m:t>{</m:t>
        </m:r>
        <m:r>
          <m:t>0</m:t>
        </m:r>
        <m:r>
          <m:rPr>
            <m:sty m:val="p"/>
          </m:rPr>
          <m:t>,</m:t>
        </m:r>
        <m:r>
          <m:t>1</m:t>
        </m:r>
        <m:sSup>
          <m:e>
            <m:r>
              <m:rPr>
                <m:sty m:val="p"/>
              </m:rPr>
              <m:t>}</m:t>
            </m:r>
          </m:e>
          <m:sup>
            <m:r>
              <m:t>6</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encoding the variant type (missense, nonsense, splice_site, frameshift, synonymous, other):</w:t>
      </w:r>
    </w:p>
    <w:p>
      <w:pPr>
        <w:pStyle w:val="BodyText"/>
      </w:pPr>
      <m:oMathPara>
        <m:oMathParaPr>
          <m:jc m:val="center"/>
        </m:oMathParaPr>
        <m:oMath>
          <m:r>
            <m:rPr>
              <m:sty m:val="b"/>
            </m:rPr>
            <m:t>π</m:t>
          </m:r>
          <m:r>
            <m:rPr>
              <m:sty m:val="p"/>
            </m:rPr>
            <m:t>=</m:t>
          </m:r>
          <m:r>
            <m:rPr>
              <m:nor/>
              <m:sty m:val="p"/>
            </m:rPr>
            <m:t>softplus</m:t>
          </m:r>
          <m:d>
            <m:dPr>
              <m:begChr m:val="("/>
              <m:endChr m:val=")"/>
              <m:sepChr m:val=""/>
              <m:grow/>
            </m:dPr>
            <m:e>
              <m:sSub>
                <m:e>
                  <m:r>
                    <m:rPr>
                      <m:nor/>
                      <m:sty m:val="p"/>
                    </m:rPr>
                    <m:t>MLP</m:t>
                  </m:r>
                </m:e>
                <m:sub>
                  <m:r>
                    <m:rPr>
                      <m:nor/>
                      <m:sty m:val="p"/>
                    </m:rPr>
                    <m:t>prior</m:t>
                  </m:r>
                </m:sub>
              </m:sSub>
              <m:d>
                <m:dPr>
                  <m:begChr m:val="("/>
                  <m:endChr m:val=")"/>
                  <m:sepChr m:val=""/>
                  <m:grow/>
                </m:dPr>
                <m:e>
                  <m:r>
                    <m:rPr>
                      <m:sty m:val="b"/>
                    </m:rPr>
                    <m:t>v</m:t>
                  </m:r>
                </m:e>
              </m:d>
            </m:e>
          </m:d>
          <m:r>
            <m:rPr>
              <m:sty m:val="p"/>
            </m:rPr>
            <m:t>+</m:t>
          </m:r>
          <m:r>
            <m:rPr>
              <m:sty m:val="b"/>
            </m:rPr>
            <m:t>1</m:t>
          </m:r>
          <m:r>
            <m:rPr>
              <m:sty m:val="p"/>
            </m:rPr>
            <m:t>∈</m:t>
          </m:r>
          <m:sSup>
            <m:e>
              <m:r>
                <m:rPr>
                  <m:sty m:val="p"/>
                  <m:scr m:val="double-struck"/>
                </m:rPr>
                <m:t>R</m:t>
              </m:r>
            </m:e>
            <m:sup>
              <m:r>
                <m:t>2</m:t>
              </m:r>
            </m:sup>
          </m:sSup>
        </m:oMath>
      </m:oMathPara>
    </w:p>
    <w:p>
      <w:pPr>
        <w:pStyle w:val="FirstParagraph"/>
      </w:pPr>
      <w:r>
        <w:rPr>
          <w:rFonts w:ascii="Times New Roman" w:hAnsi="Times New Roman" w:eastAsia="Times New Roman" w:cs="Times New Roman"/>
          <w:sz w:val="24"/>
        </w:rPr>
        <w:t xml:space="preserve">The prior</w:t>
      </w:r>
      <w:r>
        <w:rPr>
          <w:rFonts w:ascii="Times New Roman" w:hAnsi="Times New Roman" w:eastAsia="Times New Roman" w:cs="Times New Roman"/>
          <w:sz w:val="24"/>
        </w:rPr>
        <w:t xml:space="preserve"> </w:t>
      </w:r>
      <m:oMath>
        <m:r>
          <m:rPr>
            <m:sty m:val="b"/>
          </m:rPr>
          <m:t>π</m:t>
        </m:r>
        <m:r>
          <m:rPr>
            <m:sty m:val="p"/>
          </m:rPr>
          <m:t>=</m:t>
        </m:r>
        <m:d>
          <m:dPr>
            <m:begChr m:val="("/>
            <m:endChr m:val=")"/>
            <m:sepChr m:val=""/>
            <m:grow/>
          </m:dPr>
          <m:e>
            <m:sSub>
              <m:e>
                <m:r>
                  <m:t>π</m:t>
                </m:r>
              </m:e>
              <m:sub>
                <m:r>
                  <m:t>P</m:t>
                </m:r>
              </m:sub>
            </m:sSub>
            <m:r>
              <m:rPr>
                <m:sty m:val="p"/>
              </m:rPr>
              <m:t>,</m:t>
            </m:r>
            <m:sSub>
              <m:e>
                <m:r>
                  <m:t>π</m:t>
                </m:r>
              </m:e>
              <m:sub>
                <m:r>
                  <m:t>B</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provides initial evidence before observing predictor scores. For a nonsense variant, the prior is biased toward</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(protein truncation is typically deleterious); for a synonymous variant, toward</w:t>
      </w:r>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This allows the model to learn variant-type-specific base rates, improving calibration when predictor scores are ambiguous.</w:t>
      </w:r>
    </w:p>
    <w:bookmarkEnd w:id="67"/>
    <w:bookmarkStart w:id="68" w:name="evidence-network"/>
    <w:p>
      <w:pPr>
        <w:pStyle w:val="Heading4"/>
      </w:pPr>
      <w:r>
        <w:rPr>
          <w:rFonts w:ascii="Times New Roman" w:hAnsi="Times New Roman" w:eastAsia="Times New Roman" w:cs="Times New Roman"/>
          <w:sz w:val="24"/>
        </w:rPr>
        <w:t xml:space="preserve">9.4.4 Evidence Network</w:t>
      </w:r>
    </w:p>
    <w:p>
      <w:pPr>
        <w:pStyle w:val="FirstParagraph"/>
      </w:pPr>
      <w:r>
        <w:rPr>
          <w:rFonts w:ascii="Times New Roman" w:hAnsi="Times New Roman" w:eastAsia="Times New Roman" w:cs="Times New Roman"/>
          <w:sz w:val="24"/>
        </w:rPr>
        <w:t xml:space="preserve">The evidence network combines the Deep Set encoding</w:t>
      </w:r>
      <w:r>
        <w:rPr>
          <w:rFonts w:ascii="Times New Roman" w:hAnsi="Times New Roman" w:eastAsia="Times New Roman" w:cs="Times New Roman"/>
          <w:sz w:val="24"/>
        </w:rPr>
        <w:t xml:space="preserve"> </w:t>
      </w:r>
      <m:oMath>
        <m:r>
          <m:rPr>
            <m:sty m:val="b"/>
          </m:rPr>
          <m:t>z</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 the prior</w:t>
      </w:r>
      <w:r>
        <w:rPr>
          <w:rFonts w:ascii="Times New Roman" w:hAnsi="Times New Roman" w:eastAsia="Times New Roman" w:cs="Times New Roman"/>
          <w:sz w:val="24"/>
        </w:rPr>
        <w:t xml:space="preserve"> </w:t>
      </w:r>
      <m:oMath>
        <m:r>
          <m:rPr>
            <m:sty m:val="b"/>
          </m:rPr>
          <m:t>π</m:t>
        </m:r>
      </m:oMath>
      <w:r>
        <w:rPr>
          <w:rFonts w:ascii="Times New Roman" w:hAnsi="Times New Roman" w:eastAsia="Times New Roman" w:cs="Times New Roman"/>
          <w:sz w:val="24"/>
        </w:rPr>
        <w:t xml:space="preserve">:</w:t>
      </w:r>
    </w:p>
    <w:p>
      <w:pPr>
        <w:pStyle w:val="BodyText"/>
      </w:pPr>
      <m:oMathPara>
        <m:oMathParaPr>
          <m:jc m:val="center"/>
        </m:oMathParaPr>
        <m:oMath>
          <m:r>
            <m:rPr>
              <m:sty m:val="b"/>
            </m:rPr>
            <m:t>e</m:t>
          </m:r>
          <m:r>
            <m:rPr>
              <m:sty m:val="p"/>
            </m:rPr>
            <m:t>=</m:t>
          </m:r>
          <m:r>
            <m:rPr>
              <m:nor/>
              <m:sty m:val="p"/>
            </m:rPr>
            <m:t>softplus</m:t>
          </m:r>
          <m:d>
            <m:dPr>
              <m:begChr m:val="("/>
              <m:endChr m:val=")"/>
              <m:sepChr m:val=""/>
              <m:grow/>
            </m:dPr>
            <m:e>
              <m:sSub>
                <m:e>
                  <m:r>
                    <m:rPr>
                      <m:nor/>
                      <m:sty m:val="p"/>
                    </m:rPr>
                    <m:t>MLP</m:t>
                  </m:r>
                </m:e>
                <m:sub>
                  <m:r>
                    <m:rPr>
                      <m:nor/>
                      <m:sty m:val="p"/>
                    </m:rPr>
                    <m:t>ev</m:t>
                  </m:r>
                </m:sub>
              </m:sSub>
              <m:d>
                <m:dPr>
                  <m:begChr m:val="("/>
                  <m:endChr m:val=")"/>
                  <m:sepChr m:val=""/>
                  <m:grow/>
                </m:dPr>
                <m:e>
                  <m:d>
                    <m:dPr>
                      <m:begChr m:val="["/>
                      <m:endChr m:val="]"/>
                      <m:sepChr m:val=""/>
                      <m:grow/>
                    </m:dPr>
                    <m:e>
                      <m:r>
                        <m:rPr>
                          <m:sty m:val="b"/>
                        </m:rPr>
                        <m:t>z</m:t>
                      </m:r>
                      <m:r>
                        <m:t> </m:t>
                      </m:r>
                      <m:r>
                        <m:rPr>
                          <m:sty m:val="p"/>
                        </m:rPr>
                        <m:t>∥</m:t>
                      </m:r>
                      <m:r>
                        <m:t> </m:t>
                      </m:r>
                      <m:r>
                        <m:rPr>
                          <m:sty m:val="b"/>
                        </m:rPr>
                        <m:t>π</m:t>
                      </m:r>
                    </m:e>
                  </m:d>
                </m:e>
              </m:d>
            </m:e>
          </m:d>
          <m:r>
            <m:rPr>
              <m:sty m:val="p"/>
            </m:rPr>
            <m:t>∈</m:t>
          </m:r>
          <m:sSup>
            <m:e>
              <m:r>
                <m:rPr>
                  <m:sty m:val="p"/>
                  <m:scr m:val="double-struck"/>
                </m:rPr>
                <m:t>R</m:t>
              </m:r>
            </m:e>
            <m:sup>
              <m:r>
                <m:t>2</m:t>
              </m:r>
            </m:sup>
          </m:sSup>
        </m:oMath>
      </m:oMathPara>
    </w:p>
    <w:p>
      <w:pPr>
        <w:pStyle w:val="FirstParagraph"/>
      </w:pPr>
      <w:r>
        <w:rPr>
          <w:rFonts w:ascii="Times New Roman" w:hAnsi="Times New Roman" w:eastAsia="Times New Roman" w:cs="Times New Roman"/>
          <w:sz w:val="24"/>
        </w:rPr>
        <w:t xml:space="preserve">The Dirichlet parameters are:</w:t>
      </w:r>
    </w:p>
    <w:p>
      <w:pPr>
        <w:pStyle w:val="BodyText"/>
      </w:pPr>
      <m:oMathPara>
        <m:oMathParaPr>
          <m:jc m:val="center"/>
        </m:oMathParaPr>
        <m:oMath>
          <m:sSub>
            <m:e>
              <m:r>
                <m:t>α</m:t>
              </m:r>
            </m:e>
            <m:sub>
              <m:r>
                <m:t>P</m:t>
              </m:r>
            </m:sub>
          </m:sSub>
          <m:r>
            <m:rPr>
              <m:sty m:val="p"/>
            </m:rPr>
            <m:t>=</m:t>
          </m:r>
          <m:sSub>
            <m:e>
              <m:r>
                <m:t>π</m:t>
              </m:r>
            </m:e>
            <m:sub>
              <m:r>
                <m:t>P</m:t>
              </m:r>
            </m:sub>
          </m:sSub>
          <m:r>
            <m:rPr>
              <m:sty m:val="p"/>
            </m:rPr>
            <m:t>+</m:t>
          </m:r>
          <m:sSub>
            <m:e>
              <m:r>
                <m:t>e</m:t>
              </m:r>
            </m:e>
            <m:sub>
              <m:r>
                <m:t>P</m:t>
              </m:r>
            </m:sub>
          </m:sSub>
          <m:r>
            <m:rPr>
              <m:sty m:val="p"/>
            </m:rPr>
            <m:t>,</m:t>
          </m:r>
          <m:r>
            <m:t> </m:t>
          </m:r>
          <m:sSub>
            <m:e>
              <m:r>
                <m:t>α</m:t>
              </m:r>
            </m:e>
            <m:sub>
              <m:r>
                <m:t>B</m:t>
              </m:r>
            </m:sub>
          </m:sSub>
          <m:r>
            <m:rPr>
              <m:sty m:val="p"/>
            </m:rPr>
            <m:t>=</m:t>
          </m:r>
          <m:sSub>
            <m:e>
              <m:r>
                <m:t>π</m:t>
              </m:r>
            </m:e>
            <m:sub>
              <m:r>
                <m:t>B</m:t>
              </m:r>
            </m:sub>
          </m:sSub>
          <m:r>
            <m:rPr>
              <m:sty m:val="p"/>
            </m:rPr>
            <m:t>+</m:t>
          </m:r>
          <m:sSub>
            <m:e>
              <m:r>
                <m:t>e</m:t>
              </m:r>
            </m:e>
            <m:sub>
              <m:r>
                <m:t>B</m:t>
              </m:r>
            </m:sub>
          </m:sSub>
          <m:r>
            <m:rPr>
              <m:sty m:val="p"/>
            </m:rPr>
            <m:t>,</m:t>
          </m:r>
          <m:r>
            <m:t> </m:t>
          </m:r>
          <m:sSub>
            <m:e>
              <m:r>
                <m:t>α</m:t>
              </m:r>
            </m:e>
            <m:sub>
              <m:r>
                <m:rPr>
                  <m:nor/>
                  <m:sty m:val="p"/>
                </m:rPr>
                <m:t>VUS</m:t>
              </m:r>
            </m:sub>
          </m:sSub>
          <m:r>
            <m:rPr>
              <m:sty m:val="p"/>
            </m:rPr>
            <m:t>=</m:t>
          </m:r>
          <m:r>
            <m:t>1</m:t>
          </m:r>
        </m:oMath>
      </m:oMathPara>
    </w:p>
    <w:p>
      <w:pPr>
        <w:pStyle w:val="FirstParagraph"/>
      </w:pPr>
      <w:r>
        <w:rPr>
          <w:rFonts w:ascii="Times New Roman" w:hAnsi="Times New Roman" w:eastAsia="Times New Roman" w:cs="Times New Roman"/>
          <w:sz w:val="24"/>
        </w:rPr>
        <w:t xml:space="preserve">The constraint</w:t>
      </w:r>
      <w:r>
        <w:rPr>
          <w:rFonts w:ascii="Times New Roman" w:hAnsi="Times New Roman" w:eastAsia="Times New Roman" w:cs="Times New Roman"/>
          <w:sz w:val="24"/>
        </w:rPr>
        <w:t xml:space="preserve"> </w:t>
      </w:r>
      <m:oMath>
        <m:sSub>
          <m:e>
            <m:r>
              <m:t>α</m:t>
            </m:r>
          </m:e>
          <m:sub>
            <m:r>
              <m:rPr>
                <m:nor/>
                <m:sty m:val="p"/>
              </m:rPr>
              <m:t>VUS</m:t>
            </m:r>
          </m:sub>
        </m:sSub>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(fixed) is a critical design decision grounded in the nature of VUS labels. ClinVar VUS labels are not reliable training targets — they often reflect insufficient evidence rather than genuine ambiguity. By fixing</w:t>
      </w:r>
      <w:r>
        <w:rPr>
          <w:rFonts w:ascii="Times New Roman" w:hAnsi="Times New Roman" w:eastAsia="Times New Roman" w:cs="Times New Roman"/>
          <w:sz w:val="24"/>
        </w:rPr>
        <w:t xml:space="preserve"> </w:t>
      </w:r>
      <m:oMath>
        <m:sSub>
          <m:e>
            <m:r>
              <m:t>α</m:t>
            </m:r>
          </m:e>
          <m:sub>
            <m:r>
              <m:rPr>
                <m:nor/>
                <m:sty m:val="p"/>
              </m:rPr>
              <m:t>VUS</m:t>
            </m:r>
          </m:sub>
        </m:sSub>
        <m:r>
          <m:rPr>
            <m:sty m:val="p"/>
          </m:rPr>
          <m:t>=</m:t>
        </m:r>
        <m:r>
          <m:t>1</m:t>
        </m:r>
      </m:oMath>
      <w:r>
        <w:rPr>
          <w:rFonts w:ascii="Times New Roman" w:hAnsi="Times New Roman" w:eastAsia="Times New Roman" w:cs="Times New Roman"/>
          <w:sz w:val="24"/>
        </w:rPr>
        <w:t xml:space="preserve">, VUS is not predicted directly but emerges from low total evidence: when</w:t>
      </w:r>
      <w:r>
        <w:rPr>
          <w:rFonts w:ascii="Times New Roman" w:hAnsi="Times New Roman" w:eastAsia="Times New Roman" w:cs="Times New Roman"/>
          <w:sz w:val="24"/>
        </w:rPr>
        <w:t xml:space="preserve"> </w:t>
      </w:r>
      <m:oMath>
        <m:sSub>
          <m:e>
            <m:r>
              <m:t>α</m:t>
            </m:r>
          </m:e>
          <m:sub>
            <m:r>
              <m:t>P</m:t>
            </m:r>
          </m:sub>
        </m:sSub>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α</m:t>
            </m:r>
          </m:e>
          <m:sub>
            <m:r>
              <m:t>B</m:t>
            </m:r>
          </m:sub>
        </m:sSub>
        <m:r>
          <m:rPr>
            <m:sty m:val="p"/>
          </m:rPr>
          <m:t>≈</m:t>
        </m:r>
        <m:r>
          <m:t>1</m:t>
        </m:r>
      </m:oMath>
      <w:r>
        <w:rPr>
          <w:rFonts w:ascii="Times New Roman" w:hAnsi="Times New Roman" w:eastAsia="Times New Roman" w:cs="Times New Roman"/>
          <w:sz w:val="24"/>
        </w:rPr>
        <w:t xml:space="preserve">, the Dirichlet is near-uniform, and neither class exceeds the decision threshold. The ablation study confirms that a learnable</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causes the model to collapse to 51.4% VUS predictions, as the loss provides no gradient signal for VUS-labeled samples.</w:t>
      </w:r>
    </w:p>
    <w:bookmarkEnd w:id="68"/>
    <w:bookmarkEnd w:id="69"/>
    <w:bookmarkStart w:id="70" w:name="belief-masses-and-decision-rule"/>
    <w:p>
      <w:pPr>
        <w:pStyle w:val="Heading3"/>
      </w:pPr>
      <w:r>
        <w:rPr>
          <w:rFonts w:ascii="Times New Roman" w:hAnsi="Times New Roman" w:eastAsia="Times New Roman" w:cs="Times New Roman"/>
          <w:sz w:val="24"/>
        </w:rPr>
        <w:t xml:space="preserve">9.5 Belief Masses and Decision Rule</w:t>
      </w:r>
    </w:p>
    <w:p>
      <w:pPr>
        <w:pStyle w:val="FirstParagraph"/>
      </w:pPr>
      <w:r>
        <w:rPr>
          <w:rFonts w:ascii="Times New Roman" w:hAnsi="Times New Roman" w:eastAsia="Times New Roman" w:cs="Times New Roman"/>
          <w:sz w:val="24"/>
        </w:rPr>
        <w:t xml:space="preserve">Belief masses are derived via Dempster-Shafer theory:</w:t>
      </w:r>
    </w:p>
    <w:p>
      <w:pPr>
        <w:pStyle w:val="BodyText"/>
      </w:pPr>
      <m:oMathPara>
        <m:oMathParaPr>
          <m:jc m:val="center"/>
        </m:oMathParaPr>
        <m:oMath>
          <m:sSub>
            <m:e>
              <m:r>
                <m:t>b</m:t>
              </m:r>
            </m:e>
            <m:sub>
              <m:r>
                <m:t>P</m:t>
              </m:r>
            </m:sub>
          </m:sSub>
          <m:r>
            <m:rPr>
              <m:sty m:val="p"/>
            </m:rPr>
            <m:t>=</m:t>
          </m:r>
          <m:f>
            <m:fPr>
              <m:type m:val="bar"/>
            </m:fPr>
            <m:num>
              <m:sSub>
                <m:e>
                  <m:r>
                    <m:t>α</m:t>
                  </m:r>
                </m:e>
                <m:sub>
                  <m:r>
                    <m:t>P</m:t>
                  </m:r>
                </m:sub>
              </m:sSub>
              <m:r>
                <m:rPr>
                  <m:sty m:val="p"/>
                </m:rPr>
                <m:t>−</m:t>
              </m:r>
              <m:r>
                <m:t>1</m:t>
              </m:r>
            </m:num>
            <m:den>
              <m:r>
                <m:t>S</m:t>
              </m:r>
            </m:den>
          </m:f>
          <m:r>
            <m:rPr>
              <m:sty m:val="p"/>
            </m:rPr>
            <m:t>,</m:t>
          </m:r>
          <m:r>
            <m:t> </m:t>
          </m:r>
          <m:sSub>
            <m:e>
              <m:r>
                <m:t>b</m:t>
              </m:r>
            </m:e>
            <m:sub>
              <m:r>
                <m:t>B</m:t>
              </m:r>
            </m:sub>
          </m:sSub>
          <m:r>
            <m:rPr>
              <m:sty m:val="p"/>
            </m:rPr>
            <m:t>=</m:t>
          </m:r>
          <m:f>
            <m:fPr>
              <m:type m:val="bar"/>
            </m:fPr>
            <m:num>
              <m:sSub>
                <m:e>
                  <m:r>
                    <m:t>α</m:t>
                  </m:r>
                </m:e>
                <m:sub>
                  <m:r>
                    <m:t>B</m:t>
                  </m:r>
                </m:sub>
              </m:sSub>
              <m:r>
                <m:rPr>
                  <m:sty m:val="p"/>
                </m:rPr>
                <m:t>−</m:t>
              </m:r>
              <m:r>
                <m:t>1</m:t>
              </m:r>
            </m:num>
            <m:den>
              <m:r>
                <m:t>S</m:t>
              </m:r>
            </m:den>
          </m:f>
          <m:r>
            <m:rPr>
              <m:sty m:val="p"/>
            </m:rPr>
            <m:t>,</m:t>
          </m:r>
          <m:r>
            <m:t> </m:t>
          </m:r>
          <m:r>
            <m:t>u</m:t>
          </m:r>
          <m:r>
            <m:rPr>
              <m:sty m:val="p"/>
            </m:rPr>
            <m:t>=</m:t>
          </m:r>
          <m:f>
            <m:fPr>
              <m:type m:val="bar"/>
            </m:fPr>
            <m:num>
              <m:r>
                <m:t>3</m:t>
              </m:r>
            </m:num>
            <m:den>
              <m:r>
                <m:t>S</m:t>
              </m:r>
            </m:den>
          </m:f>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S</m:t>
        </m:r>
        <m:r>
          <m:rPr>
            <m:sty m:val="p"/>
          </m:rPr>
          <m:t>=</m:t>
        </m:r>
        <m:sSub>
          <m:e>
            <m:r>
              <m:t>α</m:t>
            </m:r>
          </m:e>
          <m:sub>
            <m:r>
              <m:t>P</m:t>
            </m:r>
          </m:sub>
        </m:sSub>
        <m:r>
          <m:rPr>
            <m:sty m:val="p"/>
          </m:rPr>
          <m:t>+</m:t>
        </m:r>
        <m:sSub>
          <m:e>
            <m:r>
              <m:t>α</m:t>
            </m:r>
          </m:e>
          <m:sub>
            <m:r>
              <m:t>B</m:t>
            </m:r>
          </m:sub>
        </m:sSub>
        <m:r>
          <m:rPr>
            <m:sty m:val="p"/>
          </m:rPr>
          <m:t>+</m:t>
        </m:r>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b</m:t>
            </m:r>
          </m:e>
          <m:sub>
            <m:r>
              <m:t>P</m:t>
            </m:r>
          </m:sub>
        </m:sSub>
        <m:r>
          <m:rPr>
            <m:sty m:val="p"/>
          </m:rPr>
          <m:t>+</m:t>
        </m:r>
        <m:sSub>
          <m:e>
            <m:r>
              <m:t>b</m:t>
            </m:r>
          </m:e>
          <m:sub>
            <m:r>
              <m:t>B</m:t>
            </m:r>
          </m:sub>
        </m:sSub>
        <m:r>
          <m:rPr>
            <m:sty m:val="p"/>
          </m:rPr>
          <m:t>+</m:t>
        </m:r>
        <m:r>
          <m:t>u</m:t>
        </m:r>
        <m:r>
          <m:rPr>
            <m:sty m:val="p"/>
          </m:rPr>
          <m:t>=</m:t>
        </m:r>
        <m:r>
          <m:t>1</m:t>
        </m:r>
      </m:oMath>
      <w:r>
        <w:rPr>
          <w:rFonts w:ascii="Times New Roman" w:hAnsi="Times New Roman" w:eastAsia="Times New Roman" w:cs="Times New Roman"/>
          <w:sz w:val="24"/>
        </w:rPr>
        <w:t xml:space="preserve">. The uncertainty mass</w:t>
      </w:r>
      <w:r>
        <w:rPr>
          <w:rFonts w:ascii="Times New Roman" w:hAnsi="Times New Roman" w:eastAsia="Times New Roman" w:cs="Times New Roman"/>
          <w:sz w:val="24"/>
        </w:rPr>
        <w:t xml:space="preserve"> </w:t>
      </w:r>
      <m:oMath>
        <m:r>
          <m:t>u</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quantifies the model’s ignorance. The decision rule is:</w:t>
      </w:r>
    </w:p>
    <w:p>
      <w:pPr>
        <w:pStyle w:val="BodyText"/>
      </w:pPr>
      <m:oMathPara>
        <m:oMathParaPr>
          <m:jc m:val="center"/>
        </m:oMathParaPr>
        <m:oMath>
          <m:acc>
            <m:accPr>
              <m:chr m:val="̂"/>
            </m:accPr>
            <m:e>
              <m:r>
                <m:t>y</m:t>
              </m:r>
            </m:e>
          </m:acc>
          <m:r>
            <m:rPr>
              <m:sty m:val="p"/>
            </m:rPr>
            <m:t>=</m:t>
          </m:r>
          <m:d>
            <m:dPr>
              <m:begChr m:val="{"/>
              <m:endChr m:val=""/>
              <m:sepChr m:val=""/>
              <m:grow/>
            </m:dPr>
            <m:e>
              <m:m>
                <m:mPr>
                  <m:baseJc m:val="center"/>
                  <m:plcHide m:val="on"/>
                  <m:mcs>
                    <m:mc>
                      <m:mcPr>
                        <m:mcJc m:val="left"/>
                        <m:count m:val="1"/>
                      </m:mcPr>
                    </m:mc>
                    <m:mc>
                      <m:mcPr>
                        <m:mcJc m:val="left"/>
                        <m:count m:val="1"/>
                      </m:mcPr>
                    </m:mc>
                  </m:mcs>
                </m:mPr>
                <m:mr>
                  <m:e>
                    <m:r>
                      <m:t>P</m:t>
                    </m:r>
                  </m:e>
                  <m:e>
                    <m:r>
                      <m:rPr>
                        <m:nor/>
                        <m:sty m:val="p"/>
                      </m:rPr>
                      <m:t>if </m:t>
                    </m:r>
                    <m:sSub>
                      <m:e>
                        <m:r>
                          <m:t>b</m:t>
                        </m:r>
                      </m:e>
                      <m:sub>
                        <m:r>
                          <m:t>P</m:t>
                        </m:r>
                      </m:sub>
                    </m:sSub>
                    <m:r>
                      <m:rPr>
                        <m:sty m:val="p"/>
                      </m:rPr>
                      <m:t>&gt;</m:t>
                    </m:r>
                    <m:r>
                      <m:t>0.5</m:t>
                    </m:r>
                  </m:e>
                </m:mr>
                <m:mr>
                  <m:e>
                    <m:r>
                      <m:t>B</m:t>
                    </m:r>
                  </m:e>
                  <m:e>
                    <m:r>
                      <m:rPr>
                        <m:nor/>
                        <m:sty m:val="p"/>
                      </m:rPr>
                      <m:t>if </m:t>
                    </m:r>
                    <m:sSub>
                      <m:e>
                        <m:r>
                          <m:t>b</m:t>
                        </m:r>
                      </m:e>
                      <m:sub>
                        <m:r>
                          <m:t>B</m:t>
                        </m:r>
                      </m:sub>
                    </m:sSub>
                    <m:r>
                      <m:rPr>
                        <m:sty m:val="p"/>
                      </m:rPr>
                      <m:t>&gt;</m:t>
                    </m:r>
                    <m:r>
                      <m:t>0.5</m:t>
                    </m:r>
                  </m:e>
                </m:mr>
                <m:mr>
                  <m:e>
                    <m:r>
                      <m:rPr>
                        <m:nor/>
                        <m:sty m:val="p"/>
                      </m:rPr>
                      <m:t>VUS</m:t>
                    </m:r>
                  </m:e>
                  <m:e>
                    <m:r>
                      <m:rPr>
                        <m:nor/>
                        <m:sty m:val="p"/>
                      </m:rPr>
                      <m:t>otherwise</m:t>
                    </m:r>
                  </m:e>
                </m:mr>
              </m:m>
            </m:e>
          </m:d>
        </m:oMath>
      </m:oMathPara>
    </w:p>
    <w:bookmarkEnd w:id="70"/>
    <w:bookmarkStart w:id="74" w:name="training-procedure"/>
    <w:p>
      <w:pPr>
        <w:pStyle w:val="Heading3"/>
      </w:pPr>
      <w:r>
        <w:rPr>
          <w:rFonts w:ascii="Times New Roman" w:hAnsi="Times New Roman" w:eastAsia="Times New Roman" w:cs="Times New Roman"/>
          <w:sz w:val="24"/>
        </w:rPr>
        <w:t xml:space="preserve">9.6 Training Procedure</w:t>
      </w:r>
    </w:p>
    <w:bookmarkStart w:id="71" w:name="platt-scaling"/>
    <w:p>
      <w:pPr>
        <w:pStyle w:val="Heading4"/>
      </w:pPr>
      <w:r>
        <w:rPr>
          <w:rFonts w:ascii="Times New Roman" w:hAnsi="Times New Roman" w:eastAsia="Times New Roman" w:cs="Times New Roman"/>
          <w:sz w:val="24"/>
        </w:rPr>
        <w:t xml:space="preserve">9.6.1 Platt Scaling</w:t>
      </w:r>
    </w:p>
    <w:p>
      <w:pPr>
        <w:pStyle w:val="FirstParagraph"/>
      </w:pPr>
      <w:r>
        <w:rPr>
          <w:rFonts w:ascii="Times New Roman" w:hAnsi="Times New Roman" w:eastAsia="Times New Roman" w:cs="Times New Roman"/>
          <w:sz w:val="24"/>
        </w:rPr>
        <w:t xml:space="preserve">Evo2 delta scores are not calibrated probabilities. A Platt scaler (logistic regression) [10] is fit on the training set to map</w:t>
      </w:r>
      <w:r>
        <w:rPr>
          <w:rFonts w:ascii="Times New Roman" w:hAnsi="Times New Roman" w:eastAsia="Times New Roman" w:cs="Times New Roman"/>
          <w:sz w:val="24"/>
        </w:rPr>
        <w:t xml:space="preserve"> </w:t>
      </w:r>
      <m:oMath>
        <m:r>
          <m:t>Δ</m:t>
        </m:r>
        <m:r>
          <m:rPr>
            <m:sty m:val="p"/>
          </m:rPr>
          <m:t>→</m:t>
        </m:r>
        <m:r>
          <m:t>P</m:t>
        </m:r>
        <m:d>
          <m:dPr>
            <m:begChr m:val="("/>
            <m:endChr m:val=")"/>
            <m:sepChr m:val=""/>
            <m:grow/>
          </m:dPr>
          <m:e>
            <m:r>
              <m:rPr>
                <m:nor/>
                <m:sty m:val="p"/>
              </m:rPr>
              <m:t>pathogenic</m:t>
            </m:r>
            <m:r>
              <m:rPr>
                <m:sty m:val="p"/>
              </m:rPr>
              <m:t>∣</m:t>
            </m:r>
            <m:r>
              <m:t>Δ</m:t>
            </m:r>
          </m:e>
        </m:d>
      </m:oMath>
      <w:r>
        <w:rPr>
          <w:rFonts w:ascii="Times New Roman" w:hAnsi="Times New Roman" w:eastAsia="Times New Roman" w:cs="Times New Roman"/>
          <w:sz w:val="24"/>
        </w:rPr>
        <w:t xml:space="preserve">:</w:t>
      </w:r>
    </w:p>
    <w:p>
      <w:pPr>
        <w:pStyle w:val="BodyText"/>
      </w:pPr>
      <m:oMathPara>
        <m:oMathParaPr>
          <m:jc m:val="center"/>
        </m:oMathParaPr>
        <m:oMath>
          <m:r>
            <m:t>P</m:t>
          </m:r>
          <m:d>
            <m:dPr>
              <m:begChr m:val="("/>
              <m:endChr m:val=")"/>
              <m:sepChr m:val=""/>
              <m:grow/>
            </m:dPr>
            <m:e>
              <m:r>
                <m:rPr>
                  <m:nor/>
                  <m:sty m:val="p"/>
                </m:rPr>
                <m:t>pathogenic</m:t>
              </m:r>
              <m:r>
                <m:rPr>
                  <m:sty m:val="p"/>
                </m:rPr>
                <m:t>∣</m:t>
              </m:r>
              <m:r>
                <m:t>Δ</m:t>
              </m:r>
            </m:e>
          </m:d>
          <m:r>
            <m:rPr>
              <m:sty m:val="p"/>
            </m:rPr>
            <m:t>=</m:t>
          </m:r>
          <m:r>
            <m:t>σ</m:t>
          </m:r>
          <m:d>
            <m:dPr>
              <m:begChr m:val="("/>
              <m:endChr m:val=")"/>
              <m:sepChr m:val=""/>
              <m:grow/>
            </m:dPr>
            <m:e>
              <m:r>
                <m:t>w</m:t>
              </m:r>
              <m:r>
                <m:t>Δ</m:t>
              </m:r>
              <m:r>
                <m:rPr>
                  <m:sty m:val="p"/>
                </m:rPr>
                <m:t>+</m:t>
              </m:r>
              <m:r>
                <m:t>b</m:t>
              </m:r>
            </m:e>
          </m:d>
        </m:oMath>
      </m:oMathPara>
    </w:p>
    <w:p>
      <w:pPr>
        <w:pStyle w:val="FirstParagraph"/>
      </w:pPr>
      <w:r>
        <w:rPr>
          <w:rFonts w:ascii="Times New Roman" w:hAnsi="Times New Roman" w:eastAsia="Times New Roman" w:cs="Times New Roman"/>
          <w:sz w:val="24"/>
        </w:rPr>
        <w:t xml:space="preserve">Fitted parameters:</w:t>
      </w:r>
      <w:r>
        <w:rPr>
          <w:rFonts w:ascii="Times New Roman" w:hAnsi="Times New Roman" w:eastAsia="Times New Roman" w:cs="Times New Roman"/>
          <w:sz w:val="24"/>
        </w:rPr>
        <w:t xml:space="preserve"> </w:t>
      </w:r>
      <m:oMath>
        <m:r>
          <m:t>w</m:t>
        </m:r>
        <m:r>
          <m:rPr>
            <m:sty m:val="p"/>
          </m:rPr>
          <m:t>=</m:t>
        </m:r>
        <m:r>
          <m:rPr>
            <m:sty m:val="p"/>
          </m:rPr>
          <m:t>−</m:t>
        </m:r>
        <m:r>
          <m:t>2442.37</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b</m:t>
        </m:r>
        <m:r>
          <m:rPr>
            <m:sty m:val="p"/>
          </m:rPr>
          <m:t>=</m:t>
        </m:r>
        <m:r>
          <m:rPr>
            <m:sty m:val="p"/>
          </m:rPr>
          <m:t>−</m:t>
        </m:r>
        <m:r>
          <m:t>2.96</m:t>
        </m:r>
      </m:oMath>
      <w:r>
        <w:rPr>
          <w:rFonts w:ascii="Times New Roman" w:hAnsi="Times New Roman" w:eastAsia="Times New Roman" w:cs="Times New Roman"/>
          <w:sz w:val="24"/>
        </w:rPr>
        <w:t xml:space="preserve">. The large magnitude of</w:t>
      </w:r>
      <w:r>
        <w:rPr>
          <w:rFonts w:ascii="Times New Roman" w:hAnsi="Times New Roman" w:eastAsia="Times New Roman" w:cs="Times New Roman"/>
          <w:sz w:val="24"/>
        </w:rPr>
        <w:t xml:space="preserve"> </w:t>
      </w:r>
      <m:oMath>
        <m:r>
          <m:t>w</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produces a steep transition zone: the sigmoid moves from 0.1 to 0.9 over an input range of approximately</w:t>
      </w:r>
      <w:r>
        <w:rPr>
          <w:rFonts w:ascii="Times New Roman" w:hAnsi="Times New Roman" w:eastAsia="Times New Roman" w:cs="Times New Roman"/>
          <w:sz w:val="24"/>
        </w:rPr>
        <w:t xml:space="preserve"> </w:t>
      </w:r>
      <m:oMath>
        <m:r>
          <m:t>4</m:t>
        </m:r>
        <m:r>
          <m:rPr>
            <m:sty m:val="p"/>
          </m:rPr>
          <m:t>/</m:t>
        </m:r>
        <m:d>
          <m:dPr>
            <m:begChr m:val="|"/>
            <m:endChr m:val="|"/>
            <m:sepChr m:val=""/>
            <m:grow/>
          </m:dPr>
          <m:e>
            <m:r>
              <m:t>w</m:t>
            </m:r>
          </m:e>
        </m:d>
        <m:r>
          <m:rPr>
            <m:sty m:val="p"/>
          </m:rPr>
          <m:t>≈</m:t>
        </m:r>
        <m:r>
          <m:t>0.0016</m:t>
        </m:r>
      </m:oMath>
      <w:r>
        <w:rPr>
          <w:rFonts w:ascii="Times New Roman" w:hAnsi="Times New Roman" w:eastAsia="Times New Roman" w:cs="Times New Roman"/>
          <w:sz w:val="24"/>
        </w:rPr>
        <w:t xml:space="preserve">, which is comparable to the scale of typical delta score variations (</w:t>
      </w:r>
      <m:oMath>
        <m:r>
          <m:rPr>
            <m:sty m:val="p"/>
          </m:rPr>
          <m:t>≈</m:t>
        </m:r>
        <m:r>
          <m:rPr>
            <m:sty m:val="p"/>
          </m:rPr>
          <m:t>−</m:t>
        </m:r>
        <m:r>
          <m:t>0.043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z w:val="24"/>
        </w:rPr>
        <w:t xml:space="preserve"> </w:t>
      </w:r>
      <m:oMath>
        <m:r>
          <m:rPr>
            <m:sty m:val="p"/>
          </m:rPr>
          <m:t>+</m:t>
        </m:r>
        <m:r>
          <m:t>0.004</m:t>
        </m:r>
      </m:oMath>
      <w:r>
        <w:rPr>
          <w:rFonts w:ascii="Times New Roman" w:hAnsi="Times New Roman" w:eastAsia="Times New Roman" w:cs="Times New Roman"/>
          <w:sz w:val="24"/>
        </w:rPr>
        <w:t xml:space="preserve">). This means the Platt scaler acts as a near-hard threshold for most of the input range, with a narrow transition band near the decision boundary.</w:t>
      </w:r>
    </w:p>
    <w:p>
      <w:pPr>
        <w:pStyle w:val="BodyText"/>
      </w:pPr>
      <w:r>
        <w:rPr>
          <w:rFonts w:ascii="Times New Roman" w:hAnsi="Times New Roman" w:eastAsia="Times New Roman" w:cs="Times New Roman"/>
          <w:sz w:val="24"/>
        </w:rPr>
        <w:t xml:space="preserve">This behavior is a consequence of the bimodal distribution of Evo2 delta scores: pathogenic variants cluster tightly below</w:t>
      </w:r>
      <w:r>
        <w:rPr>
          <w:rFonts w:ascii="Times New Roman" w:hAnsi="Times New Roman" w:eastAsia="Times New Roman" w:cs="Times New Roman"/>
          <w:sz w:val="24"/>
        </w:rPr>
        <w:t xml:space="preserve"> </w:t>
      </w:r>
      <m:oMath>
        <m:sSub>
          <m:e>
            <m:r>
              <m:t>τ</m:t>
            </m:r>
          </m:e>
          <m:sub>
            <m:r>
              <m:t>g</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benign variants cluster tightly above</w:t>
      </w:r>
      <w:r>
        <w:rPr>
          <w:rFonts w:ascii="Times New Roman" w:hAnsi="Times New Roman" w:eastAsia="Times New Roman" w:cs="Times New Roman"/>
          <w:sz w:val="24"/>
        </w:rPr>
        <w:t xml:space="preserve"> </w:t>
      </w:r>
      <m:oMath>
        <m:d>
          <m:dPr>
            <m:begChr m:val="|"/>
            <m:endChr m:val="|"/>
            <m:sepChr m:val=""/>
            <m:grow/>
          </m:dPr>
          <m:e>
            <m:sSub>
              <m:e>
                <m:r>
                  <m:t>τ</m:t>
                </m:r>
              </m:e>
              <m:sub>
                <m:r>
                  <m:t>g</m:t>
                </m:r>
              </m:sub>
            </m:sSub>
          </m:e>
        </m:d>
      </m:oMath>
      <w:r>
        <w:rPr>
          <w:rFonts w:ascii="Times New Roman" w:hAnsi="Times New Roman" w:eastAsia="Times New Roman" w:cs="Times New Roman"/>
          <w:sz w:val="24"/>
        </w:rPr>
        <w:t xml:space="preserve">, with relatively few variants in the VUS interval. The steep sigmoid captures this bimodality faithfully — the model is genuinely confident for most variants — but it means that variants near the threshold are sensitive to small perturbations in</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m:oMath>
        <m:r>
          <m:rPr>
            <m:sty m:val="p"/>
          </m:rPr>
          <m:t>±</m:t>
        </m:r>
        <m:r>
          <m:t>0.001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can shift the calibrated probability from 0.12 to 0.88).</w:t>
      </w:r>
    </w:p>
    <w:p>
      <w:pPr>
        <w:pStyle w:val="BodyText"/>
      </w:pPr>
      <w:r>
        <w:rPr>
          <w:rFonts w:ascii="Times New Roman" w:hAnsi="Times New Roman" w:eastAsia="Times New Roman" w:cs="Times New Roman"/>
          <w:sz w:val="24"/>
        </w:rPr>
        <w:t xml:space="preserve">We evaluated two alternative calibration methods to assess whether the steepness is an artifact of Platt scaling or a property of the data:</w:t>
      </w:r>
    </w:p>
    <w:p>
      <w:pPr>
        <w:pStyle w:val="Caption"/>
      </w:pPr>
      <w:bookmarkStart w:id="73385" w:name="_Tbl8"/>
      <w:r>
        <w:rPr>
          <w:rFonts w:ascii="Times New Roman" w:hAnsi="Times New Roman" w:eastAsia="Times New Roman" w:cs="Times New Roman"/>
          <w:b/>
          <w:bCs/>
          <w:sz w:val="24"/>
        </w:rPr>
        <w:t xml:space="preserve">Table 8: Calibration Method Comparison.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Comparison of Platt scaling, isotonic regression, and temperature scaling for Evo2 score calibration. Platt scaling achieves the lowest expected calibration error (ECE) while maintaining the highest AUROC.</w:t>
      </w:r>
      <w:bookmarkEnd w:id="73385"/>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Method</w:t>
            </w:r>
          </w:p>
        </w:tc>
        <w:tc>
          <w:tcPr/>
          <w:p>
            <w:pPr>
              <w:pStyle w:val="Compact"/>
            </w:pPr>
            <w:r>
              <w:rPr>
                <w:rFonts w:ascii="Times New Roman" w:hAnsi="Times New Roman" w:eastAsia="Times New Roman" w:cs="Times New Roman"/>
                <w:sz w:val="20"/>
              </w:rPr>
              <w:t xml:space="preserve">AUROC</w:t>
            </w:r>
          </w:p>
        </w:tc>
        <w:tc>
          <w:tcPr/>
          <w:p>
            <w:pPr>
              <w:pStyle w:val="Compact"/>
            </w:pPr>
            <w:r>
              <w:rPr>
                <w:rFonts w:ascii="Times New Roman" w:hAnsi="Times New Roman" w:eastAsia="Times New Roman" w:cs="Times New Roman"/>
                <w:sz w:val="20"/>
              </w:rPr>
              <w:t xml:space="preserve">ECE</w:t>
            </w:r>
          </w:p>
        </w:tc>
        <w:tc>
          <w:tcPr/>
          <w:p>
            <w:pPr>
              <w:pStyle w:val="Compact"/>
            </w:pPr>
            <w:r>
              <w:rPr>
                <w:rFonts w:ascii="Times New Roman" w:hAnsi="Times New Roman" w:eastAsia="Times New Roman" w:cs="Times New Roman"/>
                <w:sz w:val="20"/>
              </w:rPr>
              <w:t xml:space="preserve">Transition width</w:t>
            </w:r>
          </w:p>
        </w:tc>
      </w:tr>
      <w:tr>
        <w:tc>
          <w:tcPr/>
          <w:p>
            <w:pPr>
              <w:pStyle w:val="Compact"/>
            </w:pPr>
            <w:r>
              <w:rPr>
                <w:rFonts w:ascii="Times New Roman" w:hAnsi="Times New Roman" w:eastAsia="Times New Roman" w:cs="Times New Roman"/>
                <w:b/>
                <w:bCs/>
                <w:sz w:val="20"/>
              </w:rPr>
              <w:t xml:space="preserve">Platt scaling</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(logistic)</w:t>
            </w:r>
          </w:p>
        </w:tc>
        <w:tc>
          <w:tcPr/>
          <w:p>
            <w:pPr>
              <w:pStyle w:val="Compact"/>
            </w:pPr>
            <w:r>
              <w:rPr>
                <w:rFonts w:ascii="Times New Roman" w:hAnsi="Times New Roman" w:eastAsia="Times New Roman" w:cs="Times New Roman"/>
                <w:sz w:val="20"/>
              </w:rPr>
              <w:t xml:space="preserve">0.987</w:t>
            </w:r>
          </w:p>
        </w:tc>
        <w:tc>
          <w:tcPr/>
          <w:p>
            <w:pPr>
              <w:pStyle w:val="Compact"/>
            </w:pPr>
            <w:r>
              <w:rPr>
                <w:rFonts w:ascii="Times New Roman" w:hAnsi="Times New Roman" w:eastAsia="Times New Roman" w:cs="Times New Roman"/>
                <w:sz w:val="20"/>
              </w:rPr>
              <w:t xml:space="preserve">0.032</w:t>
            </w:r>
          </w:p>
        </w:tc>
        <w:tc>
          <w:tcPr/>
          <w:p>
            <w:pPr>
              <w:pStyle w:val="Compact"/>
            </w:pPr>
            <m:oMath>
              <m:r>
                <m:rPr>
                  <m:sty m:val="p"/>
                </m:rPr>
                <m:t>≈</m:t>
              </m:r>
              <m:r>
                <m:t>0.0016</m:t>
              </m:r>
            </m:oMath>
          </w:p>
        </w:tc>
      </w:tr>
      <w:tr>
        <w:tc>
          <w:tcPr/>
          <w:p>
            <w:pPr>
              <w:pStyle w:val="Compact"/>
            </w:pPr>
            <w:r>
              <w:rPr>
                <w:rFonts w:ascii="Times New Roman" w:hAnsi="Times New Roman" w:eastAsia="Times New Roman" w:cs="Times New Roman"/>
                <w:sz w:val="20"/>
              </w:rPr>
              <w:t xml:space="preserve">Isotonic regression</w:t>
            </w:r>
          </w:p>
        </w:tc>
        <w:tc>
          <w:tcPr/>
          <w:p>
            <w:pPr>
              <w:pStyle w:val="Compact"/>
            </w:pPr>
            <w:r>
              <w:rPr>
                <w:rFonts w:ascii="Times New Roman" w:hAnsi="Times New Roman" w:eastAsia="Times New Roman" w:cs="Times New Roman"/>
                <w:sz w:val="20"/>
              </w:rPr>
              <w:t xml:space="preserve">0.984</w:t>
            </w:r>
          </w:p>
        </w:tc>
        <w:tc>
          <w:tcPr/>
          <w:p>
            <w:pPr>
              <w:pStyle w:val="Compact"/>
            </w:pPr>
            <w:r>
              <w:rPr>
                <w:rFonts w:ascii="Times New Roman" w:hAnsi="Times New Roman" w:eastAsia="Times New Roman" w:cs="Times New Roman"/>
                <w:sz w:val="20"/>
              </w:rPr>
              <w:t xml:space="preserve">0.041</w:t>
            </w:r>
          </w:p>
        </w:tc>
        <w:tc>
          <w:tcPr/>
          <w:p>
            <w:pPr>
              <w:pStyle w:val="Compact"/>
            </w:pPr>
            <w:r>
              <w:rPr>
                <w:rFonts w:ascii="Times New Roman" w:hAnsi="Times New Roman" w:eastAsia="Times New Roman" w:cs="Times New Roman"/>
                <w:sz w:val="20"/>
              </w:rPr>
              <w:t xml:space="preserve">Variable (data-driven)</w:t>
            </w:r>
          </w:p>
        </w:tc>
      </w:tr>
      <w:tr>
        <w:tc>
          <w:tcPr/>
          <w:p>
            <w:pPr>
              <w:pStyle w:val="Compact"/>
            </w:pPr>
            <w:r>
              <w:rPr>
                <w:rFonts w:ascii="Times New Roman" w:hAnsi="Times New Roman" w:eastAsia="Times New Roman" w:cs="Times New Roman"/>
                <w:sz w:val="20"/>
              </w:rPr>
              <w:t xml:space="preserve">Temperature scaling (</w:t>
            </w:r>
            <m:oMath>
              <m:r>
                <m:t>T</m:t>
              </m:r>
              <m:r>
                <m:rPr>
                  <m:sty m:val="p"/>
                </m:rPr>
                <m:t>=</m:t>
              </m:r>
              <m:r>
                <m:t>0.42</m:t>
              </m:r>
            </m:oMath>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0.987</w:t>
            </w:r>
          </w:p>
        </w:tc>
        <w:tc>
          <w:tcPr/>
          <w:p>
            <w:pPr>
              <w:pStyle w:val="Compact"/>
            </w:pPr>
            <w:r>
              <w:rPr>
                <w:rFonts w:ascii="Times New Roman" w:hAnsi="Times New Roman" w:eastAsia="Times New Roman" w:cs="Times New Roman"/>
                <w:sz w:val="20"/>
              </w:rPr>
              <w:t xml:space="preserve">0.038</w:t>
            </w:r>
          </w:p>
        </w:tc>
        <w:tc>
          <w:tcPr/>
          <w:p>
            <w:pPr>
              <w:pStyle w:val="Compact"/>
            </w:pPr>
            <m:oMath>
              <m:r>
                <m:rPr>
                  <m:sty m:val="p"/>
                </m:rPr>
                <m:t>≈</m:t>
              </m:r>
              <m:r>
                <m:t>0.0038</m:t>
              </m:r>
            </m:oMath>
          </w:p>
        </w:tc>
      </w:tr>
    </w:tbl>
    <w:p>
      <w:pPr>
        <w:pStyle w:val="BodyText"/>
      </w:pPr>
      <w:r>
        <w:rPr>
          <w:rFonts w:ascii="Times New Roman" w:hAnsi="Times New Roman" w:eastAsia="Times New Roman" w:cs="Times New Roman"/>
          <w:sz w:val="24"/>
        </w:rPr>
        <w:t xml:space="preserve">Isotonic regression produces a wider, data-driven transition zone but at the cost of higher ECE (0.041 vs. 0.032), likely because the non-parametric fit overfits small calibration bins in the sparse VUS interval. Temperature scaling with</w:t>
      </w:r>
      <w:r>
        <w:rPr>
          <w:rFonts w:ascii="Times New Roman" w:hAnsi="Times New Roman" w:eastAsia="Times New Roman" w:cs="Times New Roman"/>
          <w:sz w:val="24"/>
        </w:rPr>
        <w:t xml:space="preserve"> </w:t>
      </w:r>
      <m:oMath>
        <m:r>
          <m:t>T</m:t>
        </m:r>
        <m:r>
          <m:rPr>
            <m:sty m:val="p"/>
          </m:rPr>
          <m:t>=</m:t>
        </m:r>
        <m:r>
          <m:t>0.42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softens the sigmoid by a factor of</w:t>
      </w:r>
      <w:r>
        <w:rPr>
          <w:rFonts w:ascii="Times New Roman" w:hAnsi="Times New Roman" w:eastAsia="Times New Roman" w:cs="Times New Roman"/>
          <w:sz w:val="24"/>
        </w:rPr>
        <w:t xml:space="preserve"> </w:t>
      </w:r>
      <m:oMath>
        <m:r>
          <m:rPr>
            <m:sty m:val="p"/>
          </m:rPr>
          <m:t>∼</m:t>
        </m:r>
        <m:r>
          <m:t>2.4</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but increases ECE. Platt scaling achieves the lowest ECE, indicating that despite its steepness, it produces the most calibrated probabilities on the test set. The steepness is therefore a property of the data distribution (bimodal delta scores with a narrow intermediate zone), not a calibration artifact.</w:t>
      </w:r>
    </w:p>
    <w:p>
      <w:pPr>
        <w:pStyle w:val="BodyText"/>
      </w:pPr>
      <w:r>
        <w:rPr>
          <w:rFonts w:ascii="Times New Roman" w:hAnsi="Times New Roman" w:eastAsia="Times New Roman" w:cs="Times New Roman"/>
          <w:sz w:val="24"/>
        </w:rPr>
        <w:t xml:space="preserve">The ablation result showing AUROC = 0.500 without Platt scaling reflects the fact that raw delta scores are not in</w:t>
      </w:r>
      <w:r>
        <w:rPr>
          <w:rFonts w:ascii="Times New Roman" w:hAnsi="Times New Roman" w:eastAsia="Times New Roman" w:cs="Times New Roman"/>
          <w:sz w:val="24"/>
        </w:rPr>
        <w:t xml:space="preserve"> </w:t>
      </w:r>
      <m:oMath>
        <m:d>
          <m:dPr>
            <m:begChr m:val="["/>
            <m:endChr m:val="]"/>
            <m:sepChr m:val=""/>
            <m:grow/>
          </m:dPr>
          <m:e>
            <m:r>
              <m:t>0</m:t>
            </m:r>
            <m:r>
              <m:rPr>
                <m:sty m:val="p"/>
              </m:rPr>
              <m:t>,</m:t>
            </m:r>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cannot be directly interpreted as probabilities by the evidential network. The ablation removes calibration entirely, not just Platt scaling specifically. Any calibrated mapping (Platt, isotonic, or temperature) would restore AUROC; the critical requirement is that the input to CEFN v2 must be a calibrated probability, not a raw log-likelihood ratio.</w:t>
      </w:r>
    </w:p>
    <w:p>
      <w:pPr>
        <w:pStyle w:val="BodyText"/>
      </w:pPr>
      <w:r>
        <w:rPr>
          <w:rFonts w:ascii="Times New Roman" w:hAnsi="Times New Roman" w:eastAsia="Times New Roman" w:cs="Times New Roman"/>
          <w:sz w:val="24"/>
        </w:rPr>
        <w:t xml:space="preserve">AlphaMissense scores are already calibrated posterior probabilities and require no scaling.</w:t>
      </w:r>
    </w:p>
    <w:bookmarkEnd w:id="71"/>
    <w:bookmarkStart w:id="72" w:name="loss-function"/>
    <w:p>
      <w:pPr>
        <w:pStyle w:val="Heading4"/>
      </w:pPr>
      <w:r>
        <w:rPr>
          <w:rFonts w:ascii="Times New Roman" w:hAnsi="Times New Roman" w:eastAsia="Times New Roman" w:cs="Times New Roman"/>
          <w:sz w:val="24"/>
        </w:rPr>
        <w:t xml:space="preserve">9.6.2 Loss Function</w:t>
      </w:r>
    </w:p>
    <w:p>
      <w:pPr>
        <w:pStyle w:val="FirstParagraph"/>
      </w:pPr>
      <w:r>
        <w:rPr>
          <w:rFonts w:ascii="Times New Roman" w:hAnsi="Times New Roman" w:eastAsia="Times New Roman" w:cs="Times New Roman"/>
          <w:sz w:val="24"/>
        </w:rPr>
        <w:t xml:space="preserve">The binary evidential loss (Sensoy et al., 2018, adapted) [8] is:</w:t>
      </w:r>
    </w:p>
    <w:p>
      <w:pPr>
        <w:pStyle w:val="BodyText"/>
      </w:pPr>
      <m:oMathPara>
        <m:oMathParaPr>
          <m:jc m:val="center"/>
        </m:oMathParaPr>
        <m:oMath>
          <m:r>
            <m:rPr>
              <m:sty m:val="p"/>
              <m:scr m:val="script"/>
            </m:rPr>
            <m:t>L</m:t>
          </m:r>
          <m:r>
            <m:rPr>
              <m:sty m:val="p"/>
            </m:rPr>
            <m:t>=</m:t>
          </m:r>
          <m:sSub>
            <m:e>
              <m:r>
                <m:rPr>
                  <m:sty m:val="p"/>
                  <m:scr m:val="script"/>
                </m:rPr>
                <m:t>L</m:t>
              </m:r>
            </m:e>
            <m:sub>
              <m:r>
                <m:rPr>
                  <m:nor/>
                  <m:sty m:val="p"/>
                </m:rPr>
                <m:t>data</m:t>
              </m:r>
            </m:sub>
          </m:sSub>
          <m:r>
            <m:rPr>
              <m:sty m:val="p"/>
            </m:rPr>
            <m:t>+</m:t>
          </m:r>
          <m:r>
            <m:t>λ</m:t>
          </m:r>
          <m:r>
            <m:t> </m:t>
          </m:r>
          <m:r>
            <m:t>a</m:t>
          </m:r>
          <m:d>
            <m:dPr>
              <m:begChr m:val="("/>
              <m:endChr m:val=")"/>
              <m:sepChr m:val=""/>
              <m:grow/>
            </m:dPr>
            <m:e>
              <m:r>
                <m:t>t</m:t>
              </m:r>
            </m:e>
          </m:d>
          <m:r>
            <m:t> </m:t>
          </m:r>
          <m:sSub>
            <m:e>
              <m:r>
                <m:rPr>
                  <m:sty m:val="p"/>
                  <m:scr m:val="script"/>
                </m:rPr>
                <m:t>L</m:t>
              </m:r>
            </m:e>
            <m:sub>
              <m:r>
                <m:rPr>
                  <m:nor/>
                  <m:sty m:val="p"/>
                </m:rPr>
                <m:t>KL</m:t>
              </m:r>
            </m:sub>
          </m:sSub>
        </m:oMath>
      </m:oMathPara>
    </w:p>
    <w:p>
      <w:pPr>
        <w:pStyle w:val="FirstParagraph"/>
      </w:pPr>
      <w:r>
        <w:rPr>
          <w:rFonts w:ascii="Times New Roman" w:hAnsi="Times New Roman" w:eastAsia="Times New Roman" w:cs="Times New Roman"/>
          <w:b/>
          <w:bCs/>
          <w:sz w:val="24"/>
        </w:rPr>
        <w:t xml:space="preserve">Data term.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expected negative log-likelihood under the Dirichlet:</w:t>
      </w:r>
    </w:p>
    <w:p>
      <w:pPr>
        <w:pStyle w:val="BodyText"/>
      </w:pPr>
      <m:oMathPara>
        <m:oMathParaPr>
          <m:jc m:val="center"/>
        </m:oMathParaPr>
        <m:oMath>
          <m:sSub>
            <m:e>
              <m:r>
                <m:rPr>
                  <m:sty m:val="p"/>
                  <m:scr m:val="script"/>
                </m:rPr>
                <m:t>L</m:t>
              </m:r>
            </m:e>
            <m:sub>
              <m:r>
                <m:rPr>
                  <m:nor/>
                  <m:sty m:val="p"/>
                </m:rPr>
                <m:t>data</m:t>
              </m:r>
            </m:sub>
          </m:sSub>
          <m:r>
            <m:rPr>
              <m:sty m:val="p"/>
            </m:rPr>
            <m:t>=</m:t>
          </m:r>
          <m:r>
            <m:rPr>
              <m:sty m:val="p"/>
            </m:rPr>
            <m:t>−</m:t>
          </m:r>
          <m:nary>
            <m:naryPr>
              <m:chr m:val="∑"/>
              <m:limLoc m:val="undOvr"/>
              <m:subHide m:val="off"/>
              <m:supHide m:val="on"/>
            </m:naryPr>
            <m:sub>
              <m:r>
                <m:t>i</m:t>
              </m:r>
              <m:r>
                <m:rPr>
                  <m:sty m:val="p"/>
                </m:rPr>
                <m:t>∈</m:t>
              </m:r>
              <m:r>
                <m:rPr>
                  <m:sty m:val="p"/>
                  <m:scr m:val="script"/>
                </m:rPr>
                <m:t>B</m:t>
              </m:r>
            </m:sub>
            <m:sup>
              <m:r>
                <m:t>​</m:t>
              </m:r>
            </m:sup>
            <m:e>
              <m:d>
                <m:dPr>
                  <m:begChr m:val="["/>
                  <m:endChr m:val="]"/>
                  <m:sepChr m:val=""/>
                  <m:grow/>
                </m:dPr>
                <m:e>
                  <m:sSub>
                    <m:e>
                      <m:r>
                        <m:t>y</m:t>
                      </m:r>
                    </m:e>
                    <m:sub>
                      <m:r>
                        <m:t>i</m:t>
                      </m:r>
                    </m:sub>
                  </m:sSub>
                  <m:r>
                    <m:t> </m:t>
                  </m:r>
                  <m:d>
                    <m:dPr>
                      <m:begChr m:val="("/>
                      <m:endChr m:val=")"/>
                      <m:sepChr m:val=""/>
                      <m:grow/>
                    </m:dPr>
                    <m:e>
                      <m:r>
                        <m:t>ψ</m:t>
                      </m:r>
                      <m:d>
                        <m:dPr>
                          <m:begChr m:val="("/>
                          <m:endChr m:val=")"/>
                          <m:sepChr m:val=""/>
                          <m:grow/>
                        </m:dPr>
                        <m:e>
                          <m:sSubSup>
                            <m:e>
                              <m:r>
                                <m:t>α</m:t>
                              </m:r>
                            </m:e>
                            <m:sub>
                              <m:r>
                                <m:t>P</m:t>
                              </m:r>
                            </m:sub>
                            <m:sup>
                              <m:d>
                                <m:dPr>
                                  <m:begChr m:val="("/>
                                  <m:endChr m:val=")"/>
                                  <m:sepChr m:val=""/>
                                  <m:grow/>
                                </m:dPr>
                                <m:e>
                                  <m:r>
                                    <m:t>i</m:t>
                                  </m:r>
                                </m:e>
                              </m:d>
                            </m:sup>
                          </m:sSubSup>
                        </m:e>
                      </m:d>
                      <m:r>
                        <m:rPr>
                          <m:sty m:val="p"/>
                        </m:rPr>
                        <m:t>−</m:t>
                      </m:r>
                      <m:r>
                        <m:t>ψ</m:t>
                      </m:r>
                      <m:d>
                        <m:dPr>
                          <m:begChr m:val="("/>
                          <m:endChr m:val=")"/>
                          <m:sepChr m:val=""/>
                          <m:grow/>
                        </m:dPr>
                        <m:e>
                          <m:sSup>
                            <m:e>
                              <m:r>
                                <m:t>S</m:t>
                              </m:r>
                            </m:e>
                            <m:sup>
                              <m:d>
                                <m:dPr>
                                  <m:begChr m:val="("/>
                                  <m:endChr m:val=")"/>
                                  <m:sepChr m:val=""/>
                                  <m:grow/>
                                </m:dPr>
                                <m:e>
                                  <m:r>
                                    <m:t>i</m:t>
                                  </m:r>
                                </m:e>
                              </m:d>
                            </m:sup>
                          </m:sSup>
                        </m:e>
                      </m:d>
                    </m:e>
                  </m:d>
                  <m:r>
                    <m:rPr>
                      <m:sty m:val="p"/>
                    </m:rPr>
                    <m:t>+</m:t>
                  </m:r>
                  <m:d>
                    <m:dPr>
                      <m:begChr m:val="("/>
                      <m:endChr m:val=")"/>
                      <m:sepChr m:val=""/>
                      <m:grow/>
                    </m:dPr>
                    <m:e>
                      <m:r>
                        <m:t>1</m:t>
                      </m:r>
                      <m:r>
                        <m:rPr>
                          <m:sty m:val="p"/>
                        </m:rPr>
                        <m:t>−</m:t>
                      </m:r>
                      <m:sSub>
                        <m:e>
                          <m:r>
                            <m:t>y</m:t>
                          </m:r>
                        </m:e>
                        <m:sub>
                          <m:r>
                            <m:t>i</m:t>
                          </m:r>
                        </m:sub>
                      </m:sSub>
                    </m:e>
                  </m:d>
                  <m:r>
                    <m:t> </m:t>
                  </m:r>
                  <m:d>
                    <m:dPr>
                      <m:begChr m:val="("/>
                      <m:endChr m:val=")"/>
                      <m:sepChr m:val=""/>
                      <m:grow/>
                    </m:dPr>
                    <m:e>
                      <m:r>
                        <m:t>ψ</m:t>
                      </m:r>
                      <m:d>
                        <m:dPr>
                          <m:begChr m:val="("/>
                          <m:endChr m:val=")"/>
                          <m:sepChr m:val=""/>
                          <m:grow/>
                        </m:dPr>
                        <m:e>
                          <m:sSubSup>
                            <m:e>
                              <m:r>
                                <m:t>α</m:t>
                              </m:r>
                            </m:e>
                            <m:sub>
                              <m:r>
                                <m:t>B</m:t>
                              </m:r>
                            </m:sub>
                            <m:sup>
                              <m:d>
                                <m:dPr>
                                  <m:begChr m:val="("/>
                                  <m:endChr m:val=")"/>
                                  <m:sepChr m:val=""/>
                                  <m:grow/>
                                </m:dPr>
                                <m:e>
                                  <m:r>
                                    <m:t>i</m:t>
                                  </m:r>
                                </m:e>
                              </m:d>
                            </m:sup>
                          </m:sSubSup>
                        </m:e>
                      </m:d>
                      <m:r>
                        <m:rPr>
                          <m:sty m:val="p"/>
                        </m:rPr>
                        <m:t>−</m:t>
                      </m:r>
                      <m:r>
                        <m:t>ψ</m:t>
                      </m:r>
                      <m:d>
                        <m:dPr>
                          <m:begChr m:val="("/>
                          <m:endChr m:val=")"/>
                          <m:sepChr m:val=""/>
                          <m:grow/>
                        </m:dPr>
                        <m:e>
                          <m:sSup>
                            <m:e>
                              <m:r>
                                <m:t>S</m:t>
                              </m:r>
                            </m:e>
                            <m:sup>
                              <m:d>
                                <m:dPr>
                                  <m:begChr m:val="("/>
                                  <m:endChr m:val=")"/>
                                  <m:sepChr m:val=""/>
                                  <m:grow/>
                                </m:dPr>
                                <m:e>
                                  <m:r>
                                    <m:t>i</m:t>
                                  </m:r>
                                </m:e>
                              </m:d>
                            </m:sup>
                          </m:sSup>
                        </m:e>
                      </m:d>
                    </m:e>
                  </m:d>
                </m:e>
              </m:d>
            </m:e>
          </m:nary>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t>ψ</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digamma function,</w:t>
      </w:r>
      <w:r>
        <w:rPr>
          <w:rFonts w:ascii="Times New Roman" w:hAnsi="Times New Roman" w:eastAsia="Times New Roman" w:cs="Times New Roman"/>
          <w:sz w:val="24"/>
        </w:rPr>
        <w:t xml:space="preserve"> </w:t>
      </w:r>
      <m:oMath>
        <m:sSub>
          <m:e>
            <m:r>
              <m:t>y</m:t>
            </m:r>
          </m:e>
          <m:sub>
            <m:r>
              <m:t>i</m:t>
            </m:r>
          </m:sub>
        </m:sSub>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pathogenic,</w:t>
      </w:r>
      <w:r>
        <w:rPr>
          <w:rFonts w:ascii="Times New Roman" w:hAnsi="Times New Roman" w:eastAsia="Times New Roman" w:cs="Times New Roman"/>
          <w:sz w:val="24"/>
        </w:rPr>
        <w:t xml:space="preserve"> </w:t>
      </w:r>
      <m:oMath>
        <m:sSub>
          <m:e>
            <m:r>
              <m:t>y</m:t>
            </m:r>
          </m:e>
          <m:sub>
            <m:r>
              <m:t>i</m:t>
            </m:r>
          </m:sub>
        </m:sSub>
        <m:r>
          <m:rPr>
            <m:sty m:val="p"/>
          </m:rPr>
          <m:t>=</m:t>
        </m:r>
        <m:r>
          <m:t>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benign, and VUS-labeled samples (</w:t>
      </w:r>
      <m:oMath>
        <m:sSub>
          <m:e>
            <m:r>
              <m:t>y</m:t>
            </m:r>
          </m:e>
          <m:sub>
            <m:r>
              <m:t>i</m:t>
            </m:r>
          </m:sub>
        </m:sSub>
        <m:r>
          <m:rPr>
            <m:sty m:val="p"/>
          </m:rPr>
          <m:t>=</m:t>
        </m:r>
        <m:r>
          <m:t>2</m:t>
        </m:r>
      </m:oMath>
      <w:r>
        <w:rPr>
          <w:rFonts w:ascii="Times New Roman" w:hAnsi="Times New Roman" w:eastAsia="Times New Roman" w:cs="Times New Roman"/>
          <w:sz w:val="24"/>
        </w:rPr>
        <w:t xml:space="preserve">) are excluded from</w:t>
      </w:r>
      <w:r>
        <w:rPr>
          <w:rFonts w:ascii="Times New Roman" w:hAnsi="Times New Roman" w:eastAsia="Times New Roman" w:cs="Times New Roman"/>
          <w:sz w:val="24"/>
        </w:rPr>
        <w:t xml:space="preserve"> </w:t>
      </w:r>
      <m:oMath>
        <m:r>
          <m:rPr>
            <m:sty m:val="p"/>
            <m:scr m:val="script"/>
          </m:rPr>
          <m:t>B</m:t>
        </m:r>
      </m:oMath>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b/>
          <w:bCs/>
          <w:sz w:val="24"/>
        </w:rPr>
        <w:t xml:space="preserve">KL regularizer.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Prevents overconfidence on misclassified samples by shrinking the Dirichlet toward uniform:</w:t>
      </w:r>
    </w:p>
    <w:p>
      <w:pPr>
        <w:pStyle w:val="BodyText"/>
      </w:pPr>
      <m:oMathPara>
        <m:oMathParaPr>
          <m:jc m:val="center"/>
        </m:oMathParaPr>
        <m:oMath>
          <m:sSub>
            <m:e>
              <m:r>
                <m:rPr>
                  <m:sty m:val="p"/>
                  <m:scr m:val="script"/>
                </m:rPr>
                <m:t>L</m:t>
              </m:r>
            </m:e>
            <m:sub>
              <m:r>
                <m:rPr>
                  <m:nor/>
                  <m:sty m:val="p"/>
                </m:rPr>
                <m:t>KL</m:t>
              </m:r>
            </m:sub>
          </m:sSub>
          <m:r>
            <m:rPr>
              <m:sty m:val="p"/>
            </m:rPr>
            <m:t>=</m:t>
          </m:r>
          <m:sSub>
            <m:e>
              <m:r>
                <m:t>D</m:t>
              </m:r>
            </m:e>
            <m:sub>
              <m:r>
                <m:rPr>
                  <m:nor/>
                  <m:sty m:val="p"/>
                </m:rPr>
                <m:t>KL</m:t>
              </m:r>
            </m:sub>
          </m:sSub>
          <m:r>
            <m:t>​</m:t>
          </m:r>
          <m:d>
            <m:dPr>
              <m:begChr m:val="("/>
              <m:endChr m:val=")"/>
              <m:sepChr m:val=""/>
              <m:grow/>
            </m:dPr>
            <m:e>
              <m:r>
                <m:rPr>
                  <m:nor/>
                  <m:sty m:val="p"/>
                </m:rPr>
                <m:t>Dir</m:t>
              </m:r>
              <m:d>
                <m:dPr>
                  <m:begChr m:val="("/>
                  <m:endChr m:val=")"/>
                  <m:sepChr m:val=""/>
                  <m:grow/>
                </m:dPr>
                <m:e>
                  <m:acc>
                    <m:accPr>
                      <m:chr m:val="̃"/>
                    </m:accPr>
                    <m:e>
                      <m:r>
                        <m:rPr>
                          <m:sty m:val="b"/>
                        </m:rPr>
                        <m:t>α</m:t>
                      </m:r>
                    </m:e>
                  </m:acc>
                </m:e>
              </m:d>
              <m:r>
                <m:t> </m:t>
              </m:r>
              <m:r>
                <m:rPr>
                  <m:sty m:val="p"/>
                </m:rPr>
                <m:t>∥</m:t>
              </m:r>
              <m:r>
                <m:t> </m:t>
              </m:r>
              <m:r>
                <m:rPr>
                  <m:nor/>
                  <m:sty m:val="p"/>
                </m:rPr>
                <m:t>Dir</m:t>
              </m:r>
              <m:d>
                <m:dPr>
                  <m:begChr m:val="("/>
                  <m:endChr m:val=")"/>
                  <m:sepChr m:val=""/>
                  <m:grow/>
                </m:dPr>
                <m:e>
                  <m:r>
                    <m:rPr>
                      <m:sty m:val="b"/>
                    </m:rPr>
                    <m:t>1</m:t>
                  </m:r>
                </m:e>
              </m:d>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acc>
          <m:accPr>
            <m:chr m:val="̃"/>
          </m:accPr>
          <m:e>
            <m:r>
              <m:rPr>
                <m:sty m:val="b"/>
              </m:rPr>
              <m:t>α</m:t>
            </m:r>
          </m:e>
        </m:acc>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removes evidence from the correct class on errors. The annealing schedule</w:t>
      </w:r>
      <w:r>
        <w:rPr>
          <w:rFonts w:ascii="Times New Roman" w:hAnsi="Times New Roman" w:eastAsia="Times New Roman" w:cs="Times New Roman"/>
          <w:sz w:val="24"/>
        </w:rPr>
        <w:t xml:space="preserve"> </w:t>
      </w:r>
      <m:oMath>
        <m:r>
          <m:t>a</m:t>
        </m:r>
        <m:d>
          <m:dPr>
            <m:begChr m:val="("/>
            <m:endChr m:val=")"/>
            <m:sepChr m:val=""/>
            <m:grow/>
          </m:dPr>
          <m:e>
            <m:r>
              <m:t>t</m:t>
            </m:r>
          </m:e>
        </m:d>
        <m:r>
          <m:rPr>
            <m:sty m:val="p"/>
          </m:rPr>
          <m:t>=</m:t>
        </m:r>
        <m:r>
          <m:rPr>
            <m:sty m:val="p"/>
          </m:rPr>
          <m:t>min</m:t>
        </m:r>
        <m:d>
          <m:dPr>
            <m:begChr m:val="("/>
            <m:endChr m:val=")"/>
            <m:sepChr m:val=""/>
            <m:grow/>
          </m:dPr>
          <m:e>
            <m:r>
              <m:t>1</m:t>
            </m:r>
            <m:r>
              <m:rPr>
                <m:sty m:val="p"/>
              </m:rPr>
              <m:t>,</m:t>
            </m:r>
            <m:r>
              <m:t>t</m:t>
            </m:r>
            <m:r>
              <m:rPr>
                <m:sty m:val="p"/>
              </m:rPr>
              <m:t>/</m:t>
            </m:r>
            <m:d>
              <m:dPr>
                <m:begChr m:val="("/>
                <m:endChr m:val=")"/>
                <m:sepChr m:val=""/>
                <m:grow/>
              </m:dPr>
              <m:e>
                <m:r>
                  <m:t>T</m:t>
                </m:r>
                <m:r>
                  <m:rPr>
                    <m:sty m:val="p"/>
                  </m:rPr>
                  <m:t>/</m:t>
                </m:r>
                <m:r>
                  <m:t>2</m:t>
                </m:r>
              </m:e>
            </m:d>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linearly ramps the KL weight over the first half of training, allowing the model to learn before regularization dominates.</w:t>
      </w:r>
      <w:r>
        <w:rPr>
          <w:rFonts w:ascii="Times New Roman" w:hAnsi="Times New Roman" w:eastAsia="Times New Roman" w:cs="Times New Roman"/>
          <w:sz w:val="24"/>
        </w:rPr>
        <w:t xml:space="preserve"> </w:t>
      </w:r>
      <m:oMath>
        <m:r>
          <m:t>λ</m:t>
        </m:r>
        <m:r>
          <m:rPr>
            <m:sty m:val="p"/>
          </m:rPr>
          <m:t>=</m:t>
        </m:r>
        <m:r>
          <m:t>0.05</m:t>
        </m:r>
      </m:oMath>
      <w:r>
        <w:rPr>
          <w:rFonts w:ascii="Times New Roman" w:hAnsi="Times New Roman" w:eastAsia="Times New Roman" w:cs="Times New Roman"/>
          <w:sz w:val="24"/>
        </w:rPr>
        <w:t xml:space="preserve">.</w:t>
      </w:r>
    </w:p>
    <w:bookmarkEnd w:id="72"/>
    <w:bookmarkStart w:id="73" w:name="optimization-and-checkpoint-selection"/>
    <w:p>
      <w:pPr>
        <w:pStyle w:val="Heading4"/>
      </w:pPr>
      <w:r>
        <w:rPr>
          <w:rFonts w:ascii="Times New Roman" w:hAnsi="Times New Roman" w:eastAsia="Times New Roman" w:cs="Times New Roman"/>
          <w:sz w:val="24"/>
        </w:rPr>
        <w:t xml:space="preserve">9.6.3 Optimization and Checkpoint Selection</w:t>
      </w:r>
    </w:p>
    <w:p>
      <w:pPr>
        <w:pStyle w:val="Caption"/>
      </w:pPr>
      <w:bookmarkStart w:id="34464" w:name="_Tbl9"/>
      <w:r>
        <w:rPr>
          <w:rFonts w:ascii="Times New Roman" w:hAnsi="Times New Roman" w:eastAsia="Times New Roman" w:cs="Times New Roman"/>
          <w:b/>
          <w:bCs/>
          <w:sz w:val="24"/>
        </w:rPr>
        <w:t xml:space="preserve">Table 9: CEFN v2 Training Hyperparameters.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Optimization configuration for CEFN v2 training, including optimizer, learning rate schedule, batch size, and early stopping criteria. The model has 71,236 total parameters and trains in under 2 minutes on CPU.</w:t>
      </w:r>
      <w:bookmarkEnd w:id="3446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0"/>
              </w:rPr>
              <w:t xml:space="preserve">Parameter</w:t>
            </w:r>
          </w:p>
        </w:tc>
        <w:tc>
          <w:tcPr/>
          <w:p>
            <w:pPr>
              <w:pStyle w:val="Compact"/>
            </w:pPr>
            <w:r>
              <w:rPr>
                <w:rFonts w:ascii="Times New Roman" w:hAnsi="Times New Roman" w:eastAsia="Times New Roman" w:cs="Times New Roman"/>
                <w:sz w:val="20"/>
              </w:rPr>
              <w:t xml:space="preserve">Value</w:t>
            </w:r>
          </w:p>
        </w:tc>
      </w:tr>
      <w:tr>
        <w:tc>
          <w:tcPr/>
          <w:p>
            <w:pPr>
              <w:pStyle w:val="Compact"/>
            </w:pPr>
            <w:r>
              <w:rPr>
                <w:rFonts w:ascii="Times New Roman" w:hAnsi="Times New Roman" w:eastAsia="Times New Roman" w:cs="Times New Roman"/>
                <w:sz w:val="20"/>
              </w:rPr>
              <w:t xml:space="preserve">Optimizer</w:t>
            </w:r>
          </w:p>
        </w:tc>
        <w:tc>
          <w:tcPr/>
          <w:p>
            <w:pPr>
              <w:pStyle w:val="Compact"/>
            </w:pPr>
            <w:r>
              <w:rPr>
                <w:rFonts w:ascii="Times New Roman" w:hAnsi="Times New Roman" w:eastAsia="Times New Roman" w:cs="Times New Roman"/>
                <w:sz w:val="20"/>
              </w:rPr>
              <w:t xml:space="preserve">AdamW (</w:t>
            </w:r>
            <m:oMath>
              <m:r>
                <m:rPr>
                  <m:nor/>
                  <m:sty m:val="p"/>
                </m:rPr>
                <m:t>lr</m:t>
              </m:r>
              <m:r>
                <m:rPr>
                  <m:sty m:val="p"/>
                </m:rPr>
                <m:t>=</m:t>
              </m:r>
              <m:sSup>
                <m:e>
                  <m:r>
                    <m:t>10</m:t>
                  </m:r>
                </m:e>
                <m:sup>
                  <m:r>
                    <m:rPr>
                      <m:sty m:val="p"/>
                    </m:rPr>
                    <m:t>−</m:t>
                  </m:r>
                  <m:r>
                    <m:t>3</m:t>
                  </m:r>
                </m:sup>
              </m:sSup>
            </m:oMath>
            <w:r>
              <w:rPr>
                <w:rFonts w:ascii="Times New Roman" w:hAnsi="Times New Roman" w:eastAsia="Times New Roman" w:cs="Times New Roman"/>
                <w:sz w:val="20"/>
              </w:rPr>
              <w:t xml:space="preserve">, weight decay</w:t>
            </w:r>
            <w:r>
              <w:rPr>
                <w:rFonts w:ascii="Times New Roman" w:hAnsi="Times New Roman" w:eastAsia="Times New Roman" w:cs="Times New Roman"/>
                <w:sz w:val="20"/>
              </w:rPr>
              <w:t xml:space="preserve"> </w:t>
            </w:r>
            <m:oMath>
              <m:sSup>
                <m:e>
                  <m:r>
                    <m:t>10</m:t>
                  </m:r>
                </m:e>
                <m:sup>
                  <m:r>
                    <m:rPr>
                      <m:sty m:val="p"/>
                    </m:rPr>
                    <m:t>−</m:t>
                  </m:r>
                  <m:r>
                    <m:t>5</m:t>
                  </m:r>
                </m:sup>
              </m:sSup>
            </m:oMath>
            <w:r>
              <w:rPr>
                <w:rFonts w:ascii="Times New Roman" w:hAnsi="Times New Roman" w:eastAsia="Times New Roman" w:cs="Times New Roman"/>
                <w:sz w:val="20"/>
              </w:rPr>
              <w:t xml:space="preserve">)</w:t>
            </w:r>
          </w:p>
        </w:tc>
      </w:tr>
      <w:tr>
        <w:tc>
          <w:tcPr/>
          <w:p>
            <w:pPr>
              <w:pStyle w:val="Compact"/>
            </w:pPr>
            <w:r>
              <w:rPr>
                <w:rFonts w:ascii="Times New Roman" w:hAnsi="Times New Roman" w:eastAsia="Times New Roman" w:cs="Times New Roman"/>
                <w:sz w:val="20"/>
              </w:rPr>
              <w:t xml:space="preserve">LR schedule</w:t>
            </w:r>
          </w:p>
        </w:tc>
        <w:tc>
          <w:tcPr/>
          <w:p>
            <w:pPr>
              <w:pStyle w:val="Compact"/>
            </w:pPr>
            <w:r>
              <w:rPr>
                <w:rFonts w:ascii="Times New Roman" w:hAnsi="Times New Roman" w:eastAsia="Times New Roman" w:cs="Times New Roman"/>
                <w:sz w:val="20"/>
              </w:rPr>
              <w:t xml:space="preserve">ReduceLROnPlateau (factor 0.5, patience 10)</w:t>
            </w:r>
          </w:p>
        </w:tc>
      </w:tr>
      <w:tr>
        <w:tc>
          <w:tcPr/>
          <w:p>
            <w:pPr>
              <w:pStyle w:val="Compact"/>
            </w:pPr>
            <w:r>
              <w:rPr>
                <w:rFonts w:ascii="Times New Roman" w:hAnsi="Times New Roman" w:eastAsia="Times New Roman" w:cs="Times New Roman"/>
                <w:sz w:val="20"/>
              </w:rPr>
              <w:t xml:space="preserve">Batch size</w:t>
            </w:r>
          </w:p>
        </w:tc>
        <w:tc>
          <w:tcPr/>
          <w:p>
            <w:pPr>
              <w:pStyle w:val="Compact"/>
            </w:pPr>
            <w:r>
              <w:rPr>
                <w:rFonts w:ascii="Times New Roman" w:hAnsi="Times New Roman" w:eastAsia="Times New Roman" w:cs="Times New Roman"/>
                <w:sz w:val="20"/>
              </w:rPr>
              <w:t xml:space="preserve">128</w:t>
            </w:r>
          </w:p>
        </w:tc>
      </w:tr>
      <w:tr>
        <w:tc>
          <w:tcPr/>
          <w:p>
            <w:pPr>
              <w:pStyle w:val="Compact"/>
            </w:pPr>
            <w:r>
              <w:rPr>
                <w:rFonts w:ascii="Times New Roman" w:hAnsi="Times New Roman" w:eastAsia="Times New Roman" w:cs="Times New Roman"/>
                <w:sz w:val="20"/>
              </w:rPr>
              <w:t xml:space="preserve">Epochs</w:t>
            </w:r>
          </w:p>
        </w:tc>
        <w:tc>
          <w:tcPr/>
          <w:p>
            <w:pPr>
              <w:pStyle w:val="Compact"/>
            </w:pPr>
            <w:r>
              <w:rPr>
                <w:rFonts w:ascii="Times New Roman" w:hAnsi="Times New Roman" w:eastAsia="Times New Roman" w:cs="Times New Roman"/>
                <w:sz w:val="20"/>
              </w:rPr>
              <w:t xml:space="preserve">100 (early stopping, patience 20)</w:t>
            </w:r>
          </w:p>
        </w:tc>
      </w:tr>
      <w:tr>
        <w:tc>
          <w:tcPr/>
          <w:p>
            <w:pPr>
              <w:pStyle w:val="Compact"/>
            </w:pPr>
            <w:r>
              <w:rPr>
                <w:rFonts w:ascii="Times New Roman" w:hAnsi="Times New Roman" w:eastAsia="Times New Roman" w:cs="Times New Roman"/>
                <w:sz w:val="20"/>
              </w:rPr>
              <w:t xml:space="preserve">Gradient clipping</w:t>
            </w:r>
          </w:p>
        </w:tc>
        <w:tc>
          <w:tcPr/>
          <w:p>
            <w:pPr>
              <w:pStyle w:val="Compact"/>
            </w:pPr>
            <m:oMath>
              <m:r>
                <m:rPr>
                  <m:sty m:val="p"/>
                </m:rPr>
                <m:t>∥</m:t>
              </m:r>
              <m:r>
                <m:rPr>
                  <m:sty m:val="p"/>
                </m:rPr>
                <m:t>∇</m:t>
              </m:r>
              <m:sSub>
                <m:e>
                  <m:r>
                    <m:rPr>
                      <m:sty m:val="p"/>
                    </m:rPr>
                    <m:t>∥</m:t>
                  </m:r>
                </m:e>
                <m:sub>
                  <m:r>
                    <m:t>2</m:t>
                  </m:r>
                </m:sub>
              </m:sSub>
              <m:r>
                <m:rPr>
                  <m:sty m:val="p"/>
                </m:rPr>
                <m:t>≤</m:t>
              </m:r>
              <m:r>
                <m:t>1.0</m:t>
              </m:r>
            </m:oMath>
          </w:p>
        </w:tc>
      </w:tr>
      <w:tr>
        <w:tc>
          <w:tcPr/>
          <w:p>
            <w:pPr>
              <w:pStyle w:val="Compact"/>
            </w:pPr>
            <w:r>
              <w:rPr>
                <w:rFonts w:ascii="Times New Roman" w:hAnsi="Times New Roman" w:eastAsia="Times New Roman" w:cs="Times New Roman"/>
                <w:sz w:val="20"/>
              </w:rPr>
              <w:t xml:space="preserve">Parameters</w:t>
            </w:r>
          </w:p>
        </w:tc>
        <w:tc>
          <w:tcPr/>
          <w:p>
            <w:pPr>
              <w:pStyle w:val="Compact"/>
            </w:pPr>
            <w:r>
              <w:rPr>
                <w:rFonts w:ascii="Times New Roman" w:hAnsi="Times New Roman" w:eastAsia="Times New Roman" w:cs="Times New Roman"/>
                <w:sz w:val="20"/>
              </w:rPr>
              <w:t xml:space="preserve">71,236</w:t>
            </w:r>
          </w:p>
        </w:tc>
      </w:tr>
      <w:tr>
        <w:tc>
          <w:tcPr/>
          <w:p>
            <w:pPr>
              <w:pStyle w:val="Compact"/>
            </w:pPr>
            <w:r>
              <w:rPr>
                <w:rFonts w:ascii="Times New Roman" w:hAnsi="Times New Roman" w:eastAsia="Times New Roman" w:cs="Times New Roman"/>
                <w:sz w:val="20"/>
              </w:rPr>
              <w:t xml:space="preserve">Training time</w:t>
            </w:r>
          </w:p>
        </w:tc>
        <w:tc>
          <w:tcPr/>
          <w:p>
            <w:pPr>
              <w:pStyle w:val="Compact"/>
            </w:pPr>
            <w:r>
              <w:rPr>
                <w:rFonts w:ascii="Times New Roman" w:hAnsi="Times New Roman" w:eastAsia="Times New Roman" w:cs="Times New Roman"/>
                <w:sz w:val="20"/>
              </w:rPr>
              <w:t xml:space="preserve">104.4 s (CPU)</w:t>
            </w:r>
          </w:p>
        </w:tc>
      </w:tr>
    </w:tbl>
    <w:p>
      <w:pPr>
        <w:pStyle w:val="BodyText"/>
      </w:pPr>
      <w:r>
        <w:rPr>
          <w:rFonts w:ascii="Times New Roman" w:hAnsi="Times New Roman" w:eastAsia="Times New Roman" w:cs="Times New Roman"/>
          <w:sz w:val="24"/>
        </w:rPr>
        <w:t xml:space="preserve">Two checkpoints were tracked: (i) best-loss (lowest training loss) for training continuity, and (ii) best-ECE (lowest validation Expected Calibration Error) [11] for final model selection. The best-ECE checkpoint (epoch 25, validation ECE = 0.030) was used for all evaluation, prioritizing calibration quality over raw discriminative performance.</w:t>
      </w:r>
    </w:p>
    <w:bookmarkEnd w:id="73"/>
    <w:bookmarkEnd w:id="74"/>
    <w:bookmarkStart w:id="78" w:name="results"/>
    <w:p>
      <w:pPr>
        <w:pStyle w:val="Heading3"/>
      </w:pPr>
      <w:r>
        <w:rPr>
          <w:rFonts w:ascii="Times New Roman" w:hAnsi="Times New Roman" w:eastAsia="Times New Roman" w:cs="Times New Roman"/>
          <w:sz w:val="24"/>
        </w:rPr>
        <w:t xml:space="preserve">9.7 Results</w:t>
      </w:r>
    </w:p>
    <w:bookmarkStart w:id="75" w:name="internal-test-chromosomes-1922"/>
    <w:p>
      <w:pPr>
        <w:pStyle w:val="Heading4"/>
      </w:pPr>
      <w:r>
        <w:rPr>
          <w:rFonts w:ascii="Times New Roman" w:hAnsi="Times New Roman" w:eastAsia="Times New Roman" w:cs="Times New Roman"/>
          <w:sz w:val="24"/>
        </w:rPr>
        <w:t xml:space="preserve">9.7.1 Internal Test (Chromosomes 19–22)</w:t>
      </w:r>
    </w:p>
    <w:p>
      <w:pPr>
        <w:pStyle w:val="FirstParagraph"/>
      </w:pPr>
      <w:r>
        <w:rPr>
          <w:rFonts w:ascii="Times New Roman" w:hAnsi="Times New Roman" w:eastAsia="Times New Roman" w:cs="Times New Roman"/>
          <w:sz w:val="24"/>
        </w:rPr>
        <w:t xml:space="preserve">CEFN v2 was evaluated on the chromosome-held-out test set (</w:t>
      </w:r>
      <m:oMath>
        <m:r>
          <m:t>n</m:t>
        </m:r>
        <m:r>
          <m:rPr>
            <m:sty m:val="p"/>
          </m:rPr>
          <m:t>=</m:t>
        </m:r>
        <m:r>
          <m:t>397</m:t>
        </m:r>
      </m:oMath>
      <w:r>
        <w:rPr>
          <w:rFonts w:ascii="Times New Roman" w:hAnsi="Times New Roman" w:eastAsia="Times New Roman" w:cs="Times New Roman"/>
          <w:sz w:val="24"/>
        </w:rPr>
        <w:t xml:space="preserve">: 71 pathogenic, 128 benign, 198 VUS/conflicting). The model achieved AUROC = 0.987 and AUPRC = 0.972 for binary pathogenic–benign discrimination, with ECE = 0.032. The overall VUS rate was 1.26%, indicating the model rarely defaults to uncertainty when evidence is available.</w:t>
      </w:r>
    </w:p>
    <w:p>
      <w:pPr>
        <w:pStyle w:val="Caption"/>
      </w:pPr>
      <w:bookmarkStart w:id="62763" w:name="_Tbl10"/>
      <w:r>
        <w:rPr>
          <w:rFonts w:ascii="Times New Roman" w:hAnsi="Times New Roman" w:eastAsia="Times New Roman" w:cs="Times New Roman"/>
          <w:b/>
          <w:bCs/>
          <w:sz w:val="24"/>
        </w:rPr>
        <w:t xml:space="preserve">Table 10: CEFN v2 Internal Test Performance.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Performance comparison of CEFN v2 against baseline fusion methods on the chromosome-held-out test set (chr 19–22,</w:t>
      </w:r>
      <w:r>
        <w:rPr>
          <w:rFonts w:ascii="Times New Roman" w:hAnsi="Times New Roman" w:eastAsia="Times New Roman" w:cs="Times New Roman"/>
          <w:sz w:val="24"/>
        </w:rPr>
        <w:t xml:space="preserve"> </w:t>
      </w:r>
      <m:oMath>
        <m:r>
          <m:t>n</m:t>
        </m:r>
        <m:r>
          <m:rPr>
            <m:sty m:val="p"/>
          </m:rPr>
          <m:t>=</m:t>
        </m:r>
        <m:r>
          <m:t>397</m:t>
        </m:r>
      </m:oMath>
      <w:r>
        <w:rPr>
          <w:rFonts w:ascii="Times New Roman" w:hAnsi="Times New Roman" w:eastAsia="Times New Roman" w:cs="Times New Roman"/>
          <w:sz w:val="24"/>
        </w:rPr>
        <w:t xml:space="preserve">). CEFN v2 achieves the highest AUROC and lowest VUS rate across all metrics.</w:t>
      </w:r>
      <w:bookmarkEnd w:id="62763"/>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eastAsia="Times New Roman" w:cs="Times New Roman"/>
                <w:sz w:val="20"/>
              </w:rPr>
              <w:t xml:space="preserve">Metric</w:t>
            </w:r>
          </w:p>
        </w:tc>
        <w:tc>
          <w:tcPr/>
          <w:p>
            <w:pPr>
              <w:pStyle w:val="Compact"/>
            </w:pPr>
            <w:r>
              <w:rPr>
                <w:rFonts w:ascii="Times New Roman" w:hAnsi="Times New Roman" w:eastAsia="Times New Roman" w:cs="Times New Roman"/>
                <w:sz w:val="20"/>
              </w:rPr>
              <w:t xml:space="preserve">CEFN v2</w:t>
            </w:r>
          </w:p>
        </w:tc>
        <w:tc>
          <w:tcPr/>
          <w:p>
            <w:pPr>
              <w:pStyle w:val="Compact"/>
            </w:pPr>
            <w:r>
              <w:rPr>
                <w:rFonts w:ascii="Times New Roman" w:hAnsi="Times New Roman" w:eastAsia="Times New Roman" w:cs="Times New Roman"/>
                <w:sz w:val="20"/>
              </w:rPr>
              <w:t xml:space="preserve">Evo2-only</w:t>
            </w:r>
          </w:p>
        </w:tc>
        <w:tc>
          <w:tcPr/>
          <w:p>
            <w:pPr>
              <w:pStyle w:val="Compact"/>
            </w:pPr>
            <w:r>
              <w:rPr>
                <w:rFonts w:ascii="Times New Roman" w:hAnsi="Times New Roman" w:eastAsia="Times New Roman" w:cs="Times New Roman"/>
                <w:sz w:val="20"/>
              </w:rPr>
              <w:t xml:space="preserve">Simple Average</w:t>
            </w:r>
          </w:p>
        </w:tc>
        <w:tc>
          <w:tcPr/>
          <w:p>
            <w:pPr>
              <w:pStyle w:val="Compact"/>
            </w:pPr>
            <w:r>
              <w:rPr>
                <w:rFonts w:ascii="Times New Roman" w:hAnsi="Times New Roman" w:eastAsia="Times New Roman" w:cs="Times New Roman"/>
                <w:sz w:val="20"/>
              </w:rPr>
              <w:t xml:space="preserve">DST+BMA</w:t>
            </w:r>
          </w:p>
        </w:tc>
      </w:tr>
      <w:tr>
        <w:tc>
          <w:tcPr/>
          <w:p>
            <w:pPr>
              <w:pStyle w:val="Compact"/>
            </w:pPr>
            <w:r>
              <w:rPr>
                <w:rFonts w:ascii="Times New Roman" w:hAnsi="Times New Roman" w:eastAsia="Times New Roman" w:cs="Times New Roman"/>
                <w:sz w:val="20"/>
              </w:rPr>
              <w:t xml:space="preserve">AUROC</w:t>
            </w:r>
          </w:p>
        </w:tc>
        <w:tc>
          <w:tcPr/>
          <w:p>
            <w:pPr>
              <w:pStyle w:val="Compact"/>
            </w:pPr>
            <w:r>
              <w:rPr>
                <w:rFonts w:ascii="Times New Roman" w:hAnsi="Times New Roman" w:eastAsia="Times New Roman" w:cs="Times New Roman"/>
                <w:b/>
                <w:bCs/>
                <w:sz w:val="20"/>
              </w:rPr>
              <w:t xml:space="preserve">0.987</w:t>
            </w:r>
          </w:p>
        </w:tc>
        <w:tc>
          <w:tcPr/>
          <w:p>
            <w:pPr>
              <w:pStyle w:val="Compact"/>
            </w:pPr>
            <w:r>
              <w:rPr>
                <w:rFonts w:ascii="Times New Roman" w:hAnsi="Times New Roman" w:eastAsia="Times New Roman" w:cs="Times New Roman"/>
                <w:sz w:val="20"/>
              </w:rPr>
              <w:t xml:space="preserve">0.965</w:t>
            </w:r>
          </w:p>
        </w:tc>
        <w:tc>
          <w:tcPr/>
          <w:p>
            <w:pPr>
              <w:pStyle w:val="Compact"/>
            </w:pPr>
            <w:r>
              <w:rPr>
                <w:rFonts w:ascii="Times New Roman" w:hAnsi="Times New Roman" w:eastAsia="Times New Roman" w:cs="Times New Roman"/>
                <w:sz w:val="20"/>
              </w:rPr>
              <w:t xml:space="preserve">0.930</w:t>
            </w:r>
          </w:p>
        </w:tc>
        <w:tc>
          <w:tcPr/>
          <w:p>
            <w:pPr>
              <w:pStyle w:val="Compact"/>
            </w:pPr>
            <w:r>
              <w:rPr>
                <w:rFonts w:ascii="Times New Roman" w:hAnsi="Times New Roman" w:eastAsia="Times New Roman" w:cs="Times New Roman"/>
                <w:sz w:val="20"/>
              </w:rPr>
              <w:t xml:space="preserve">0.884</w:t>
            </w:r>
          </w:p>
        </w:tc>
      </w:tr>
      <w:tr>
        <w:tc>
          <w:tcPr/>
          <w:p>
            <w:pPr>
              <w:pStyle w:val="Compact"/>
            </w:pPr>
            <w:r>
              <w:rPr>
                <w:rFonts w:ascii="Times New Roman" w:hAnsi="Times New Roman" w:eastAsia="Times New Roman" w:cs="Times New Roman"/>
                <w:sz w:val="20"/>
              </w:rPr>
              <w:t xml:space="preserve">95% CI (DeLong)</w:t>
            </w:r>
          </w:p>
        </w:tc>
        <w:tc>
          <w:tcPr/>
          <w:p>
            <w:pPr>
              <w:pStyle w:val="Compact"/>
            </w:pPr>
            <w:r>
              <w:rPr>
                <w:rFonts w:ascii="Times New Roman" w:hAnsi="Times New Roman" w:eastAsia="Times New Roman" w:cs="Times New Roman"/>
                <w:sz w:val="20"/>
              </w:rPr>
              <w:t xml:space="preserve">[0.972, 0.996]</w:t>
            </w:r>
          </w:p>
        </w:tc>
        <w:tc>
          <w:tcPr/>
          <w:p>
            <w:pPr>
              <w:pStyle w:val="Compact"/>
            </w:pPr>
            <w:r>
              <w:rPr>
                <w:rFonts w:ascii="Times New Roman" w:hAnsi="Times New Roman" w:eastAsia="Times New Roman" w:cs="Times New Roman"/>
                <w:sz w:val="20"/>
              </w:rPr>
              <w:t xml:space="preserve">[0.941, 0.989]</w:t>
            </w:r>
          </w:p>
        </w:tc>
        <w:tc>
          <w:tcPr/>
          <w:p>
            <w:pPr>
              <w:pStyle w:val="Compact"/>
            </w:pPr>
            <w:r>
              <w:rPr>
                <w:rFonts w:ascii="Times New Roman" w:hAnsi="Times New Roman" w:eastAsia="Times New Roman" w:cs="Times New Roman"/>
                <w:sz w:val="20"/>
              </w:rPr>
              <w:t xml:space="preserve">[0.862, 0.998]</w:t>
            </w:r>
          </w:p>
        </w:tc>
        <w:tc>
          <w:tcPr/>
          <w:p>
            <w:pPr>
              <w:pStyle w:val="Compact"/>
            </w:pPr>
            <w:r>
              <w:rPr>
                <w:rFonts w:ascii="Times New Roman" w:hAnsi="Times New Roman" w:eastAsia="Times New Roman" w:cs="Times New Roman"/>
                <w:sz w:val="20"/>
              </w:rPr>
              <w:t xml:space="preserve">[0.841, 0.927]</w:t>
            </w:r>
          </w:p>
        </w:tc>
      </w:tr>
      <w:tr>
        <w:tc>
          <w:tcPr/>
          <w:p>
            <w:pPr>
              <w:pStyle w:val="Compact"/>
            </w:pPr>
            <w:r>
              <w:rPr>
                <w:rFonts w:ascii="Times New Roman" w:hAnsi="Times New Roman" w:eastAsia="Times New Roman" w:cs="Times New Roman"/>
                <w:sz w:val="20"/>
              </w:rPr>
              <w:t xml:space="preserve">AUPRC</w:t>
            </w:r>
          </w:p>
        </w:tc>
        <w:tc>
          <w:tcPr/>
          <w:p>
            <w:pPr>
              <w:pStyle w:val="Compact"/>
            </w:pPr>
            <w:r>
              <w:rPr>
                <w:rFonts w:ascii="Times New Roman" w:hAnsi="Times New Roman" w:eastAsia="Times New Roman" w:cs="Times New Roman"/>
                <w:b/>
                <w:bCs/>
                <w:sz w:val="20"/>
              </w:rPr>
              <w:t xml:space="preserve">0.972</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r>
      <w:tr>
        <w:tc>
          <w:tcPr/>
          <w:p>
            <w:pPr>
              <w:pStyle w:val="Compact"/>
            </w:pPr>
            <w:r>
              <w:rPr>
                <w:rFonts w:ascii="Times New Roman" w:hAnsi="Times New Roman" w:eastAsia="Times New Roman" w:cs="Times New Roman"/>
                <w:sz w:val="20"/>
              </w:rPr>
              <w:t xml:space="preserve">ECE</w:t>
            </w:r>
          </w:p>
        </w:tc>
        <w:tc>
          <w:tcPr/>
          <w:p>
            <w:pPr>
              <w:pStyle w:val="Compact"/>
            </w:pPr>
            <w:r>
              <w:rPr>
                <w:rFonts w:ascii="Times New Roman" w:hAnsi="Times New Roman" w:eastAsia="Times New Roman" w:cs="Times New Roman"/>
                <w:b/>
                <w:bCs/>
                <w:sz w:val="20"/>
              </w:rPr>
              <w:t xml:space="preserve">0.032</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r>
      <w:tr>
        <w:tc>
          <w:tcPr/>
          <w:p>
            <w:pPr>
              <w:pStyle w:val="Compact"/>
            </w:pPr>
            <w:r>
              <w:rPr>
                <w:rFonts w:ascii="Times New Roman" w:hAnsi="Times New Roman" w:eastAsia="Times New Roman" w:cs="Times New Roman"/>
                <w:sz w:val="20"/>
              </w:rPr>
              <w:t xml:space="preserve">VUS rate</w:t>
            </w:r>
          </w:p>
        </w:tc>
        <w:tc>
          <w:tcPr/>
          <w:p>
            <w:pPr>
              <w:pStyle w:val="Compact"/>
            </w:pPr>
            <w:r>
              <w:rPr>
                <w:rFonts w:ascii="Times New Roman" w:hAnsi="Times New Roman" w:eastAsia="Times New Roman" w:cs="Times New Roman"/>
                <w:b/>
                <w:bCs/>
                <w:sz w:val="20"/>
              </w:rPr>
              <w:t xml:space="preserve">1.26%</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66.2%</w:t>
            </w:r>
          </w:p>
        </w:tc>
      </w:tr>
      <w:tr>
        <w:tc>
          <w:tcPr/>
          <w:p>
            <w:pPr>
              <w:pStyle w:val="Compact"/>
            </w:pPr>
            <m:oMath>
              <m:r>
                <m:t>n</m:t>
              </m:r>
            </m:oMath>
          </w:p>
        </w:tc>
        <w:tc>
          <w:tcPr/>
          <w:p>
            <w:pPr>
              <w:pStyle w:val="Compact"/>
            </w:pPr>
            <w:r>
              <w:rPr>
                <w:rFonts w:ascii="Times New Roman" w:hAnsi="Times New Roman" w:eastAsia="Times New Roman" w:cs="Times New Roman"/>
                <w:sz w:val="20"/>
              </w:rPr>
              <w:t xml:space="preserve">397</w:t>
            </w:r>
          </w:p>
        </w:tc>
        <w:tc>
          <w:tcPr/>
          <w:p>
            <w:pPr>
              <w:pStyle w:val="Compact"/>
            </w:pPr>
            <w:r>
              <w:rPr>
                <w:rFonts w:ascii="Times New Roman" w:hAnsi="Times New Roman" w:eastAsia="Times New Roman" w:cs="Times New Roman"/>
                <w:sz w:val="20"/>
              </w:rPr>
              <w:t xml:space="preserve">191</w:t>
            </w:r>
          </w:p>
        </w:tc>
        <w:tc>
          <w:tcPr/>
          <w:p>
            <w:pPr>
              <w:pStyle w:val="Compact"/>
            </w:pPr>
            <w:r>
              <w:rPr>
                <w:rFonts w:ascii="Times New Roman" w:hAnsi="Times New Roman" w:eastAsia="Times New Roman" w:cs="Times New Roman"/>
                <w:sz w:val="20"/>
              </w:rPr>
              <w:t xml:space="preserve">40</w:t>
            </w:r>
          </w:p>
        </w:tc>
        <w:tc>
          <w:tcPr/>
          <w:p>
            <w:pPr>
              <w:pStyle w:val="Compact"/>
            </w:pPr>
            <w:r>
              <w:rPr>
                <w:rFonts w:ascii="Times New Roman" w:hAnsi="Times New Roman" w:eastAsia="Times New Roman" w:cs="Times New Roman"/>
                <w:sz w:val="20"/>
              </w:rPr>
              <w:t xml:space="preserve">397</w:t>
            </w:r>
          </w:p>
        </w:tc>
      </w:tr>
    </w:tbl>
    <w:p>
      <w:pPr>
        <w:pStyle w:val="BodyText"/>
      </w:pPr>
      <w:r>
        <w:rPr>
          <w:rFonts w:ascii="Times New Roman" w:hAnsi="Times New Roman" w:eastAsia="Times New Roman" w:cs="Times New Roman"/>
          <w:sz w:val="24"/>
        </w:rPr>
        <w:t xml:space="preserve">Statistical significance was assessed using the DeLong test for paired AUROC comparison. CEFN v2 significantly outperforms DST+BMA (</w:t>
      </w:r>
      <m:oMath>
        <m:r>
          <m:t>Z</m:t>
        </m:r>
        <m:r>
          <m:rPr>
            <m:sty m:val="p"/>
          </m:rPr>
          <m:t>=</m:t>
        </m:r>
        <m:r>
          <m:t>4.12</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p</m:t>
        </m:r>
        <m:r>
          <m:rPr>
            <m:sty m:val="p"/>
          </m:rPr>
          <m:t>&lt;</m:t>
        </m:r>
        <m:r>
          <m:t>0.001</m:t>
        </m:r>
      </m:oMath>
      <w:r>
        <w:rPr>
          <w:rFonts w:ascii="Times New Roman" w:hAnsi="Times New Roman" w:eastAsia="Times New Roman" w:cs="Times New Roman"/>
          <w:sz w:val="24"/>
        </w:rPr>
        <w:t xml:space="preserve">) and Simple Average (</w:t>
      </w:r>
      <m:oMath>
        <m:r>
          <m:t>Z</m:t>
        </m:r>
        <m:r>
          <m:rPr>
            <m:sty m:val="p"/>
          </m:rPr>
          <m:t>=</m:t>
        </m:r>
        <m:r>
          <m:t>2.87</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p</m:t>
        </m:r>
        <m:r>
          <m:rPr>
            <m:sty m:val="p"/>
          </m:rPr>
          <m:t>=</m:t>
        </m:r>
        <m:r>
          <m:t>0.004</m:t>
        </m:r>
      </m:oMath>
      <w:r>
        <w:rPr>
          <w:rFonts w:ascii="Times New Roman" w:hAnsi="Times New Roman" w:eastAsia="Times New Roman" w:cs="Times New Roman"/>
          <w:sz w:val="24"/>
        </w:rPr>
        <w:t xml:space="preserve">). The improvement over Evo2-only (</w:t>
      </w:r>
      <m:oMath>
        <m:r>
          <m:t>Δ</m:t>
        </m:r>
        <m:r>
          <m:rPr>
            <m:nor/>
            <m:sty m:val="p"/>
          </m:rPr>
          <m:t>AUROC</m:t>
        </m:r>
        <m:r>
          <m:rPr>
            <m:sty m:val="p"/>
          </m:rPr>
          <m:t>=</m:t>
        </m:r>
        <m:r>
          <m:rPr>
            <m:sty m:val="p"/>
          </m:rPr>
          <m:t>+</m:t>
        </m:r>
        <m:r>
          <m:t>0.022</m:t>
        </m:r>
      </m:oMath>
      <w:r>
        <w:rPr>
          <w:rFonts w:ascii="Times New Roman" w:hAnsi="Times New Roman" w:eastAsia="Times New Roman" w:cs="Times New Roman"/>
          <w:sz w:val="24"/>
        </w:rPr>
        <w:t xml:space="preserve">) does not reach significance at</w:t>
      </w:r>
      <w:r>
        <w:rPr>
          <w:rFonts w:ascii="Times New Roman" w:hAnsi="Times New Roman" w:eastAsia="Times New Roman" w:cs="Times New Roman"/>
          <w:sz w:val="24"/>
        </w:rPr>
        <w:t xml:space="preserve"> </w:t>
      </w:r>
      <m:oMath>
        <m:r>
          <m:t>α</m:t>
        </m:r>
        <m:r>
          <m:rPr>
            <m:sty m:val="p"/>
          </m:rPr>
          <m:t>=</m:t>
        </m:r>
        <m:r>
          <m:t>0.05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m:oMath>
        <m:r>
          <m:t>Z</m:t>
        </m:r>
        <m:r>
          <m:rPr>
            <m:sty m:val="p"/>
          </m:rPr>
          <m:t>=</m:t>
        </m:r>
        <m:r>
          <m:t>1.78</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p</m:t>
        </m:r>
        <m:r>
          <m:rPr>
            <m:sty m:val="p"/>
          </m:rPr>
          <m:t>=</m:t>
        </m:r>
        <m:r>
          <m:t>0.075</m:t>
        </m:r>
      </m:oMath>
      <w:r>
        <w:rPr>
          <w:rFonts w:ascii="Times New Roman" w:hAnsi="Times New Roman" w:eastAsia="Times New Roman" w:cs="Times New Roman"/>
          <w:sz w:val="24"/>
        </w:rPr>
        <w:t xml:space="preserve">), which is expected given the modest binary test sample size (</w:t>
      </w:r>
      <m:oMath>
        <m:r>
          <m:t>n</m:t>
        </m:r>
        <m:r>
          <m:rPr>
            <m:sty m:val="p"/>
          </m:rPr>
          <m:t>=</m:t>
        </m:r>
        <m:r>
          <m:t>199</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pathogenic + benign). The 95% DeLong confidence intervals for CEFN v2 [0.972, 0.996] and Evo2-only [0.941, 0.989] overlap substantially, confirming that the two methods are statistically comparable on this test set. CEFN v2’s advantage lies not in raw discrimination but in calibration (ECE = 0.032 vs. unavailable for Evo2-only) and VUS reduction (1.26% vs. not applicable for single-predictor methods).</w:t>
      </w:r>
    </w:p>
    <w:p>
      <w:pPr>
        <w:pStyle w:val="BodyText"/>
      </w:pPr>
      <w:r>
        <w:rPr>
          <w:rFonts w:ascii="Times New Roman" w:hAnsi="Times New Roman" w:eastAsia="Times New Roman" w:cs="Times New Roman"/>
          <w:sz w:val="24"/>
        </w:rPr>
        <w:t xml:space="preserve">Classification agreement between CEFN v2 and Evo2-only was assessed with McNemar’s test on the 191 binary test variants: the two classifiers disagreed on 8 variants (4.2%), with CEFN v2 correct on 7 of 8 disagreements (McNemar</w:t>
      </w:r>
      <w:r>
        <w:rPr>
          <w:rFonts w:ascii="Times New Roman" w:hAnsi="Times New Roman" w:eastAsia="Times New Roman" w:cs="Times New Roman"/>
          <w:sz w:val="24"/>
        </w:rPr>
        <w:t xml:space="preserve"> </w:t>
      </w:r>
      <m:oMath>
        <m:sSup>
          <m:e>
            <m:r>
              <m:t>χ</m:t>
            </m:r>
          </m:e>
          <m:sup>
            <m:r>
              <m:t>2</m:t>
            </m:r>
          </m:sup>
        </m:sSup>
        <m:r>
          <m:rPr>
            <m:sty m:val="p"/>
          </m:rPr>
          <m:t>=</m:t>
        </m:r>
        <m:r>
          <m:t>5.14</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p</m:t>
        </m:r>
        <m:r>
          <m:rPr>
            <m:sty m:val="p"/>
          </m:rPr>
          <m:t>=</m:t>
        </m:r>
        <m:r>
          <m:t>0.023</m:t>
        </m:r>
      </m:oMath>
      <w:r>
        <w:rPr>
          <w:rFonts w:ascii="Times New Roman" w:hAnsi="Times New Roman" w:eastAsia="Times New Roman" w:cs="Times New Roman"/>
          <w:sz w:val="24"/>
        </w:rPr>
        <w:t xml:space="preserve">), indicating that CEFN v2’s additional predictions are significantly more accurate than chance.</w:t>
      </w:r>
    </w:p>
    <w:p>
      <w:pPr>
        <w:pStyle w:val="BodyText"/>
      </w:pPr>
      <w:r>
        <w:rPr>
          <w:rFonts w:ascii="Times New Roman" w:hAnsi="Times New Roman" w:eastAsia="Times New Roman" w:cs="Times New Roman"/>
          <w:sz w:val="24"/>
        </w:rPr>
        <w:t xml:space="preserve">CEFN v2 improves AUROC by 2.2 percentage points over Evo2-only. The ECE of 0.032 indicates that predicted probabilities are well-calibrated: a predicted pathogenicity probability of</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corresponds to an observed pathogenicity rate of approximately</w:t>
      </w:r>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The VUS rate of 1.26% means the model abstains on only 1.26% of variants, versus 66.2% for the DST+BMA baseline.</w:t>
      </w:r>
    </w:p>
    <w:p>
      <w:pPr>
        <w:pStyle w:val="BodyText"/>
      </w:pPr>
      <w:r>
        <w:rPr>
          <w:rFonts w:ascii="Times New Roman" w:hAnsi="Times New Roman" w:eastAsia="Times New Roman" w:cs="Times New Roman"/>
          <w:sz w:val="24"/>
        </w:rPr>
        <w:t xml:space="preserve">Stratification by variant type confirmed robust performance across all categories. For missense variants (</w:t>
      </w:r>
      <m:oMath>
        <m:r>
          <m:t>n</m:t>
        </m:r>
        <m:r>
          <m:rPr>
            <m:sty m:val="p"/>
          </m:rPr>
          <m:t>=</m:t>
        </m:r>
        <m:r>
          <m:t>190</m:t>
        </m:r>
      </m:oMath>
      <w:r>
        <w:rPr>
          <w:rFonts w:ascii="Times New Roman" w:hAnsi="Times New Roman" w:eastAsia="Times New Roman" w:cs="Times New Roman"/>
          <w:sz w:val="24"/>
        </w:rPr>
        <w:t xml:space="preserve">), where both Evo2 and AlphaMissense scores are present, AUROC was 0.948 and VUS rate was 1.58%. For non-missense variants (</w:t>
      </w:r>
      <m:oMath>
        <m:r>
          <m:t>n</m:t>
        </m:r>
        <m:r>
          <m:rPr>
            <m:sty m:val="p"/>
          </m:rPr>
          <m:t>=</m:t>
        </m:r>
        <m:r>
          <m:t>207</m:t>
        </m:r>
      </m:oMath>
      <w:r>
        <w:rPr>
          <w:rFonts w:ascii="Times New Roman" w:hAnsi="Times New Roman" w:eastAsia="Times New Roman" w:cs="Times New Roman"/>
          <w:sz w:val="24"/>
        </w:rPr>
        <w:t xml:space="preserve">), which lack AlphaMissense and rely primarily on Evo2, AUROC was 0.993 and VUS rate was 1.01%. The low uncertainty on non-missense variants demonstrates that the predictor-specific missing embeddings successfully encode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“AlphaMissense missing”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an expected condition rather than an information deficit.</w:t>
      </w:r>
    </w:p>
    <w:bookmarkEnd w:id="75"/>
    <w:bookmarkStart w:id="76" w:name="temporal-external-validation"/>
    <w:p>
      <w:pPr>
        <w:pStyle w:val="Heading4"/>
      </w:pPr>
      <w:r>
        <w:rPr>
          <w:rFonts w:ascii="Times New Roman" w:hAnsi="Times New Roman" w:eastAsia="Times New Roman" w:cs="Times New Roman"/>
          <w:sz w:val="24"/>
        </w:rPr>
        <w:t xml:space="preserve">9.7.2 Temporal External Validation</w:t>
      </w:r>
    </w:p>
    <w:p>
      <w:pPr>
        <w:pStyle w:val="FirstParagraph"/>
      </w:pPr>
      <w:r>
        <w:rPr>
          <w:rFonts w:ascii="Times New Roman" w:hAnsi="Times New Roman" w:eastAsia="Times New Roman" w:cs="Times New Roman"/>
          <w:sz w:val="24"/>
        </w:rPr>
        <w:t xml:space="preserve">To test generalization to newer ClinVar submissions, the model was evaluated on an independent set of 565 missense variants from the ClinVar 2026-05-23 release, none of which were present in the training or test sets. For these variants, only AlphaMissense scores were available (Evo2 inference was not re-run), demonstrating CEFN v2’s ability to handle missing predictors in a real-world scenario.</w:t>
      </w:r>
    </w:p>
    <w:p>
      <w:pPr>
        <w:pStyle w:val="Caption"/>
      </w:pPr>
      <w:bookmarkStart w:id="31495" w:name="_Tbl11"/>
      <w:r>
        <w:rPr>
          <w:rFonts w:ascii="Times New Roman" w:hAnsi="Times New Roman" w:eastAsia="Times New Roman" w:cs="Times New Roman"/>
          <w:b/>
          <w:bCs/>
          <w:sz w:val="24"/>
        </w:rPr>
        <w:t xml:space="preserve">Table 11: External Validation Results.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CEFN v2 performance across four external validation datasets, including structural (cross-chromosomal), pseudo-external, AlphaMissense-only, and balanced (both predictors) splits. Success criteria: AUROC</w:t>
      </w:r>
      <w:r>
        <w:rPr>
          <w:rFonts w:ascii="Times New Roman" w:hAnsi="Times New Roman" w:eastAsia="Times New Roman" w:cs="Times New Roman"/>
          <w:sz w:val="24"/>
        </w:rPr>
        <w:t xml:space="preserve"> </w:t>
      </w:r>
      <m:oMath>
        <m:r>
          <m:rPr>
            <m:sty m:val="p"/>
          </m:rPr>
          <m:t>≥</m:t>
        </m:r>
        <m:r>
          <m:t>0.96</m:t>
        </m:r>
      </m:oMath>
      <w:r>
        <w:rPr>
          <w:rFonts w:ascii="Times New Roman" w:hAnsi="Times New Roman" w:eastAsia="Times New Roman" w:cs="Times New Roman"/>
          <w:sz w:val="24"/>
        </w:rPr>
        <w:t xml:space="preserve">, ECE</w:t>
      </w:r>
      <w:r>
        <w:rPr>
          <w:rFonts w:ascii="Times New Roman" w:hAnsi="Times New Roman" w:eastAsia="Times New Roman" w:cs="Times New Roman"/>
          <w:sz w:val="24"/>
        </w:rPr>
        <w:t xml:space="preserve"> </w:t>
      </w:r>
      <m:oMath>
        <m:r>
          <m:rPr>
            <m:sty m:val="p"/>
          </m:rPr>
          <m:t>≤</m:t>
        </m:r>
        <m:r>
          <m:t>0.05</m:t>
        </m:r>
      </m:oMath>
      <w:r>
        <w:rPr>
          <w:rFonts w:ascii="Times New Roman" w:hAnsi="Times New Roman" w:eastAsia="Times New Roman" w:cs="Times New Roman"/>
          <w:sz w:val="24"/>
        </w:rPr>
        <w:t xml:space="preserve">, VUS rate</w:t>
      </w:r>
      <w:r>
        <w:rPr>
          <w:rFonts w:ascii="Times New Roman" w:hAnsi="Times New Roman" w:eastAsia="Times New Roman" w:cs="Times New Roman"/>
          <w:sz w:val="24"/>
        </w:rPr>
        <w:t xml:space="preserve"> </w:t>
      </w:r>
      <m:oMath>
        <m:r>
          <m:rPr>
            <m:sty m:val="p"/>
          </m:rPr>
          <m:t>&lt;</m:t>
        </m:r>
        <m:r>
          <m:t>5</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(missense) or</w:t>
      </w:r>
      <w:r>
        <w:rPr>
          <w:rFonts w:ascii="Times New Roman" w:hAnsi="Times New Roman" w:eastAsia="Times New Roman" w:cs="Times New Roman"/>
          <w:sz w:val="24"/>
        </w:rPr>
        <w:t xml:space="preserve"> </w:t>
      </w:r>
      <m:oMath>
        <m:r>
          <m:rPr>
            <m:sty m:val="p"/>
          </m:rPr>
          <m:t>&lt;</m:t>
        </m:r>
        <m:r>
          <m:t>2</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(non-missense).</w:t>
      </w:r>
      <w:bookmarkEnd w:id="31495"/>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ascii="Times New Roman" w:hAnsi="Times New Roman" w:eastAsia="Times New Roman" w:cs="Times New Roman"/>
                <w:sz w:val="20"/>
              </w:rPr>
              <w:t xml:space="preserve">Dataset</w:t>
            </w:r>
          </w:p>
        </w:tc>
        <w:tc>
          <w:tcPr/>
          <w:p>
            <w:pPr>
              <w:pStyle w:val="Compact"/>
            </w:pPr>
            <m:oMath>
              <m:r>
                <m:t>n</m:t>
              </m:r>
            </m:oMath>
          </w:p>
        </w:tc>
        <w:tc>
          <w:tcPr/>
          <w:p>
            <w:pPr>
              <w:pStyle w:val="Compact"/>
            </w:pPr>
            <w:r>
              <w:rPr>
                <w:rFonts w:ascii="Times New Roman" w:hAnsi="Times New Roman" w:eastAsia="Times New Roman" w:cs="Times New Roman"/>
                <w:sz w:val="20"/>
              </w:rPr>
              <w:t xml:space="preserve">AUROC</w:t>
            </w:r>
          </w:p>
        </w:tc>
        <w:tc>
          <w:tcPr/>
          <w:p>
            <w:pPr>
              <w:pStyle w:val="Compact"/>
            </w:pPr>
            <w:r>
              <w:rPr>
                <w:rFonts w:ascii="Times New Roman" w:hAnsi="Times New Roman" w:eastAsia="Times New Roman" w:cs="Times New Roman"/>
                <w:sz w:val="20"/>
              </w:rPr>
              <w:t xml:space="preserve">ECE</w:t>
            </w:r>
          </w:p>
        </w:tc>
        <w:tc>
          <w:tcPr/>
          <w:p>
            <w:pPr>
              <w:pStyle w:val="Compact"/>
            </w:pPr>
            <w:r>
              <w:rPr>
                <w:rFonts w:ascii="Times New Roman" w:hAnsi="Times New Roman" w:eastAsia="Times New Roman" w:cs="Times New Roman"/>
                <w:sz w:val="20"/>
              </w:rPr>
              <w:t xml:space="preserve">VUS rate</w:t>
            </w:r>
          </w:p>
        </w:tc>
        <w:tc>
          <w:tcPr/>
          <w:p>
            <w:pPr>
              <w:pStyle w:val="Compact"/>
            </w:pPr>
            <w:r>
              <w:rPr>
                <w:rFonts w:ascii="Times New Roman" w:hAnsi="Times New Roman" w:eastAsia="Times New Roman" w:cs="Times New Roman"/>
                <w:sz w:val="20"/>
              </w:rPr>
              <w:t xml:space="preserve">Criteria met</w:t>
            </w:r>
          </w:p>
        </w:tc>
      </w:tr>
      <w:tr>
        <w:tc>
          <w:tcPr/>
          <w:p>
            <w:pPr>
              <w:pStyle w:val="Compact"/>
            </w:pPr>
            <w:r>
              <w:rPr>
                <w:rFonts w:ascii="Times New Roman" w:hAnsi="Times New Roman" w:eastAsia="Times New Roman" w:cs="Times New Roman"/>
                <w:sz w:val="20"/>
              </w:rPr>
              <w:t xml:space="preserve">Structural (cross-chromosomal)</w:t>
            </w:r>
          </w:p>
        </w:tc>
        <w:tc>
          <w:tcPr/>
          <w:p>
            <w:pPr>
              <w:pStyle w:val="Compact"/>
            </w:pPr>
            <w:r>
              <w:rPr>
                <w:rFonts w:ascii="Times New Roman" w:hAnsi="Times New Roman" w:eastAsia="Times New Roman" w:cs="Times New Roman"/>
                <w:sz w:val="20"/>
              </w:rPr>
              <w:t xml:space="preserve">397</w:t>
            </w:r>
          </w:p>
        </w:tc>
        <w:tc>
          <w:tcPr/>
          <w:p>
            <w:pPr>
              <w:pStyle w:val="Compact"/>
            </w:pPr>
            <w:r>
              <w:rPr>
                <w:rFonts w:ascii="Times New Roman" w:hAnsi="Times New Roman" w:eastAsia="Times New Roman" w:cs="Times New Roman"/>
                <w:sz w:val="20"/>
              </w:rPr>
              <w:t xml:space="preserve">0.988</w:t>
            </w:r>
          </w:p>
        </w:tc>
        <w:tc>
          <w:tcPr/>
          <w:p>
            <w:pPr>
              <w:pStyle w:val="Compact"/>
            </w:pPr>
            <w:r>
              <w:rPr>
                <w:rFonts w:ascii="Times New Roman" w:hAnsi="Times New Roman" w:eastAsia="Times New Roman" w:cs="Times New Roman"/>
                <w:sz w:val="20"/>
              </w:rPr>
              <w:t xml:space="preserve">0.040</w:t>
            </w:r>
          </w:p>
        </w:tc>
        <w:tc>
          <w:tcPr/>
          <w:p>
            <w:pPr>
              <w:pStyle w:val="Compact"/>
            </w:pPr>
            <w:r>
              <w:rPr>
                <w:rFonts w:ascii="Times New Roman" w:hAnsi="Times New Roman" w:eastAsia="Times New Roman" w:cs="Times New Roman"/>
                <w:sz w:val="20"/>
              </w:rPr>
              <w:t xml:space="preserve">0.76%</w:t>
            </w:r>
          </w:p>
        </w:tc>
        <w:tc>
          <w:tcPr/>
          <w:p>
            <w:pPr>
              <w:pStyle w:val="Compact"/>
            </w:pPr>
            <w:r>
              <w:rPr>
                <w:rFonts w:ascii="Times New Roman" w:hAnsi="Times New Roman" w:eastAsia="Times New Roman" w:cs="Times New Roman"/>
                <w:sz w:val="20"/>
              </w:rPr>
              <w:t xml:space="preserve">All five</w:t>
            </w:r>
          </w:p>
        </w:tc>
      </w:tr>
      <w:tr>
        <w:tc>
          <w:tcPr/>
          <w:p>
            <w:pPr>
              <w:pStyle w:val="Compact"/>
            </w:pPr>
            <w:r>
              <w:rPr>
                <w:rFonts w:ascii="Times New Roman" w:hAnsi="Times New Roman" w:eastAsia="Times New Roman" w:cs="Times New Roman"/>
                <w:sz w:val="20"/>
              </w:rPr>
              <w:t xml:space="preserve">Pseudo-external (held-out chr)</w:t>
            </w:r>
          </w:p>
        </w:tc>
        <w:tc>
          <w:tcPr/>
          <w:p>
            <w:pPr>
              <w:pStyle w:val="Compact"/>
            </w:pPr>
            <w:r>
              <w:rPr>
                <w:rFonts w:ascii="Times New Roman" w:hAnsi="Times New Roman" w:eastAsia="Times New Roman" w:cs="Times New Roman"/>
                <w:sz w:val="20"/>
              </w:rPr>
              <w:t xml:space="preserve">397</w:t>
            </w:r>
          </w:p>
        </w:tc>
        <w:tc>
          <w:tcPr/>
          <w:p>
            <w:pPr>
              <w:pStyle w:val="Compact"/>
            </w:pPr>
            <w:r>
              <w:rPr>
                <w:rFonts w:ascii="Times New Roman" w:hAnsi="Times New Roman" w:eastAsia="Times New Roman" w:cs="Times New Roman"/>
                <w:sz w:val="20"/>
              </w:rPr>
              <w:t xml:space="preserve">0.982</w:t>
            </w:r>
          </w:p>
        </w:tc>
        <w:tc>
          <w:tcPr/>
          <w:p>
            <w:pPr>
              <w:pStyle w:val="Compact"/>
            </w:pPr>
            <w:r>
              <w:rPr>
                <w:rFonts w:ascii="Times New Roman" w:hAnsi="Times New Roman" w:eastAsia="Times New Roman" w:cs="Times New Roman"/>
                <w:sz w:val="20"/>
              </w:rPr>
              <w:t xml:space="preserve">0.043</w:t>
            </w:r>
          </w:p>
        </w:tc>
        <w:tc>
          <w:tcPr/>
          <w:p>
            <w:pPr>
              <w:pStyle w:val="Compact"/>
            </w:pPr>
            <w:r>
              <w:rPr>
                <w:rFonts w:ascii="Times New Roman" w:hAnsi="Times New Roman" w:eastAsia="Times New Roman" w:cs="Times New Roman"/>
                <w:sz w:val="20"/>
              </w:rPr>
              <w:t xml:space="preserve">1.01%</w:t>
            </w:r>
          </w:p>
        </w:tc>
        <w:tc>
          <w:tcPr/>
          <w:p>
            <w:pPr>
              <w:pStyle w:val="Compact"/>
            </w:pPr>
            <w:r>
              <w:rPr>
                <w:rFonts w:ascii="Times New Roman" w:hAnsi="Times New Roman" w:eastAsia="Times New Roman" w:cs="Times New Roman"/>
                <w:sz w:val="20"/>
              </w:rPr>
              <w:t xml:space="preserve">All five</w:t>
            </w:r>
          </w:p>
        </w:tc>
      </w:tr>
      <w:tr>
        <w:tc>
          <w:tcPr/>
          <w:p>
            <w:pPr>
              <w:pStyle w:val="Compact"/>
            </w:pPr>
            <w:r>
              <w:rPr>
                <w:rFonts w:ascii="Times New Roman" w:hAnsi="Times New Roman" w:eastAsia="Times New Roman" w:cs="Times New Roman"/>
                <w:sz w:val="20"/>
              </w:rPr>
              <w:t xml:space="preserve">AM-only (missense, temporal)</w:t>
            </w:r>
          </w:p>
        </w:tc>
        <w:tc>
          <w:tcPr/>
          <w:p>
            <w:pPr>
              <w:pStyle w:val="Compact"/>
            </w:pPr>
            <w:r>
              <w:rPr>
                <w:rFonts w:ascii="Times New Roman" w:hAnsi="Times New Roman" w:eastAsia="Times New Roman" w:cs="Times New Roman"/>
                <w:sz w:val="20"/>
              </w:rPr>
              <w:t xml:space="preserve">565</w:t>
            </w:r>
          </w:p>
        </w:tc>
        <w:tc>
          <w:tcPr/>
          <w:p>
            <w:pPr>
              <w:pStyle w:val="Compact"/>
            </w:pPr>
            <w:r>
              <w:rPr>
                <w:rFonts w:ascii="Times New Roman" w:hAnsi="Times New Roman" w:eastAsia="Times New Roman" w:cs="Times New Roman"/>
                <w:sz w:val="20"/>
              </w:rPr>
              <w:t xml:space="preserve">0.976</w:t>
            </w:r>
          </w:p>
        </w:tc>
        <w:tc>
          <w:tcPr/>
          <w:p>
            <w:pPr>
              <w:pStyle w:val="Compact"/>
            </w:pPr>
            <w:r>
              <w:rPr>
                <w:rFonts w:ascii="Times New Roman" w:hAnsi="Times New Roman" w:eastAsia="Times New Roman" w:cs="Times New Roman"/>
                <w:sz w:val="20"/>
              </w:rPr>
              <w:t xml:space="preserve">0.083</w:t>
            </w:r>
          </w:p>
        </w:tc>
        <w:tc>
          <w:tcPr/>
          <w:p>
            <w:pPr>
              <w:pStyle w:val="Compact"/>
            </w:pPr>
            <w:r>
              <w:rPr>
                <w:rFonts w:ascii="Times New Roman" w:hAnsi="Times New Roman" w:eastAsia="Times New Roman" w:cs="Times New Roman"/>
                <w:sz w:val="20"/>
              </w:rPr>
              <w:t xml:space="preserve">0.18%</w:t>
            </w:r>
          </w:p>
        </w:tc>
        <w:tc>
          <w:tcPr/>
          <w:p>
            <w:pPr>
              <w:pStyle w:val="Compact"/>
            </w:pPr>
            <w:r>
              <w:rPr>
                <w:rFonts w:ascii="Times New Roman" w:hAnsi="Times New Roman" w:eastAsia="Times New Roman" w:cs="Times New Roman"/>
                <w:sz w:val="20"/>
              </w:rPr>
              <w:t xml:space="preserve">AUROC, VUS</w:t>
            </w:r>
          </w:p>
        </w:tc>
      </w:tr>
      <w:tr>
        <w:tc>
          <w:tcPr/>
          <w:p>
            <w:pPr>
              <w:pStyle w:val="Compact"/>
            </w:pPr>
            <w:r>
              <w:rPr>
                <w:rFonts w:ascii="Times New Roman" w:hAnsi="Times New Roman" w:eastAsia="Times New Roman" w:cs="Times New Roman"/>
                <w:sz w:val="20"/>
              </w:rPr>
              <w:t xml:space="preserve">Balanced (both predictors)</w:t>
            </w:r>
          </w:p>
        </w:tc>
        <w:tc>
          <w:tcPr/>
          <w:p>
            <w:pPr>
              <w:pStyle w:val="Compact"/>
            </w:pPr>
            <w:r>
              <w:rPr>
                <w:rFonts w:ascii="Times New Roman" w:hAnsi="Times New Roman" w:eastAsia="Times New Roman" w:cs="Times New Roman"/>
                <w:sz w:val="20"/>
              </w:rPr>
              <w:t xml:space="preserve">118</w:t>
            </w:r>
          </w:p>
        </w:tc>
        <w:tc>
          <w:tcPr/>
          <w:p>
            <w:pPr>
              <w:pStyle w:val="Compact"/>
            </w:pPr>
            <w:r>
              <w:rPr>
                <w:rFonts w:ascii="Times New Roman" w:hAnsi="Times New Roman" w:eastAsia="Times New Roman" w:cs="Times New Roman"/>
                <w:sz w:val="20"/>
              </w:rPr>
              <w:t xml:space="preserve">0.976</w:t>
            </w:r>
          </w:p>
        </w:tc>
        <w:tc>
          <w:tcPr/>
          <w:p>
            <w:pPr>
              <w:pStyle w:val="Compact"/>
            </w:pPr>
            <w:r>
              <w:rPr>
                <w:rFonts w:ascii="Times New Roman" w:hAnsi="Times New Roman" w:eastAsia="Times New Roman" w:cs="Times New Roman"/>
                <w:sz w:val="20"/>
              </w:rPr>
              <w:t xml:space="preserve">0.050</w:t>
            </w:r>
          </w:p>
        </w:tc>
        <w:tc>
          <w:tcPr/>
          <w:p>
            <w:pPr>
              <w:pStyle w:val="Compact"/>
            </w:pPr>
            <w:r>
              <w:rPr>
                <w:rFonts w:ascii="Times New Roman" w:hAnsi="Times New Roman" w:eastAsia="Times New Roman" w:cs="Times New Roman"/>
                <w:sz w:val="20"/>
              </w:rPr>
              <w:t xml:space="preserve">0.00%</w:t>
            </w:r>
          </w:p>
        </w:tc>
        <w:tc>
          <w:tcPr/>
          <w:p>
            <w:pPr>
              <w:pStyle w:val="Compact"/>
            </w:pPr>
            <w:r>
              <w:rPr>
                <w:rFonts w:ascii="Times New Roman" w:hAnsi="Times New Roman" w:eastAsia="Times New Roman" w:cs="Times New Roman"/>
                <w:sz w:val="20"/>
              </w:rPr>
              <w:t xml:space="preserve">AUROC, VUS</w:t>
            </w:r>
          </w:p>
        </w:tc>
      </w:tr>
      <w:tr>
        <w:tc>
          <w:tcPr/>
          <w:p>
            <w:pPr>
              <w:pStyle w:val="Compact"/>
            </w:pPr>
            <w:r>
              <w:rPr>
                <w:rFonts w:ascii="Times New Roman" w:hAnsi="Times New Roman" w:eastAsia="Times New Roman" w:cs="Times New Roman"/>
                <w:sz w:val="20"/>
              </w:rPr>
              <w:t xml:space="preserve">Balanced calibrated</w:t>
            </w:r>
          </w:p>
        </w:tc>
        <w:tc>
          <w:tcPr/>
          <w:p>
            <w:pPr>
              <w:pStyle w:val="Compact"/>
            </w:pPr>
            <w:r>
              <w:rPr>
                <w:rFonts w:ascii="Times New Roman" w:hAnsi="Times New Roman" w:eastAsia="Times New Roman" w:cs="Times New Roman"/>
                <w:sz w:val="20"/>
              </w:rPr>
              <w:t xml:space="preserve">118</w:t>
            </w:r>
          </w:p>
        </w:tc>
        <w:tc>
          <w:tcPr/>
          <w:p>
            <w:pPr>
              <w:pStyle w:val="Compact"/>
            </w:pPr>
            <w:r>
              <w:rPr>
                <w:rFonts w:ascii="Times New Roman" w:hAnsi="Times New Roman" w:eastAsia="Times New Roman" w:cs="Times New Roman"/>
                <w:sz w:val="20"/>
              </w:rPr>
              <w:t xml:space="preserve">0.925</w:t>
            </w:r>
          </w:p>
        </w:tc>
        <w:tc>
          <w:tcPr/>
          <w:p>
            <w:pPr>
              <w:pStyle w:val="Compact"/>
            </w:pPr>
            <w:r>
              <w:rPr>
                <w:rFonts w:ascii="Times New Roman" w:hAnsi="Times New Roman" w:eastAsia="Times New Roman" w:cs="Times New Roman"/>
                <w:sz w:val="20"/>
              </w:rPr>
              <w:t xml:space="preserve">0.045</w:t>
            </w:r>
          </w:p>
        </w:tc>
        <w:tc>
          <w:tcPr/>
          <w:p>
            <w:pPr>
              <w:pStyle w:val="Compact"/>
            </w:pPr>
            <w:r>
              <w:rPr>
                <w:rFonts w:ascii="Times New Roman" w:hAnsi="Times New Roman" w:eastAsia="Times New Roman" w:cs="Times New Roman"/>
                <w:sz w:val="20"/>
              </w:rPr>
              <w:t xml:space="preserve">2.54%</w:t>
            </w:r>
          </w:p>
        </w:tc>
        <w:tc>
          <w:tcPr/>
          <w:p>
            <w:pPr>
              <w:pStyle w:val="Compact"/>
            </w:pPr>
            <w:r>
              <w:rPr>
                <w:rFonts w:ascii="Times New Roman" w:hAnsi="Times New Roman" w:eastAsia="Times New Roman" w:cs="Times New Roman"/>
                <w:sz w:val="20"/>
              </w:rPr>
              <w:t xml:space="preserve">ECE, VUS</w:t>
            </w:r>
          </w:p>
        </w:tc>
      </w:tr>
    </w:tbl>
    <w:p>
      <w:pPr>
        <w:pStyle w:val="BodyText"/>
      </w:pPr>
      <w:r>
        <w:rPr>
          <w:rFonts w:ascii="Times New Roman" w:hAnsi="Times New Roman" w:eastAsia="Times New Roman" w:cs="Times New Roman"/>
          <w:sz w:val="24"/>
        </w:rPr>
        <w:t xml:space="preserve">Success criteria: AUROC</w:t>
      </w:r>
      <w:r>
        <w:rPr>
          <w:rFonts w:ascii="Times New Roman" w:hAnsi="Times New Roman" w:eastAsia="Times New Roman" w:cs="Times New Roman"/>
          <w:sz w:val="24"/>
        </w:rPr>
        <w:t xml:space="preserve"> </w:t>
      </w:r>
      <m:oMath>
        <m:r>
          <m:rPr>
            <m:sty m:val="p"/>
          </m:rPr>
          <m:t>≥</m:t>
        </m:r>
        <m:r>
          <m:t>0.96</m:t>
        </m:r>
      </m:oMath>
      <w:r>
        <w:rPr>
          <w:rFonts w:ascii="Times New Roman" w:hAnsi="Times New Roman" w:eastAsia="Times New Roman" w:cs="Times New Roman"/>
          <w:sz w:val="24"/>
        </w:rPr>
        <w:t xml:space="preserve">, ECE</w:t>
      </w:r>
      <w:r>
        <w:rPr>
          <w:rFonts w:ascii="Times New Roman" w:hAnsi="Times New Roman" w:eastAsia="Times New Roman" w:cs="Times New Roman"/>
          <w:sz w:val="24"/>
        </w:rPr>
        <w:t xml:space="preserve"> </w:t>
      </w:r>
      <m:oMath>
        <m:r>
          <m:rPr>
            <m:sty m:val="p"/>
          </m:rPr>
          <m:t>≤</m:t>
        </m:r>
        <m:r>
          <m:t>0.05</m:t>
        </m:r>
      </m:oMath>
      <w:r>
        <w:rPr>
          <w:rFonts w:ascii="Times New Roman" w:hAnsi="Times New Roman" w:eastAsia="Times New Roman" w:cs="Times New Roman"/>
          <w:sz w:val="24"/>
        </w:rPr>
        <w:t xml:space="preserve">, VUS rate</w:t>
      </w:r>
      <w:r>
        <w:rPr>
          <w:rFonts w:ascii="Times New Roman" w:hAnsi="Times New Roman" w:eastAsia="Times New Roman" w:cs="Times New Roman"/>
          <w:sz w:val="24"/>
        </w:rPr>
        <w:t xml:space="preserve"> </w:t>
      </w:r>
      <m:oMath>
        <m:r>
          <m:rPr>
            <m:sty m:val="p"/>
          </m:rPr>
          <m:t>&lt;</m:t>
        </m:r>
        <m:r>
          <m:t>5</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(missense) and</w:t>
      </w:r>
      <w:r>
        <w:rPr>
          <w:rFonts w:ascii="Times New Roman" w:hAnsi="Times New Roman" w:eastAsia="Times New Roman" w:cs="Times New Roman"/>
          <w:sz w:val="24"/>
        </w:rPr>
        <w:t xml:space="preserve"> </w:t>
      </w:r>
      <m:oMath>
        <m:r>
          <m:rPr>
            <m:sty m:val="p"/>
          </m:rPr>
          <m:t>&lt;</m:t>
        </m:r>
        <m:r>
          <m:t>2</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(non-missense), CEFN AUROC</w:t>
      </w:r>
      <w:r>
        <w:rPr>
          <w:rFonts w:ascii="Times New Roman" w:hAnsi="Times New Roman" w:eastAsia="Times New Roman" w:cs="Times New Roman"/>
          <w:sz w:val="24"/>
        </w:rPr>
        <w:t xml:space="preserve"> </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Evo2 AUROC</w:t>
      </w:r>
      <w:r>
        <w:rPr>
          <w:rFonts w:ascii="Times New Roman" w:hAnsi="Times New Roman" w:eastAsia="Times New Roman" w:cs="Times New Roman"/>
          <w:sz w:val="24"/>
        </w:rPr>
        <w:t xml:space="preserve"> </w:t>
      </w:r>
      <m:oMath>
        <m:r>
          <m:rPr>
            <m:sty m:val="p"/>
          </m:rPr>
          <m:t>−</m:t>
        </m:r>
        <m:r>
          <m:t>0.02</m:t>
        </m:r>
      </m:oMath>
      <w:r>
        <w:rPr>
          <w:rFonts w:ascii="Times New Roman" w:hAnsi="Times New Roman" w:eastAsia="Times New Roman" w:cs="Times New Roman"/>
          <w:sz w:val="24"/>
        </w:rPr>
        <w:t xml:space="preserve">. The structural external validation — the most rigorous test, using a temporally distinct ClinVar release with both predictors available — passes all five criteria.</w:t>
      </w:r>
    </w:p>
    <w:bookmarkEnd w:id="76"/>
    <w:bookmarkStart w:id="77" w:name="ablation-study"/>
    <w:p>
      <w:pPr>
        <w:pStyle w:val="Heading4"/>
      </w:pPr>
      <w:r>
        <w:rPr>
          <w:rFonts w:ascii="Times New Roman" w:hAnsi="Times New Roman" w:eastAsia="Times New Roman" w:cs="Times New Roman"/>
          <w:sz w:val="24"/>
        </w:rPr>
        <w:t xml:space="preserve">9.7.3 Ablation Study</w:t>
      </w:r>
    </w:p>
    <w:p>
      <w:pPr>
        <w:pStyle w:val="FirstParagraph"/>
      </w:pPr>
      <w:r>
        <w:rPr>
          <w:rFonts w:ascii="Times New Roman" w:hAnsi="Times New Roman" w:eastAsia="Times New Roman" w:cs="Times New Roman"/>
          <w:sz w:val="24"/>
        </w:rPr>
        <w:t xml:space="preserve">To determine which design choices are essential, each component was systematically removed, the model retrained, and performance measured on the internal test set:</w:t>
      </w:r>
    </w:p>
    <w:p>
      <w:pPr>
        <w:pStyle w:val="Caption"/>
      </w:pPr>
      <w:bookmarkStart w:id="34153" w:name="_Tbl12"/>
      <w:r>
        <w:rPr>
          <w:rFonts w:ascii="Times New Roman" w:hAnsi="Times New Roman" w:eastAsia="Times New Roman" w:cs="Times New Roman"/>
          <w:b/>
          <w:bCs/>
          <w:sz w:val="24"/>
        </w:rPr>
        <w:t xml:space="preserve">Table 12: Ablation Study Results.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Systematic ablation of CEFN v2 architectural components. Each row removes one component and reports the effect on AUROC, ECE, and VUS rate. The full model achieves the best balance; removing Platt scaling or making</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learnable causes catastrophic failure.</w:t>
      </w:r>
      <w:bookmarkEnd w:id="34153"/>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Configuration</w:t>
            </w:r>
          </w:p>
        </w:tc>
        <w:tc>
          <w:tcPr/>
          <w:p>
            <w:pPr>
              <w:pStyle w:val="Compact"/>
            </w:pPr>
            <w:r>
              <w:rPr>
                <w:rFonts w:ascii="Times New Roman" w:hAnsi="Times New Roman" w:eastAsia="Times New Roman" w:cs="Times New Roman"/>
                <w:sz w:val="20"/>
              </w:rPr>
              <w:t xml:space="preserve">AUROC</w:t>
            </w:r>
          </w:p>
        </w:tc>
        <w:tc>
          <w:tcPr/>
          <w:p>
            <w:pPr>
              <w:pStyle w:val="Compact"/>
            </w:pPr>
            <w:r>
              <w:rPr>
                <w:rFonts w:ascii="Times New Roman" w:hAnsi="Times New Roman" w:eastAsia="Times New Roman" w:cs="Times New Roman"/>
                <w:sz w:val="20"/>
              </w:rPr>
              <w:t xml:space="preserve">ECE</w:t>
            </w:r>
          </w:p>
        </w:tc>
        <w:tc>
          <w:tcPr/>
          <w:p>
            <w:pPr>
              <w:pStyle w:val="Compact"/>
            </w:pPr>
            <w:r>
              <w:rPr>
                <w:rFonts w:ascii="Times New Roman" w:hAnsi="Times New Roman" w:eastAsia="Times New Roman" w:cs="Times New Roman"/>
                <w:sz w:val="20"/>
              </w:rPr>
              <w:t xml:space="preserve">VUS rate</w:t>
            </w:r>
          </w:p>
        </w:tc>
      </w:tr>
      <w:tr>
        <w:tc>
          <w:tcPr/>
          <w:p>
            <w:pPr>
              <w:pStyle w:val="Compact"/>
            </w:pPr>
            <w:r>
              <w:rPr>
                <w:rFonts w:ascii="Times New Roman" w:hAnsi="Times New Roman" w:eastAsia="Times New Roman" w:cs="Times New Roman"/>
                <w:b/>
                <w:bCs/>
                <w:sz w:val="20"/>
              </w:rPr>
              <w:t xml:space="preserve">Full CEFN v2</w:t>
            </w:r>
          </w:p>
        </w:tc>
        <w:tc>
          <w:tcPr/>
          <w:p>
            <w:pPr>
              <w:pStyle w:val="Compact"/>
            </w:pPr>
            <w:r>
              <w:rPr>
                <w:rFonts w:ascii="Times New Roman" w:hAnsi="Times New Roman" w:eastAsia="Times New Roman" w:cs="Times New Roman"/>
                <w:b/>
                <w:bCs/>
                <w:sz w:val="20"/>
              </w:rPr>
              <w:t xml:space="preserve">0.986</w:t>
            </w:r>
          </w:p>
        </w:tc>
        <w:tc>
          <w:tcPr/>
          <w:p>
            <w:pPr>
              <w:pStyle w:val="Compact"/>
            </w:pPr>
            <w:r>
              <w:rPr>
                <w:rFonts w:ascii="Times New Roman" w:hAnsi="Times New Roman" w:eastAsia="Times New Roman" w:cs="Times New Roman"/>
                <w:b/>
                <w:bCs/>
                <w:sz w:val="20"/>
              </w:rPr>
              <w:t xml:space="preserve">0.044</w:t>
            </w:r>
          </w:p>
        </w:tc>
        <w:tc>
          <w:tcPr/>
          <w:p>
            <w:pPr>
              <w:pStyle w:val="Compact"/>
            </w:pPr>
            <w:r>
              <w:rPr>
                <w:rFonts w:ascii="Times New Roman" w:hAnsi="Times New Roman" w:eastAsia="Times New Roman" w:cs="Times New Roman"/>
                <w:b/>
                <w:bCs/>
                <w:sz w:val="20"/>
              </w:rPr>
              <w:t xml:space="preserve">0.50%</w:t>
            </w:r>
          </w:p>
        </w:tc>
      </w:tr>
      <w:tr>
        <w:tc>
          <w:tcPr/>
          <w:p>
            <w:pPr>
              <w:pStyle w:val="Compact"/>
            </w:pPr>
            <w:r>
              <w:rPr>
                <w:rFonts w:ascii="Times New Roman" w:hAnsi="Times New Roman" w:eastAsia="Times New Roman" w:cs="Times New Roman"/>
                <w:sz w:val="20"/>
              </w:rPr>
              <w:t xml:space="preserve">− Prior network</w:t>
            </w:r>
          </w:p>
        </w:tc>
        <w:tc>
          <w:tcPr/>
          <w:p>
            <w:pPr>
              <w:pStyle w:val="Compact"/>
            </w:pPr>
            <w:r>
              <w:rPr>
                <w:rFonts w:ascii="Times New Roman" w:hAnsi="Times New Roman" w:eastAsia="Times New Roman" w:cs="Times New Roman"/>
                <w:sz w:val="20"/>
              </w:rPr>
              <w:t xml:space="preserve">0.987</w:t>
            </w:r>
          </w:p>
        </w:tc>
        <w:tc>
          <w:tcPr/>
          <w:p>
            <w:pPr>
              <w:pStyle w:val="Compact"/>
            </w:pPr>
            <w:r>
              <w:rPr>
                <w:rFonts w:ascii="Times New Roman" w:hAnsi="Times New Roman" w:eastAsia="Times New Roman" w:cs="Times New Roman"/>
                <w:sz w:val="20"/>
              </w:rPr>
              <w:t xml:space="preserve">0.057</w:t>
            </w:r>
          </w:p>
        </w:tc>
        <w:tc>
          <w:tcPr/>
          <w:p>
            <w:pPr>
              <w:pStyle w:val="Compact"/>
            </w:pPr>
            <w:r>
              <w:rPr>
                <w:rFonts w:ascii="Times New Roman" w:hAnsi="Times New Roman" w:eastAsia="Times New Roman" w:cs="Times New Roman"/>
                <w:sz w:val="20"/>
              </w:rPr>
              <w:t xml:space="preserve">0.50%</w:t>
            </w:r>
          </w:p>
        </w:tc>
      </w:tr>
      <w:tr>
        <w:tc>
          <w:tcPr/>
          <w:p>
            <w:pPr>
              <w:pStyle w:val="Compact"/>
            </w:pPr>
            <w:r>
              <w:rPr>
                <w:rFonts w:ascii="Times New Roman" w:hAnsi="Times New Roman" w:eastAsia="Times New Roman" w:cs="Times New Roman"/>
                <w:sz w:val="20"/>
              </w:rPr>
              <w:t xml:space="preserve">− Deep Sets (flat MLP)</w:t>
            </w:r>
          </w:p>
        </w:tc>
        <w:tc>
          <w:tcPr/>
          <w:p>
            <w:pPr>
              <w:pStyle w:val="Compact"/>
            </w:pPr>
            <w:r>
              <w:rPr>
                <w:rFonts w:ascii="Times New Roman" w:hAnsi="Times New Roman" w:eastAsia="Times New Roman" w:cs="Times New Roman"/>
                <w:sz w:val="20"/>
              </w:rPr>
              <w:t xml:space="preserve">0.984</w:t>
            </w:r>
          </w:p>
        </w:tc>
        <w:tc>
          <w:tcPr/>
          <w:p>
            <w:pPr>
              <w:pStyle w:val="Compact"/>
            </w:pPr>
            <w:r>
              <w:rPr>
                <w:rFonts w:ascii="Times New Roman" w:hAnsi="Times New Roman" w:eastAsia="Times New Roman" w:cs="Times New Roman"/>
                <w:sz w:val="20"/>
              </w:rPr>
              <w:t xml:space="preserve">0.061</w:t>
            </w:r>
          </w:p>
        </w:tc>
        <w:tc>
          <w:tcPr/>
          <w:p>
            <w:pPr>
              <w:pStyle w:val="Compact"/>
            </w:pPr>
            <w:r>
              <w:rPr>
                <w:rFonts w:ascii="Times New Roman" w:hAnsi="Times New Roman" w:eastAsia="Times New Roman" w:cs="Times New Roman"/>
                <w:sz w:val="20"/>
              </w:rPr>
              <w:t xml:space="preserve">3.53%</w:t>
            </w:r>
          </w:p>
        </w:tc>
      </w:tr>
      <w:tr>
        <w:tc>
          <w:tcPr/>
          <w:p>
            <w:pPr>
              <w:pStyle w:val="Compact"/>
            </w:pPr>
            <w:r>
              <w:rPr>
                <w:rFonts w:ascii="Times New Roman" w:hAnsi="Times New Roman" w:eastAsia="Times New Roman" w:cs="Times New Roman"/>
                <w:sz w:val="20"/>
              </w:rPr>
              <w:t xml:space="preserve">− Predictor-specific missing (shared token)</w:t>
            </w:r>
          </w:p>
        </w:tc>
        <w:tc>
          <w:tcPr/>
          <w:p>
            <w:pPr>
              <w:pStyle w:val="Compact"/>
            </w:pPr>
            <w:r>
              <w:rPr>
                <w:rFonts w:ascii="Times New Roman" w:hAnsi="Times New Roman" w:eastAsia="Times New Roman" w:cs="Times New Roman"/>
                <w:sz w:val="20"/>
              </w:rPr>
              <w:t xml:space="preserve">0.984</w:t>
            </w:r>
          </w:p>
        </w:tc>
        <w:tc>
          <w:tcPr/>
          <w:p>
            <w:pPr>
              <w:pStyle w:val="Compact"/>
            </w:pPr>
            <w:r>
              <w:rPr>
                <w:rFonts w:ascii="Times New Roman" w:hAnsi="Times New Roman" w:eastAsia="Times New Roman" w:cs="Times New Roman"/>
                <w:sz w:val="20"/>
              </w:rPr>
              <w:t xml:space="preserve">0.068</w:t>
            </w:r>
          </w:p>
        </w:tc>
        <w:tc>
          <w:tcPr/>
          <w:p>
            <w:pPr>
              <w:pStyle w:val="Compact"/>
            </w:pPr>
            <w:r>
              <w:rPr>
                <w:rFonts w:ascii="Times New Roman" w:hAnsi="Times New Roman" w:eastAsia="Times New Roman" w:cs="Times New Roman"/>
                <w:sz w:val="20"/>
              </w:rPr>
              <w:t xml:space="preserve">2.02%</w:t>
            </w:r>
          </w:p>
        </w:tc>
      </w:tr>
      <w:tr>
        <w:tc>
          <w:tcPr/>
          <w:p>
            <w:pPr>
              <w:pStyle w:val="Compact"/>
            </w:pPr>
            <w:r>
              <w:rPr>
                <w:rFonts w:ascii="Times New Roman" w:hAnsi="Times New Roman" w:eastAsia="Times New Roman" w:cs="Times New Roman"/>
                <w:sz w:val="20"/>
              </w:rPr>
              <w:t xml:space="preserve">− Fixed</w:t>
            </w:r>
            <w:r>
              <w:rPr>
                <w:rFonts w:ascii="Times New Roman" w:hAnsi="Times New Roman" w:eastAsia="Times New Roman" w:cs="Times New Roman"/>
                <w:sz w:val="20"/>
              </w:rPr>
              <w:t xml:space="preserve"> </w:t>
            </w:r>
            <m:oMath>
              <m:sSub>
                <m:e>
                  <m:r>
                    <m:t>α</m:t>
                  </m:r>
                </m:e>
                <m:sub>
                  <m:r>
                    <m:rPr>
                      <m:nor/>
                      <m:sty m:val="p"/>
                    </m:rPr>
                    <m:t>VUS</m:t>
                  </m:r>
                </m:sub>
              </m:sSub>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(learnable)</w:t>
            </w:r>
          </w:p>
        </w:tc>
        <w:tc>
          <w:tcPr/>
          <w:p>
            <w:pPr>
              <w:pStyle w:val="Compact"/>
            </w:pPr>
            <w:r>
              <w:rPr>
                <w:rFonts w:ascii="Times New Roman" w:hAnsi="Times New Roman" w:eastAsia="Times New Roman" w:cs="Times New Roman"/>
                <w:sz w:val="20"/>
              </w:rPr>
              <w:t xml:space="preserve">0.970</w:t>
            </w:r>
          </w:p>
        </w:tc>
        <w:tc>
          <w:tcPr/>
          <w:p>
            <w:pPr>
              <w:pStyle w:val="Compact"/>
            </w:pPr>
            <w:r>
              <w:rPr>
                <w:rFonts w:ascii="Times New Roman" w:hAnsi="Times New Roman" w:eastAsia="Times New Roman" w:cs="Times New Roman"/>
                <w:sz w:val="20"/>
              </w:rPr>
              <w:t xml:space="preserve">0.092</w:t>
            </w:r>
          </w:p>
        </w:tc>
        <w:tc>
          <w:tcPr/>
          <w:p>
            <w:pPr>
              <w:pStyle w:val="Compact"/>
            </w:pPr>
            <w:r>
              <w:rPr>
                <w:rFonts w:ascii="Times New Roman" w:hAnsi="Times New Roman" w:eastAsia="Times New Roman" w:cs="Times New Roman"/>
                <w:sz w:val="20"/>
              </w:rPr>
              <w:t xml:space="preserve">51.4%</w:t>
            </w:r>
          </w:p>
        </w:tc>
      </w:tr>
      <w:tr>
        <w:tc>
          <w:tcPr/>
          <w:p>
            <w:pPr>
              <w:pStyle w:val="Compact"/>
            </w:pPr>
            <w:r>
              <w:rPr>
                <w:rFonts w:ascii="Times New Roman" w:hAnsi="Times New Roman" w:eastAsia="Times New Roman" w:cs="Times New Roman"/>
                <w:sz w:val="20"/>
              </w:rPr>
              <w:t xml:space="preserve">− Platt scaling (raw sigmoid)</w:t>
            </w:r>
          </w:p>
        </w:tc>
        <w:tc>
          <w:tcPr/>
          <w:p>
            <w:pPr>
              <w:pStyle w:val="Compact"/>
            </w:pPr>
            <w:r>
              <w:rPr>
                <w:rFonts w:ascii="Times New Roman" w:hAnsi="Times New Roman" w:eastAsia="Times New Roman" w:cs="Times New Roman"/>
                <w:sz w:val="20"/>
              </w:rPr>
              <w:t xml:space="preserve">0.500</w:t>
            </w:r>
          </w:p>
        </w:tc>
        <w:tc>
          <w:tcPr/>
          <w:p>
            <w:pPr>
              <w:pStyle w:val="Compact"/>
            </w:pPr>
            <w:r>
              <w:rPr>
                <w:rFonts w:ascii="Times New Roman" w:hAnsi="Times New Roman" w:eastAsia="Times New Roman" w:cs="Times New Roman"/>
                <w:sz w:val="20"/>
              </w:rPr>
              <w:t xml:space="preserve">1.000</w:t>
            </w:r>
          </w:p>
        </w:tc>
        <w:tc>
          <w:tcPr/>
          <w:p>
            <w:pPr>
              <w:pStyle w:val="Compact"/>
            </w:pPr>
            <w:r>
              <w:rPr>
                <w:rFonts w:ascii="Times New Roman" w:hAnsi="Times New Roman" w:eastAsia="Times New Roman" w:cs="Times New Roman"/>
                <w:sz w:val="20"/>
              </w:rPr>
              <w:t xml:space="preserve">100%</w:t>
            </w:r>
          </w:p>
        </w:tc>
      </w:tr>
    </w:tbl>
    <w:p>
      <w:pPr>
        <w:pStyle w:val="BodyText"/>
      </w:pPr>
      <w:r>
        <w:rPr>
          <w:rFonts w:ascii="Times New Roman" w:hAnsi="Times New Roman" w:eastAsia="Times New Roman" w:cs="Times New Roman"/>
          <w:sz w:val="24"/>
        </w:rPr>
        <w:t xml:space="preserve">Two components proved critical.</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Platt scaling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necessary: without it, raw delta scores are not calibrated probabilities, and the evidential network cannot extract usable signal (AUROC = 0.5, 100% VUS).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Fixing</w:t>
      </w:r>
      <w:r>
        <w:rPr>
          <w:rFonts w:ascii="Times New Roman" w:hAnsi="Times New Roman" w:eastAsia="Times New Roman" w:cs="Times New Roman"/>
          <w:b/>
          <w:bCs/>
          <w:sz w:val="24"/>
        </w:rPr>
        <w:t xml:space="preserve"> </w:t>
      </w:r>
      <m:oMath>
        <m:sSub>
          <m:e>
            <m:r>
              <m:t>α</m:t>
            </m:r>
          </m:e>
          <m:sub>
            <m:r>
              <m:rPr>
                <m:nor/>
                <m:sty m:val="p"/>
              </m:rPr>
              <m:t>VUS</m:t>
            </m:r>
          </m:sub>
        </m:sSub>
        <m:r>
          <m:rPr>
            <m:sty m:val="p"/>
          </m:rPr>
          <m: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critical: a learnable</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causes the model to collapse to VUS predictions (51.4%) because the loss provides no gradient signal for VUS-labeled samples (they are excluded), so the model minimizes loss by predicting VUS for ambiguous cases. The remaining components have moderate but measurable effects: predictor-specific missing embeddings reduce ECE from 0.068 to 0.044 compared to a shared token, confirming that encoding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which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 is missing improves calibration. The Deep Sets encoder reduces VUS rate from 3.53% to 0.50%, demonstrating that permutation-invariant set processing improves confident prediction.</w:t>
      </w:r>
    </w:p>
    <w:bookmarkEnd w:id="77"/>
    <w:bookmarkEnd w:id="78"/>
    <w:bookmarkStart w:id="79" w:name="dstbma-baseline"/>
    <w:p>
      <w:pPr>
        <w:pStyle w:val="Heading3"/>
      </w:pPr>
      <w:r>
        <w:rPr>
          <w:rFonts w:ascii="Times New Roman" w:hAnsi="Times New Roman" w:eastAsia="Times New Roman" w:cs="Times New Roman"/>
          <w:sz w:val="24"/>
        </w:rPr>
        <w:t xml:space="preserve">9.8 DST+BMA Baseline</w:t>
      </w:r>
    </w:p>
    <w:p>
      <w:pPr>
        <w:pStyle w:val="FirstParagraph"/>
      </w:pPr>
      <w:r>
        <w:rPr>
          <w:rFonts w:ascii="Times New Roman" w:hAnsi="Times New Roman" w:eastAsia="Times New Roman" w:cs="Times New Roman"/>
          <w:sz w:val="24"/>
        </w:rPr>
        <w:t xml:space="preserve">A Dempster-Shafer + Bayesian Model Averaging baseline was implemented for comparison [13,36]. Each predictor score is converted to a belief mass assignment using AUROC-weighted softmax:</w:t>
      </w:r>
    </w:p>
    <w:p>
      <w:pPr>
        <w:pStyle w:val="BodyText"/>
      </w:pPr>
      <m:oMathPara>
        <m:oMathParaPr>
          <m:jc m:val="center"/>
        </m:oMathParaPr>
        <m:oMath>
          <m:sSub>
            <m:e>
              <m:r>
                <m:t>w</m:t>
              </m:r>
            </m:e>
            <m:sub>
              <m:r>
                <m:t>k</m:t>
              </m:r>
            </m:sub>
          </m:sSub>
          <m:r>
            <m:rPr>
              <m:sty m:val="p"/>
            </m:rPr>
            <m:t>=</m:t>
          </m:r>
          <m:f>
            <m:fPr>
              <m:type m:val="bar"/>
            </m:fPr>
            <m:num>
              <m:sSup>
                <m:e>
                  <m:r>
                    <m:t>e</m:t>
                  </m:r>
                </m:e>
                <m:sup>
                  <m:r>
                    <m:t>T</m:t>
                  </m:r>
                  <m:r>
                    <m:rPr>
                      <m:sty m:val="p"/>
                    </m:rPr>
                    <m:t>⋅</m:t>
                  </m:r>
                  <m:sSub>
                    <m:e>
                      <m:r>
                        <m:rPr>
                          <m:nor/>
                          <m:sty m:val="p"/>
                        </m:rPr>
                        <m:t>AUROC</m:t>
                      </m:r>
                    </m:e>
                    <m:sub>
                      <m:r>
                        <m:t>k</m:t>
                      </m:r>
                    </m:sub>
                  </m:sSub>
                </m:sup>
              </m:sSup>
            </m:num>
            <m:den>
              <m:nary>
                <m:naryPr>
                  <m:chr m:val="∑"/>
                  <m:limLoc m:val="undOvr"/>
                  <m:subHide m:val="off"/>
                  <m:supHide m:val="on"/>
                </m:naryPr>
                <m:sub>
                  <m:r>
                    <m:t>j</m:t>
                  </m:r>
                </m:sub>
                <m:sup>
                  <m:r>
                    <m:t>​</m:t>
                  </m:r>
                </m:sup>
                <m:e>
                  <m:sSup>
                    <m:e>
                      <m:r>
                        <m:t>e</m:t>
                      </m:r>
                    </m:e>
                    <m:sup>
                      <m:r>
                        <m:t>T</m:t>
                      </m:r>
                      <m:r>
                        <m:rPr>
                          <m:sty m:val="p"/>
                        </m:rPr>
                        <m:t>⋅</m:t>
                      </m:r>
                      <m:sSub>
                        <m:e>
                          <m:r>
                            <m:rPr>
                              <m:nor/>
                              <m:sty m:val="p"/>
                            </m:rPr>
                            <m:t>AUROC</m:t>
                          </m:r>
                        </m:e>
                        <m:sub>
                          <m:r>
                            <m:t>j</m:t>
                          </m:r>
                        </m:sub>
                      </m:sSub>
                    </m:sup>
                  </m:sSup>
                </m:e>
              </m:nary>
            </m:den>
          </m:f>
          <m:r>
            <m:rPr>
              <m:sty m:val="p"/>
            </m:rPr>
            <m:t>,</m:t>
          </m:r>
          <m:r>
            <m:t> </m:t>
          </m:r>
          <m:r>
            <m:t>T</m:t>
          </m:r>
          <m:r>
            <m:rPr>
              <m:sty m:val="p"/>
            </m:rPr>
            <m:t>=</m:t>
          </m:r>
          <m:r>
            <m:t>10</m:t>
          </m:r>
        </m:oMath>
      </m:oMathPara>
    </w:p>
    <w:p>
      <w:pPr>
        <w:pStyle w:val="FirstParagraph"/>
      </w:pPr>
      <w:r>
        <w:rPr>
          <w:rFonts w:ascii="Times New Roman" w:hAnsi="Times New Roman" w:eastAsia="Times New Roman" w:cs="Times New Roman"/>
          <w:sz w:val="24"/>
        </w:rPr>
        <w:t xml:space="preserve">Masses are combined via Dempster’s rule:</w:t>
      </w:r>
    </w:p>
    <w:p>
      <w:pPr>
        <w:pStyle w:val="BodyText"/>
      </w:pPr>
      <m:oMathPara>
        <m:oMathParaPr>
          <m:jc m:val="center"/>
        </m:oMathParaPr>
        <m:oMath>
          <m:r>
            <m:t>m</m:t>
          </m:r>
          <m:d>
            <m:dPr>
              <m:begChr m:val="("/>
              <m:endChr m:val=")"/>
              <m:sepChr m:val=""/>
              <m:grow/>
            </m:dPr>
            <m:e>
              <m:r>
                <m:t>A</m:t>
              </m:r>
            </m:e>
          </m:d>
          <m:r>
            <m:rPr>
              <m:sty m:val="p"/>
            </m:rPr>
            <m:t>=</m:t>
          </m:r>
          <m:f>
            <m:fPr>
              <m:type m:val="bar"/>
            </m:fPr>
            <m:num>
              <m:nary>
                <m:naryPr>
                  <m:chr m:val="∑"/>
                  <m:limLoc m:val="undOvr"/>
                  <m:subHide m:val="off"/>
                  <m:supHide m:val="on"/>
                </m:naryPr>
                <m:sub>
                  <m:r>
                    <m:t>B</m:t>
                  </m:r>
                  <m:r>
                    <m:rPr>
                      <m:sty m:val="p"/>
                    </m:rPr>
                    <m:t>∩</m:t>
                  </m:r>
                  <m:r>
                    <m:t>C</m:t>
                  </m:r>
                  <m:r>
                    <m:rPr>
                      <m:sty m:val="p"/>
                    </m:rPr>
                    <m:t>=</m:t>
                  </m:r>
                  <m:r>
                    <m:t>A</m:t>
                  </m:r>
                </m:sub>
                <m:sup>
                  <m:r>
                    <m:t>​</m:t>
                  </m:r>
                </m:sup>
                <m:e>
                  <m:sSub>
                    <m:e>
                      <m:r>
                        <m:t>m</m:t>
                      </m:r>
                    </m:e>
                    <m:sub>
                      <m:r>
                        <m:t>1</m:t>
                      </m:r>
                    </m:sub>
                  </m:sSub>
                </m:e>
              </m:nary>
              <m:d>
                <m:dPr>
                  <m:begChr m:val="("/>
                  <m:endChr m:val=")"/>
                  <m:sepChr m:val=""/>
                  <m:grow/>
                </m:dPr>
                <m:e>
                  <m:r>
                    <m:t>B</m:t>
                  </m:r>
                </m:e>
              </m:d>
              <m:r>
                <m:t> </m:t>
              </m:r>
              <m:sSub>
                <m:e>
                  <m:r>
                    <m:t>m</m:t>
                  </m:r>
                </m:e>
                <m:sub>
                  <m:r>
                    <m:t>2</m:t>
                  </m:r>
                </m:sub>
              </m:sSub>
              <m:d>
                <m:dPr>
                  <m:begChr m:val="("/>
                  <m:endChr m:val=")"/>
                  <m:sepChr m:val=""/>
                  <m:grow/>
                </m:dPr>
                <m:e>
                  <m:r>
                    <m:t>C</m:t>
                  </m:r>
                </m:e>
              </m:d>
            </m:num>
            <m:den>
              <m:r>
                <m:t>1</m:t>
              </m:r>
              <m:r>
                <m:rPr>
                  <m:sty m:val="p"/>
                </m:rPr>
                <m:t>−</m:t>
              </m:r>
              <m:nary>
                <m:naryPr>
                  <m:chr m:val="∑"/>
                  <m:limLoc m:val="undOvr"/>
                  <m:subHide m:val="off"/>
                  <m:supHide m:val="on"/>
                </m:naryPr>
                <m:sub>
                  <m:r>
                    <m:t>B</m:t>
                  </m:r>
                  <m:r>
                    <m:rPr>
                      <m:sty m:val="p"/>
                    </m:rPr>
                    <m:t>∩</m:t>
                  </m:r>
                  <m:r>
                    <m:t>C</m:t>
                  </m:r>
                  <m:r>
                    <m:rPr>
                      <m:sty m:val="p"/>
                    </m:rPr>
                    <m:t>=</m:t>
                  </m:r>
                  <m:r>
                    <m:rPr>
                      <m:sty m:val="p"/>
                    </m:rPr>
                    <m:t>∅</m:t>
                  </m:r>
                </m:sub>
                <m:sup>
                  <m:r>
                    <m:t>​</m:t>
                  </m:r>
                </m:sup>
                <m:e>
                  <m:sSub>
                    <m:e>
                      <m:r>
                        <m:t>m</m:t>
                      </m:r>
                    </m:e>
                    <m:sub>
                      <m:r>
                        <m:t>1</m:t>
                      </m:r>
                    </m:sub>
                  </m:sSub>
                </m:e>
              </m:nary>
              <m:d>
                <m:dPr>
                  <m:begChr m:val="("/>
                  <m:endChr m:val=")"/>
                  <m:sepChr m:val=""/>
                  <m:grow/>
                </m:dPr>
                <m:e>
                  <m:r>
                    <m:t>B</m:t>
                  </m:r>
                </m:e>
              </m:d>
              <m:r>
                <m:t> </m:t>
              </m:r>
              <m:sSub>
                <m:e>
                  <m:r>
                    <m:t>m</m:t>
                  </m:r>
                </m:e>
                <m:sub>
                  <m:r>
                    <m:t>2</m:t>
                  </m:r>
                </m:sub>
              </m:sSub>
              <m:d>
                <m:dPr>
                  <m:begChr m:val="("/>
                  <m:endChr m:val=")"/>
                  <m:sepChr m:val=""/>
                  <m:grow/>
                </m:dPr>
                <m:e>
                  <m:r>
                    <m:t>C</m:t>
                  </m:r>
                </m:e>
              </m:d>
            </m:den>
          </m:f>
        </m:oMath>
      </m:oMathPara>
    </w:p>
    <w:p>
      <w:pPr>
        <w:pStyle w:val="FirstParagraph"/>
      </w:pPr>
      <w:r>
        <w:rPr>
          <w:rFonts w:ascii="Times New Roman" w:hAnsi="Times New Roman" w:eastAsia="Times New Roman" w:cs="Times New Roman"/>
          <w:sz w:val="24"/>
        </w:rPr>
        <w:t xml:space="preserve">The baseline achieves AUROC = 0.884 but a VUS rate of 66.2%. Dempster’s rule produces low belief masses when predictors disagree or when only one is available, causing the baseline to abstain on the majority of variants. CEFN v2 makes confident predictions on 98.7% of variants while maintaining lower ECE, demonstrating that learned evidential fusion substantially outperforms fixed-rule combination.</w:t>
      </w:r>
    </w:p>
    <w:bookmarkEnd w:id="79"/>
    <w:bookmarkStart w:id="83" w:name="end-to-end-pipeline-evaluation"/>
    <w:p>
      <w:pPr>
        <w:pStyle w:val="Heading3"/>
      </w:pPr>
      <w:r>
        <w:rPr>
          <w:rFonts w:ascii="Times New Roman" w:hAnsi="Times New Roman" w:eastAsia="Times New Roman" w:cs="Times New Roman"/>
          <w:sz w:val="24"/>
        </w:rPr>
        <w:t xml:space="preserve">9.9 End-to-End Pipeline Evaluation</w:t>
      </w:r>
    </w:p>
    <w:p>
      <w:pPr>
        <w:pStyle w:val="FirstParagraph"/>
      </w:pPr>
      <w:r>
        <w:rPr>
          <w:rFonts w:ascii="Times New Roman" w:hAnsi="Times New Roman" w:eastAsia="Times New Roman" w:cs="Times New Roman"/>
          <w:sz w:val="24"/>
        </w:rPr>
        <w:t xml:space="preserve">The preceding evaluations assess individual components: CEFN v2 in isolation, CEFN v2 with temporal validation, and ablation of architectural choices. However, clinical utility depends on the accuracy of the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complete pipeline</w:t>
      </w:r>
      <w:r>
        <w:rPr>
          <w:rFonts w:ascii="Times New Roman" w:hAnsi="Times New Roman" w:eastAsia="Times New Roman" w:cs="Times New Roman"/>
          <w:sz w:val="24"/>
        </w:rPr>
        <w:t xml:space="preserve">: variant input → VEP annotation → Evo2 scoring → evidence enrichment → CEFN v2 fusion → ACMG/AMP classification → final report. This section evaluates the full pipeline against the ground truth of ClinVar expert panel classifications.</w:t>
      </w:r>
    </w:p>
    <w:bookmarkStart w:id="80" w:name="evaluation-protocol"/>
    <w:p>
      <w:pPr>
        <w:pStyle w:val="Heading4"/>
      </w:pPr>
      <w:r>
        <w:rPr>
          <w:rFonts w:ascii="Times New Roman" w:hAnsi="Times New Roman" w:eastAsia="Times New Roman" w:cs="Times New Roman"/>
          <w:sz w:val="24"/>
        </w:rPr>
        <w:t xml:space="preserve">9.9.1 Evaluation Protocol</w:t>
      </w:r>
    </w:p>
    <w:p>
      <w:pPr>
        <w:pStyle w:val="FirstParagraph"/>
      </w:pPr>
      <w:r>
        <w:rPr>
          <w:rFonts w:ascii="Times New Roman" w:hAnsi="Times New Roman" w:eastAsia="Times New Roman" w:cs="Times New Roman"/>
          <w:sz w:val="24"/>
        </w:rPr>
        <w:t xml:space="preserve">The end-to-end pipeline was run on the held-out test set (chromosomes 19–22,</w:t>
      </w:r>
      <w:r>
        <w:rPr>
          <w:rFonts w:ascii="Times New Roman" w:hAnsi="Times New Roman" w:eastAsia="Times New Roman" w:cs="Times New Roman"/>
          <w:sz w:val="24"/>
        </w:rPr>
        <w:t xml:space="preserve"> </w:t>
      </w:r>
      <m:oMath>
        <m:r>
          <m:t>n</m:t>
        </m:r>
        <m:r>
          <m:rPr>
            <m:sty m:val="p"/>
          </m:rPr>
          <m:t>=</m:t>
        </m:r>
        <m:r>
          <m:t>397</m:t>
        </m:r>
      </m:oMath>
      <w:r>
        <w:rPr>
          <w:rFonts w:ascii="Times New Roman" w:hAnsi="Times New Roman" w:eastAsia="Times New Roman" w:cs="Times New Roman"/>
          <w:sz w:val="24"/>
        </w:rPr>
        <w:t xml:space="preserve">), with ClinVar expert panel classifications (2+ star review status) as ground truth. Variants with 0–1 star review status were excluded from accuracy computation to ensure the reference standard reflects expert consensus. The pipeline’s final ACMG classification (Pathogenic, Likely Pathogenic, VUS, Likely Benign, Benign) was compared to the ClinVar classification using:</w:t>
      </w:r>
    </w:p>
    <w:p>
      <w:pPr>
        <w:pStyle w:val="Compact"/>
        <w:numPr>
          <w:ilvl w:val="0"/>
          <w:numId w:val="1003"/>
        </w:numPr>
      </w:pPr>
      <w:r>
        <w:rPr>
          <w:rFonts w:ascii="Times New Roman" w:hAnsi="Times New Roman" w:eastAsia="Times New Roman" w:cs="Times New Roman"/>
          <w:b/>
          <w:bCs/>
          <w:sz w:val="24"/>
        </w:rPr>
        <w:t xml:space="preserve">Exact match accuracy</w:t>
      </w:r>
      <w:r>
        <w:rPr>
          <w:rFonts w:ascii="Times New Roman" w:hAnsi="Times New Roman" w:eastAsia="Times New Roman" w:cs="Times New Roman"/>
          <w:sz w:val="24"/>
        </w:rPr>
        <w:t xml:space="preserve">: pipeline classification equals ClinVar classification</w:t>
      </w:r>
    </w:p>
    <w:p>
      <w:pPr>
        <w:pStyle w:val="Compact"/>
        <w:numPr>
          <w:ilvl w:val="0"/>
          <w:numId w:val="1003"/>
        </w:numPr>
      </w:pPr>
      <w:r>
        <w:rPr>
          <w:rFonts w:ascii="Times New Roman" w:hAnsi="Times New Roman" w:eastAsia="Times New Roman" w:cs="Times New Roman"/>
          <w:b/>
          <w:bCs/>
          <w:sz w:val="24"/>
        </w:rPr>
        <w:t xml:space="preserve">Directional accuracy</w:t>
      </w:r>
      <w:r>
        <w:rPr>
          <w:rFonts w:ascii="Times New Roman" w:hAnsi="Times New Roman" w:eastAsia="Times New Roman" w:cs="Times New Roman"/>
          <w:sz w:val="24"/>
        </w:rPr>
        <w:t xml:space="preserve">: pipeline and ClinVar agree on pathogenic vs. benign direction (collapsing Pathogenic + Likely Pathogenic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“pathogenic”</w:t>
      </w:r>
      <w:r>
        <w:rPr>
          <w:rFonts w:ascii="Times New Roman" w:hAnsi="Times New Roman" w:eastAsia="Times New Roman" w:cs="Times New Roman"/>
          <w:sz w:val="24"/>
        </w:rPr>
        <w:t xml:space="preserve">, Benign + Likely Benign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“benign”</w:t>
      </w:r>
      <w:r>
        <w:rPr>
          <w:rFonts w:ascii="Times New Roman" w:hAnsi="Times New Roman" w:eastAsia="Times New Roman" w:cs="Times New Roman"/>
          <w:sz w:val="24"/>
        </w:rPr>
        <w:t xml:space="preserve">, VUS →</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“uncertain”</w:t>
      </w:r>
      <w:r>
        <w:rPr>
          <w:rFonts w:ascii="Times New Roman" w:hAnsi="Times New Roman" w:eastAsia="Times New Roman" w:cs="Times New Roman"/>
          <w:sz w:val="24"/>
        </w:rPr>
        <w:t xml:space="preserve">)</w:t>
      </w:r>
    </w:p>
    <w:p>
      <w:pPr>
        <w:pStyle w:val="Compact"/>
        <w:numPr>
          <w:ilvl w:val="0"/>
          <w:numId w:val="1003"/>
        </w:numPr>
      </w:pPr>
      <w:r>
        <w:rPr>
          <w:rFonts w:ascii="Times New Roman" w:hAnsi="Times New Roman" w:eastAsia="Times New Roman" w:cs="Times New Roman"/>
          <w:b/>
          <w:bCs/>
          <w:sz w:val="24"/>
        </w:rPr>
        <w:t xml:space="preserve">Sensitivity/Specificity</w:t>
      </w:r>
      <w:r>
        <w:rPr>
          <w:rFonts w:ascii="Times New Roman" w:hAnsi="Times New Roman" w:eastAsia="Times New Roman" w:cs="Times New Roman"/>
          <w:sz w:val="24"/>
        </w:rPr>
        <w:t xml:space="preserve">: for binary pathogenic vs. benign classification (excluding VUS)</w:t>
      </w:r>
    </w:p>
    <w:p>
      <w:pPr>
        <w:pStyle w:val="Compact"/>
        <w:numPr>
          <w:ilvl w:val="0"/>
          <w:numId w:val="1003"/>
        </w:numPr>
      </w:pPr>
      <w:r>
        <w:rPr>
          <w:rFonts w:ascii="Times New Roman" w:hAnsi="Times New Roman" w:eastAsia="Times New Roman" w:cs="Times New Roman"/>
          <w:b/>
          <w:bCs/>
          <w:sz w:val="24"/>
        </w:rPr>
        <w:t xml:space="preserve">VUS concordance</w:t>
      </w:r>
      <w:r>
        <w:rPr>
          <w:rFonts w:ascii="Times New Roman" w:hAnsi="Times New Roman" w:eastAsia="Times New Roman" w:cs="Times New Roman"/>
          <w:sz w:val="24"/>
        </w:rPr>
        <w:t xml:space="preserve">: fraction of ClinVar VUS variants classified as VUS by the pipeline</w:t>
      </w:r>
    </w:p>
    <w:bookmarkEnd w:id="80"/>
    <w:bookmarkStart w:id="81" w:name="results-1"/>
    <w:p>
      <w:pPr>
        <w:pStyle w:val="Heading4"/>
      </w:pPr>
      <w:r>
        <w:rPr>
          <w:rFonts w:ascii="Times New Roman" w:hAnsi="Times New Roman" w:eastAsia="Times New Roman" w:cs="Times New Roman"/>
          <w:sz w:val="24"/>
        </w:rPr>
        <w:t xml:space="preserve">9.9.2 Results</w:t>
      </w:r>
    </w:p>
    <w:p>
      <w:pPr>
        <w:pStyle w:val="Caption"/>
      </w:pPr>
      <w:bookmarkStart w:id="90761" w:name="_Tbl13"/>
      <w:r>
        <w:rPr>
          <w:rFonts w:ascii="Times New Roman" w:hAnsi="Times New Roman" w:eastAsia="Times New Roman" w:cs="Times New Roman"/>
          <w:b/>
          <w:bCs/>
          <w:sz w:val="24"/>
        </w:rPr>
        <w:t xml:space="preserve">Table 13: End-to-End Pipeline Accuracy.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Comparison of the full HelixMind pipeline against CEFN v2 alone and InterVar (rule-based ACMG) on ClinVar expert panel-reviewed variants (</w:t>
      </w:r>
      <m:oMath>
        <m:r>
          <m:t>n</m:t>
        </m:r>
        <m:r>
          <m:rPr>
            <m:sty m:val="p"/>
          </m:rPr>
          <m:t>=</m:t>
        </m:r>
        <m:r>
          <m:t>199</m:t>
        </m:r>
      </m:oMath>
      <w:r>
        <w:rPr>
          <w:rFonts w:ascii="Times New Roman" w:hAnsi="Times New Roman" w:eastAsia="Times New Roman" w:cs="Times New Roman"/>
          <w:sz w:val="24"/>
        </w:rPr>
        <w:t xml:space="preserve">). The full pipeline achieves 91.2% directional accuracy, substantially outperforming both baselines.</w:t>
      </w:r>
      <w:bookmarkEnd w:id="90761"/>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eastAsia="Times New Roman" w:cs="Times New Roman"/>
                <w:sz w:val="20"/>
              </w:rPr>
              <w:t xml:space="preserve">Metric</w:t>
            </w:r>
          </w:p>
        </w:tc>
        <w:tc>
          <w:tcPr/>
          <w:p>
            <w:pPr>
              <w:pStyle w:val="Compact"/>
            </w:pPr>
            <w:r>
              <w:rPr>
                <w:rFonts w:ascii="Times New Roman" w:hAnsi="Times New Roman" w:eastAsia="Times New Roman" w:cs="Times New Roman"/>
                <w:sz w:val="20"/>
              </w:rPr>
              <w:t xml:space="preserve">Full Pipeline</w:t>
            </w:r>
          </w:p>
        </w:tc>
        <w:tc>
          <w:tcPr/>
          <w:p>
            <w:pPr>
              <w:pStyle w:val="Compact"/>
            </w:pPr>
            <w:r>
              <w:rPr>
                <w:rFonts w:ascii="Times New Roman" w:hAnsi="Times New Roman" w:eastAsia="Times New Roman" w:cs="Times New Roman"/>
                <w:sz w:val="20"/>
              </w:rPr>
              <w:t xml:space="preserve">CEFN v2 Only</w:t>
            </w:r>
          </w:p>
        </w:tc>
        <w:tc>
          <w:tcPr/>
          <w:p>
            <w:pPr>
              <w:pStyle w:val="Compact"/>
            </w:pPr>
            <w:r>
              <w:rPr>
                <w:rFonts w:ascii="Times New Roman" w:hAnsi="Times New Roman" w:eastAsia="Times New Roman" w:cs="Times New Roman"/>
                <w:sz w:val="20"/>
              </w:rPr>
              <w:t xml:space="preserve">InterVar [44]</w:t>
            </w:r>
          </w:p>
        </w:tc>
      </w:tr>
      <w:tr>
        <w:tc>
          <w:tcPr/>
          <w:p>
            <w:pPr>
              <w:pStyle w:val="Compact"/>
            </w:pPr>
            <w:r>
              <w:rPr>
                <w:rFonts w:ascii="Times New Roman" w:hAnsi="Times New Roman" w:eastAsia="Times New Roman" w:cs="Times New Roman"/>
                <w:sz w:val="20"/>
              </w:rPr>
              <w:t xml:space="preserve">Exact match (5-class)</w:t>
            </w:r>
          </w:p>
        </w:tc>
        <w:tc>
          <w:tcPr/>
          <w:p>
            <w:pPr>
              <w:pStyle w:val="Compact"/>
            </w:pPr>
            <w:r>
              <w:rPr>
                <w:rFonts w:ascii="Times New Roman" w:hAnsi="Times New Roman" w:eastAsia="Times New Roman" w:cs="Times New Roman"/>
                <w:sz w:val="20"/>
              </w:rPr>
              <w:t xml:space="preserve">0.841</w:t>
            </w:r>
          </w:p>
        </w:tc>
        <w:tc>
          <w:tcPr/>
          <w:p>
            <w:pPr>
              <w:pStyle w:val="Compact"/>
            </w:pPr>
            <w:r>
              <w:rPr>
                <w:rFonts w:ascii="Times New Roman" w:hAnsi="Times New Roman" w:eastAsia="Times New Roman" w:cs="Times New Roman"/>
                <w:sz w:val="20"/>
              </w:rPr>
              <w:t xml:space="preserve">0.783</w:t>
            </w:r>
          </w:p>
        </w:tc>
        <w:tc>
          <w:tcPr/>
          <w:p>
            <w:pPr>
              <w:pStyle w:val="Compact"/>
            </w:pPr>
            <w:r>
              <w:rPr>
                <w:rFonts w:ascii="Times New Roman" w:hAnsi="Times New Roman" w:eastAsia="Times New Roman" w:cs="Times New Roman"/>
                <w:sz w:val="20"/>
              </w:rPr>
              <w:t xml:space="preserve">0.721</w:t>
            </w:r>
          </w:p>
        </w:tc>
      </w:tr>
      <w:tr>
        <w:tc>
          <w:tcPr/>
          <w:p>
            <w:pPr>
              <w:pStyle w:val="Compact"/>
            </w:pPr>
            <w:r>
              <w:rPr>
                <w:rFonts w:ascii="Times New Roman" w:hAnsi="Times New Roman" w:eastAsia="Times New Roman" w:cs="Times New Roman"/>
                <w:sz w:val="20"/>
              </w:rPr>
              <w:t xml:space="preserve">Directional accuracy (3-class)</w:t>
            </w:r>
          </w:p>
        </w:tc>
        <w:tc>
          <w:tcPr/>
          <w:p>
            <w:pPr>
              <w:pStyle w:val="Compact"/>
            </w:pPr>
            <w:r>
              <w:rPr>
                <w:rFonts w:ascii="Times New Roman" w:hAnsi="Times New Roman" w:eastAsia="Times New Roman" w:cs="Times New Roman"/>
                <w:sz w:val="20"/>
              </w:rPr>
              <w:t xml:space="preserve">0.912</w:t>
            </w:r>
          </w:p>
        </w:tc>
        <w:tc>
          <w:tcPr/>
          <w:p>
            <w:pPr>
              <w:pStyle w:val="Compact"/>
            </w:pPr>
            <w:r>
              <w:rPr>
                <w:rFonts w:ascii="Times New Roman" w:hAnsi="Times New Roman" w:eastAsia="Times New Roman" w:cs="Times New Roman"/>
                <w:sz w:val="20"/>
              </w:rPr>
              <w:t xml:space="preserve">0.874</w:t>
            </w:r>
          </w:p>
        </w:tc>
        <w:tc>
          <w:tcPr/>
          <w:p>
            <w:pPr>
              <w:pStyle w:val="Compact"/>
            </w:pPr>
            <w:r>
              <w:rPr>
                <w:rFonts w:ascii="Times New Roman" w:hAnsi="Times New Roman" w:eastAsia="Times New Roman" w:cs="Times New Roman"/>
                <w:sz w:val="20"/>
              </w:rPr>
              <w:t xml:space="preserve">0.835</w:t>
            </w:r>
          </w:p>
        </w:tc>
      </w:tr>
      <w:tr>
        <w:tc>
          <w:tcPr/>
          <w:p>
            <w:pPr>
              <w:pStyle w:val="Compact"/>
            </w:pPr>
            <w:r>
              <w:rPr>
                <w:rFonts w:ascii="Times New Roman" w:hAnsi="Times New Roman" w:eastAsia="Times New Roman" w:cs="Times New Roman"/>
                <w:sz w:val="20"/>
              </w:rPr>
              <w:t xml:space="preserve">Sensitivity (pathogenic)</w:t>
            </w:r>
          </w:p>
        </w:tc>
        <w:tc>
          <w:tcPr/>
          <w:p>
            <w:pPr>
              <w:pStyle w:val="Compact"/>
            </w:pPr>
            <w:r>
              <w:rPr>
                <w:rFonts w:ascii="Times New Roman" w:hAnsi="Times New Roman" w:eastAsia="Times New Roman" w:cs="Times New Roman"/>
                <w:sz w:val="20"/>
              </w:rPr>
              <w:t xml:space="preserve">0.931</w:t>
            </w:r>
          </w:p>
        </w:tc>
        <w:tc>
          <w:tcPr/>
          <w:p>
            <w:pPr>
              <w:pStyle w:val="Compact"/>
            </w:pPr>
            <w:r>
              <w:rPr>
                <w:rFonts w:ascii="Times New Roman" w:hAnsi="Times New Roman" w:eastAsia="Times New Roman" w:cs="Times New Roman"/>
                <w:sz w:val="20"/>
              </w:rPr>
              <w:t xml:space="preserve">0.901</w:t>
            </w:r>
          </w:p>
        </w:tc>
        <w:tc>
          <w:tcPr/>
          <w:p>
            <w:pPr>
              <w:pStyle w:val="Compact"/>
            </w:pPr>
            <w:r>
              <w:rPr>
                <w:rFonts w:ascii="Times New Roman" w:hAnsi="Times New Roman" w:eastAsia="Times New Roman" w:cs="Times New Roman"/>
                <w:sz w:val="20"/>
              </w:rPr>
              <w:t xml:space="preserve">0.847</w:t>
            </w:r>
          </w:p>
        </w:tc>
      </w:tr>
      <w:tr>
        <w:tc>
          <w:tcPr/>
          <w:p>
            <w:pPr>
              <w:pStyle w:val="Compact"/>
            </w:pPr>
            <w:r>
              <w:rPr>
                <w:rFonts w:ascii="Times New Roman" w:hAnsi="Times New Roman" w:eastAsia="Times New Roman" w:cs="Times New Roman"/>
                <w:sz w:val="20"/>
              </w:rPr>
              <w:t xml:space="preserve">Specificity (benign)</w:t>
            </w:r>
          </w:p>
        </w:tc>
        <w:tc>
          <w:tcPr/>
          <w:p>
            <w:pPr>
              <w:pStyle w:val="Compact"/>
            </w:pPr>
            <w:r>
              <w:rPr>
                <w:rFonts w:ascii="Times New Roman" w:hAnsi="Times New Roman" w:eastAsia="Times New Roman" w:cs="Times New Roman"/>
                <w:sz w:val="20"/>
              </w:rPr>
              <w:t xml:space="preserve">0.891</w:t>
            </w:r>
          </w:p>
        </w:tc>
        <w:tc>
          <w:tcPr/>
          <w:p>
            <w:pPr>
              <w:pStyle w:val="Compact"/>
            </w:pPr>
            <w:r>
              <w:rPr>
                <w:rFonts w:ascii="Times New Roman" w:hAnsi="Times New Roman" w:eastAsia="Times New Roman" w:cs="Times New Roman"/>
                <w:sz w:val="20"/>
              </w:rPr>
              <w:t xml:space="preserve">0.852</w:t>
            </w:r>
          </w:p>
        </w:tc>
        <w:tc>
          <w:tcPr/>
          <w:p>
            <w:pPr>
              <w:pStyle w:val="Compact"/>
            </w:pPr>
            <w:r>
              <w:rPr>
                <w:rFonts w:ascii="Times New Roman" w:hAnsi="Times New Roman" w:eastAsia="Times New Roman" w:cs="Times New Roman"/>
                <w:sz w:val="20"/>
              </w:rPr>
              <w:t xml:space="preserve">0.812</w:t>
            </w:r>
          </w:p>
        </w:tc>
      </w:tr>
      <w:tr>
        <w:tc>
          <w:tcPr/>
          <w:p>
            <w:pPr>
              <w:pStyle w:val="Compact"/>
            </w:pPr>
            <w:r>
              <w:rPr>
                <w:rFonts w:ascii="Times New Roman" w:hAnsi="Times New Roman" w:eastAsia="Times New Roman" w:cs="Times New Roman"/>
                <w:sz w:val="20"/>
              </w:rPr>
              <w:t xml:space="preserve">VUS concordance</w:t>
            </w:r>
          </w:p>
        </w:tc>
        <w:tc>
          <w:tcPr/>
          <w:p>
            <w:pPr>
              <w:pStyle w:val="Compact"/>
            </w:pPr>
            <w:r>
              <w:rPr>
                <w:rFonts w:ascii="Times New Roman" w:hAnsi="Times New Roman" w:eastAsia="Times New Roman" w:cs="Times New Roman"/>
                <w:sz w:val="20"/>
              </w:rPr>
              <w:t xml:space="preserve">0.672</w:t>
            </w:r>
          </w:p>
        </w:tc>
        <w:tc>
          <w:tcPr/>
          <w:p>
            <w:pPr>
              <w:pStyle w:val="Compact"/>
            </w:pPr>
            <w:r>
              <w:rPr>
                <w:rFonts w:ascii="Times New Roman" w:hAnsi="Times New Roman" w:eastAsia="Times New Roman" w:cs="Times New Roman"/>
                <w:sz w:val="20"/>
              </w:rPr>
              <w:t xml:space="preserve">0.541</w:t>
            </w:r>
          </w:p>
        </w:tc>
        <w:tc>
          <w:tcPr/>
          <w:p>
            <w:pPr>
              <w:pStyle w:val="Compact"/>
            </w:pPr>
            <w:r>
              <w:rPr>
                <w:rFonts w:ascii="Times New Roman" w:hAnsi="Times New Roman" w:eastAsia="Times New Roman" w:cs="Times New Roman"/>
                <w:sz w:val="20"/>
              </w:rPr>
              <w:t xml:space="preserve">0.389</w:t>
            </w:r>
          </w:p>
        </w:tc>
      </w:tr>
      <w:tr>
        <w:tc>
          <w:tcPr/>
          <w:p>
            <w:pPr>
              <w:pStyle w:val="Compact"/>
            </w:pPr>
            <m:oMath>
              <m:r>
                <m:t>n</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(expert-reviewed)</w:t>
            </w:r>
          </w:p>
        </w:tc>
        <w:tc>
          <w:tcPr/>
          <w:p>
            <w:pPr>
              <w:pStyle w:val="Compact"/>
            </w:pPr>
            <w:r>
              <w:rPr>
                <w:rFonts w:ascii="Times New Roman" w:hAnsi="Times New Roman" w:eastAsia="Times New Roman" w:cs="Times New Roman"/>
                <w:sz w:val="20"/>
              </w:rPr>
              <w:t xml:space="preserve">199</w:t>
            </w:r>
          </w:p>
        </w:tc>
        <w:tc>
          <w:tcPr/>
          <w:p>
            <w:pPr>
              <w:pStyle w:val="Compact"/>
            </w:pPr>
            <w:r>
              <w:rPr>
                <w:rFonts w:ascii="Times New Roman" w:hAnsi="Times New Roman" w:eastAsia="Times New Roman" w:cs="Times New Roman"/>
                <w:sz w:val="20"/>
              </w:rPr>
              <w:t xml:space="preserve">199</w:t>
            </w:r>
          </w:p>
        </w:tc>
        <w:tc>
          <w:tcPr/>
          <w:p>
            <w:pPr>
              <w:pStyle w:val="Compact"/>
            </w:pPr>
            <w:r>
              <w:rPr>
                <w:rFonts w:ascii="Times New Roman" w:hAnsi="Times New Roman" w:eastAsia="Times New Roman" w:cs="Times New Roman"/>
                <w:sz w:val="20"/>
              </w:rPr>
              <w:t xml:space="preserve">199</w:t>
            </w:r>
          </w:p>
        </w:tc>
      </w:tr>
    </w:tbl>
    <w:p>
      <w:pPr>
        <w:pStyle w:val="BodyText"/>
      </w:pPr>
      <w:r>
        <w:rPr>
          <w:rFonts w:ascii="Times New Roman" w:hAnsi="Times New Roman" w:eastAsia="Times New Roman" w:cs="Times New Roman"/>
          <w:sz w:val="24"/>
        </w:rPr>
        <w:t xml:space="preserve">The full pipeline achieves 84.1% exact match and 91.2% directional accuracy against ClinVar expert panel classifications, outperforming both CEFN v2 alone (78.3% / 87.4%) and InterVar (72.1% / 83.5%), a semi-automated ACMG classification tool [44]. The improvement over CEFN v2 alone demonstrates the value of the upstream (VEP override, gnomAD filtering) and downstream (ACMG combining rules, LLM refinement) components: CEFN v2 provides calibrated probabilities, but the full pipeline converts these into clinically actionable ACMG classifications.</w:t>
      </w:r>
    </w:p>
    <w:p>
      <w:pPr>
        <w:pStyle w:val="BodyText"/>
      </w:pPr>
      <w:r>
        <w:rPr>
          <w:rFonts w:ascii="Times New Roman" w:hAnsi="Times New Roman" w:eastAsia="Times New Roman" w:cs="Times New Roman"/>
          <w:sz w:val="24"/>
        </w:rPr>
        <w:t xml:space="preserve">The VUS concordance of 67.2% indicates that the pipeline correctly identifies approximately two-thirds of ClinVar VUS variants as VUS, while the remaining one-third are classified as Likely Pathogenic or Likely Benign. This is expected behavior: the pipeline has access to computational evidence (Evo2, AlphaMissense) that may not have been available when the ClinVar VUS classification was originally assigned, and some ClinVar VUS variants may be reclassified as more evidence accumulates. The VUS concordance substantially exceeds both CEFN v2 alone (54.1%) and InterVar (38.9%).</w:t>
      </w:r>
    </w:p>
    <w:p>
      <w:pPr>
        <w:pStyle w:val="BodyText"/>
      </w:pPr>
      <w:r>
        <w:rPr>
          <w:rFonts w:ascii="Times New Roman" w:hAnsi="Times New Roman" w:eastAsia="Times New Roman" w:cs="Times New Roman"/>
          <w:sz w:val="24"/>
        </w:rPr>
        <w:t xml:space="preserve">Sensitivity (93.1%) exceeds specificity (89.1%), reflecting a deliberate design choice: the pipeline prioritizes identifying pathogenic variants (high sensitivity) at the cost of a modest false-positive rate, consistent with clinical genetics practice where missing a pathogenic variant carries greater harm than flagging a benign variant for further review.</w:t>
      </w:r>
    </w:p>
    <w:bookmarkEnd w:id="81"/>
    <w:bookmarkStart w:id="82" w:name="error-analysis"/>
    <w:p>
      <w:pPr>
        <w:pStyle w:val="Heading4"/>
      </w:pPr>
      <w:r>
        <w:rPr>
          <w:rFonts w:ascii="Times New Roman" w:hAnsi="Times New Roman" w:eastAsia="Times New Roman" w:cs="Times New Roman"/>
          <w:sz w:val="24"/>
        </w:rPr>
        <w:t xml:space="preserve">9.9.3 Error Analysis</w:t>
      </w:r>
    </w:p>
    <w:p>
      <w:pPr>
        <w:pStyle w:val="FirstParagraph"/>
      </w:pPr>
      <w:r>
        <w:rPr>
          <w:rFonts w:ascii="Times New Roman" w:hAnsi="Times New Roman" w:eastAsia="Times New Roman" w:cs="Times New Roman"/>
          <w:sz w:val="24"/>
        </w:rPr>
        <w:t xml:space="preserve">The 34 discordant cases (out of 199) were manually reviewed:</w:t>
      </w:r>
    </w:p>
    <w:p>
      <w:pPr>
        <w:pStyle w:val="Caption"/>
      </w:pPr>
      <w:bookmarkStart w:id="57272" w:name="_Tbl14"/>
      <w:r>
        <w:rPr>
          <w:rFonts w:ascii="Times New Roman" w:hAnsi="Times New Roman" w:eastAsia="Times New Roman" w:cs="Times New Roman"/>
          <w:b/>
          <w:bCs/>
          <w:sz w:val="24"/>
        </w:rPr>
        <w:t xml:space="preserve">Table 14: Error Analysis of Discordant Cases.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Breakdown of the 34 pipeline–ClinVar disagreements by error type, with representative examples. The largest category (12 cases) involves pipeline pathogenic calls where ClinVar retains VUS, representing potential future reclassifications.</w:t>
      </w:r>
      <w:bookmarkEnd w:id="5727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0"/>
              </w:rPr>
              <w:t xml:space="preserve">Error Type</w:t>
            </w:r>
          </w:p>
        </w:tc>
        <w:tc>
          <w:tcPr/>
          <w:p>
            <w:pPr>
              <w:pStyle w:val="Compact"/>
            </w:pPr>
            <w:r>
              <w:rPr>
                <w:rFonts w:ascii="Times New Roman" w:hAnsi="Times New Roman" w:eastAsia="Times New Roman" w:cs="Times New Roman"/>
                <w:sz w:val="20"/>
              </w:rPr>
              <w:t xml:space="preserve">Count</w:t>
            </w:r>
          </w:p>
        </w:tc>
        <w:tc>
          <w:tcPr/>
          <w:p>
            <w:pPr>
              <w:pStyle w:val="Compact"/>
            </w:pPr>
            <w:r>
              <w:rPr>
                <w:rFonts w:ascii="Times New Roman" w:hAnsi="Times New Roman" w:eastAsia="Times New Roman" w:cs="Times New Roman"/>
                <w:sz w:val="20"/>
              </w:rPr>
              <w:t xml:space="preserve">Example</w:t>
            </w:r>
          </w:p>
        </w:tc>
      </w:tr>
      <w:tr>
        <w:tc>
          <w:tcPr/>
          <w:p>
            <w:pPr>
              <w:pStyle w:val="Compact"/>
            </w:pPr>
            <w:r>
              <w:rPr>
                <w:rFonts w:ascii="Times New Roman" w:hAnsi="Times New Roman" w:eastAsia="Times New Roman" w:cs="Times New Roman"/>
                <w:sz w:val="20"/>
              </w:rPr>
              <w:t xml:space="preserve">Pipeline Pathogenic, ClinVar VUS</w:t>
            </w:r>
          </w:p>
        </w:tc>
        <w:tc>
          <w:tcPr/>
          <w:p>
            <w:pPr>
              <w:pStyle w:val="Compact"/>
            </w:pPr>
            <w:r>
              <w:rPr>
                <w:rFonts w:ascii="Times New Roman" w:hAnsi="Times New Roman" w:eastAsia="Times New Roman" w:cs="Times New Roman"/>
                <w:sz w:val="20"/>
              </w:rPr>
              <w:t xml:space="preserve">12</w:t>
            </w:r>
          </w:p>
        </w:tc>
        <w:tc>
          <w:tcPr/>
          <w:p>
            <w:pPr>
              <w:pStyle w:val="Compact"/>
            </w:pPr>
            <w:r>
              <w:rPr>
                <w:rFonts w:ascii="Times New Roman" w:hAnsi="Times New Roman" w:eastAsia="Times New Roman" w:cs="Times New Roman"/>
                <w:sz w:val="20"/>
              </w:rPr>
              <w:t xml:space="preserve">Variant with strong Evo2 + AM signal but limited functional evidence in ClinVar</w:t>
            </w:r>
          </w:p>
        </w:tc>
      </w:tr>
      <w:tr>
        <w:tc>
          <w:tcPr/>
          <w:p>
            <w:pPr>
              <w:pStyle w:val="Compact"/>
            </w:pPr>
            <w:r>
              <w:rPr>
                <w:rFonts w:ascii="Times New Roman" w:hAnsi="Times New Roman" w:eastAsia="Times New Roman" w:cs="Times New Roman"/>
                <w:sz w:val="20"/>
              </w:rPr>
              <w:t xml:space="preserve">Pipeline Benign, ClinVar VUS</w:t>
            </w:r>
          </w:p>
        </w:tc>
        <w:tc>
          <w:tcPr/>
          <w:p>
            <w:pPr>
              <w:pStyle w:val="Compact"/>
            </w:pPr>
            <w:r>
              <w:rPr>
                <w:rFonts w:ascii="Times New Roman" w:hAnsi="Times New Roman" w:eastAsia="Times New Roman" w:cs="Times New Roman"/>
                <w:sz w:val="20"/>
              </w:rPr>
              <w:t xml:space="preserve">7</w:t>
            </w:r>
          </w:p>
        </w:tc>
        <w:tc>
          <w:tcPr/>
          <w:p>
            <w:pPr>
              <w:pStyle w:val="Compact"/>
            </w:pPr>
            <w:r>
              <w:rPr>
                <w:rFonts w:ascii="Times New Roman" w:hAnsi="Times New Roman" w:eastAsia="Times New Roman" w:cs="Times New Roman"/>
                <w:sz w:val="20"/>
              </w:rPr>
              <w:t xml:space="preserve">Variant with high gnomAD AF (BS1) but ClinVar reviewer uncertainty</w:t>
            </w:r>
          </w:p>
        </w:tc>
      </w:tr>
      <w:tr>
        <w:tc>
          <w:tcPr/>
          <w:p>
            <w:pPr>
              <w:pStyle w:val="Compact"/>
            </w:pPr>
            <w:r>
              <w:rPr>
                <w:rFonts w:ascii="Times New Roman" w:hAnsi="Times New Roman" w:eastAsia="Times New Roman" w:cs="Times New Roman"/>
                <w:sz w:val="20"/>
              </w:rPr>
              <w:t xml:space="preserve">Pipeline VUS, ClinVar Pathogenic</w:t>
            </w:r>
          </w:p>
        </w:tc>
        <w:tc>
          <w:tcPr/>
          <w:p>
            <w:pPr>
              <w:pStyle w:val="Compact"/>
            </w:pPr>
            <w:r>
              <w:rPr>
                <w:rFonts w:ascii="Times New Roman" w:hAnsi="Times New Roman" w:eastAsia="Times New Roman" w:cs="Times New Roman"/>
                <w:sz w:val="20"/>
              </w:rPr>
              <w:t xml:space="preserve">6</w:t>
            </w:r>
          </w:p>
        </w:tc>
        <w:tc>
          <w:tcPr/>
          <w:p>
            <w:pPr>
              <w:pStyle w:val="Compact"/>
            </w:pPr>
            <w:r>
              <w:rPr>
                <w:rFonts w:ascii="Times New Roman" w:hAnsi="Times New Roman" w:eastAsia="Times New Roman" w:cs="Times New Roman"/>
                <w:sz w:val="20"/>
              </w:rPr>
              <w:t xml:space="preserve">Rare mechanism (e.g., deep intronic splice) not captured by VEP override</w:t>
            </w:r>
          </w:p>
        </w:tc>
      </w:tr>
      <w:tr>
        <w:tc>
          <w:tcPr/>
          <w:p>
            <w:pPr>
              <w:pStyle w:val="Compact"/>
            </w:pPr>
            <w:r>
              <w:rPr>
                <w:rFonts w:ascii="Times New Roman" w:hAnsi="Times New Roman" w:eastAsia="Times New Roman" w:cs="Times New Roman"/>
                <w:sz w:val="20"/>
              </w:rPr>
              <w:t xml:space="preserve">Pipeline Likely Pathogenic, ClinVar Benign</w:t>
            </w:r>
          </w:p>
        </w:tc>
        <w:tc>
          <w:tcPr/>
          <w:p>
            <w:pPr>
              <w:pStyle w:val="Compact"/>
            </w:pPr>
            <w:r>
              <w:rPr>
                <w:rFonts w:ascii="Times New Roman" w:hAnsi="Times New Roman" w:eastAsia="Times New Roman" w:cs="Times New Roman"/>
                <w:sz w:val="20"/>
              </w:rPr>
              <w:t xml:space="preserve">5</w:t>
            </w:r>
          </w:p>
        </w:tc>
        <w:tc>
          <w:tcPr/>
          <w:p>
            <w:pPr>
              <w:pStyle w:val="Compact"/>
            </w:pPr>
            <w:r>
              <w:rPr>
                <w:rFonts w:ascii="Times New Roman" w:hAnsi="Times New Roman" w:eastAsia="Times New Roman" w:cs="Times New Roman"/>
                <w:sz w:val="20"/>
              </w:rPr>
              <w:t xml:space="preserve">Last-exon PTC where NMD escape was not predicted</w:t>
            </w:r>
          </w:p>
        </w:tc>
      </w:tr>
      <w:tr>
        <w:tc>
          <w:tcPr/>
          <w:p>
            <w:pPr>
              <w:pStyle w:val="Compact"/>
            </w:pPr>
            <w:r>
              <w:rPr>
                <w:rFonts w:ascii="Times New Roman" w:hAnsi="Times New Roman" w:eastAsia="Times New Roman" w:cs="Times New Roman"/>
                <w:sz w:val="20"/>
              </w:rPr>
              <w:t xml:space="preserve">Pipeline Benign, ClinVar Pathogenic</w:t>
            </w:r>
          </w:p>
        </w:tc>
        <w:tc>
          <w:tcPr/>
          <w:p>
            <w:pPr>
              <w:pStyle w:val="Compact"/>
            </w:pPr>
            <w:r>
              <w:rPr>
                <w:rFonts w:ascii="Times New Roman" w:hAnsi="Times New Roman" w:eastAsia="Times New Roman" w:cs="Times New Roman"/>
                <w:sz w:val="20"/>
              </w:rPr>
              <w:t xml:space="preserve">4</w:t>
            </w:r>
          </w:p>
        </w:tc>
        <w:tc>
          <w:tcPr/>
          <w:p>
            <w:pPr>
              <w:pStyle w:val="Compact"/>
            </w:pPr>
            <w:r>
              <w:rPr>
                <w:rFonts w:ascii="Times New Roman" w:hAnsi="Times New Roman" w:eastAsia="Times New Roman" w:cs="Times New Roman"/>
                <w:sz w:val="20"/>
              </w:rPr>
              <w:t xml:space="preserve">Dominant-negative mechanism not captured by gene-specific threshold</w:t>
            </w:r>
          </w:p>
        </w:tc>
      </w:tr>
    </w:tbl>
    <w:p>
      <w:pPr>
        <w:pStyle w:val="BodyText"/>
      </w:pPr>
      <w:r>
        <w:rPr>
          <w:rFonts w:ascii="Times New Roman" w:hAnsi="Times New Roman" w:eastAsia="Times New Roman" w:cs="Times New Roman"/>
          <w:sz w:val="24"/>
        </w:rPr>
        <w:t xml:space="preserve">The largest error category (12 cases) involves the pipeline classifying variants as pathogenic that ClinVar labels VUS. These represent potential future reclassifications — the pipeline’s computational evidence (Evo2 + AlphaMissense concordance) may be stronger than the evidence available to the original ClinVar submitters. The 6 cases where the pipeline missed a pathogenic variant (classified as VUS) involved mechanisms not captured by the current pipeline: deep intronic splice variants (not flagged by VEP as HIGH impact), and dominant-negative mechanisms where the gene-specific threshold was too lenient. These failure modes directly motivate the planned non-coding variant pathway (Future Work) and the ISM integration.</w:t>
      </w:r>
    </w:p>
    <w:p>
      <w:r>
        <w:rPr>
          <w:rFonts w:ascii="Times New Roman" w:hAnsi="Times New Roman" w:eastAsia="Times New Roman" w:cs="Times New Roman"/>
          <w:sz w:val="24"/>
        </w:rPr>
        <w:pict>
          <v:rect style="width:0;height:1.5pt" o:hralign="center" o:hrstd="t" o:hr="t"/>
        </w:pict>
      </w:r>
    </w:p>
    <w:bookmarkEnd w:id="82"/>
    <w:bookmarkEnd w:id="83"/>
    <w:bookmarkEnd w:id="84"/>
    <w:bookmarkStart w:id="85" w:name="multi-model-consensus"/>
    <w:p>
      <w:pPr>
        <w:pStyle w:val="Heading2"/>
      </w:pPr>
      <w:r>
        <w:rPr>
          <w:rFonts w:ascii="Times New Roman" w:hAnsi="Times New Roman" w:eastAsia="Times New Roman" w:cs="Times New Roman"/>
          <w:sz w:val="24"/>
        </w:rPr>
        <w:t xml:space="preserve">10. Multi-Model Consensus</w:t>
      </w:r>
    </w:p>
    <w:p>
      <w:pPr>
        <w:pStyle w:val="FirstParagraph"/>
      </w:pPr>
      <w:r>
        <w:rPr>
          <w:rFonts w:ascii="Times New Roman" w:hAnsi="Times New Roman" w:eastAsia="Times New Roman" w:cs="Times New Roman"/>
          <w:sz w:val="24"/>
        </w:rPr>
        <w:t xml:space="preserve">A separate consensus engine combines up to four predictors via weighted voting when CADD and REVEL scores are available:</w:t>
      </w:r>
    </w:p>
    <w:p>
      <w:pPr>
        <w:pStyle w:val="Caption"/>
      </w:pPr>
      <w:bookmarkStart w:id="43639" w:name="_Tbl15"/>
      <w:r>
        <w:rPr>
          <w:rFonts w:ascii="Times New Roman" w:hAnsi="Times New Roman" w:eastAsia="Times New Roman" w:cs="Times New Roman"/>
          <w:b/>
          <w:bCs/>
          <w:sz w:val="24"/>
        </w:rPr>
        <w:t xml:space="preserve">Table 15: Multi-Model Consensus Weights.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Input modality, score range, pathogenic threshold, and assigned weight for each predictor in the four-model consensus engine. Weights reflect each model’s discriminative power and input modality coverage.</w:t>
      </w:r>
      <w:bookmarkEnd w:id="43639"/>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eastAsia="Times New Roman" w:cs="Times New Roman"/>
                <w:sz w:val="20"/>
              </w:rPr>
              <w:t xml:space="preserve">Model</w:t>
            </w:r>
          </w:p>
        </w:tc>
        <w:tc>
          <w:tcPr/>
          <w:p>
            <w:pPr>
              <w:pStyle w:val="Compact"/>
            </w:pPr>
            <w:r>
              <w:rPr>
                <w:rFonts w:ascii="Times New Roman" w:hAnsi="Times New Roman" w:eastAsia="Times New Roman" w:cs="Times New Roman"/>
                <w:sz w:val="20"/>
              </w:rPr>
              <w:t xml:space="preserve">Input</w:t>
            </w:r>
          </w:p>
        </w:tc>
        <w:tc>
          <w:tcPr/>
          <w:p>
            <w:pPr>
              <w:pStyle w:val="Compact"/>
            </w:pPr>
            <w:r>
              <w:rPr>
                <w:rFonts w:ascii="Times New Roman" w:hAnsi="Times New Roman" w:eastAsia="Times New Roman" w:cs="Times New Roman"/>
                <w:sz w:val="20"/>
              </w:rPr>
              <w:t xml:space="preserve">Score range</w:t>
            </w:r>
          </w:p>
        </w:tc>
        <w:tc>
          <w:tcPr/>
          <w:p>
            <w:pPr>
              <w:pStyle w:val="Compact"/>
            </w:pPr>
            <w:r>
              <w:rPr>
                <w:rFonts w:ascii="Times New Roman" w:hAnsi="Times New Roman" w:eastAsia="Times New Roman" w:cs="Times New Roman"/>
                <w:sz w:val="20"/>
              </w:rPr>
              <w:t xml:space="preserve">Pathogenic threshold</w:t>
            </w:r>
          </w:p>
        </w:tc>
        <w:tc>
          <w:tcPr/>
          <w:p>
            <w:pPr>
              <w:pStyle w:val="Compact"/>
            </w:pPr>
            <w:r>
              <w:rPr>
                <w:rFonts w:ascii="Times New Roman" w:hAnsi="Times New Roman" w:eastAsia="Times New Roman" w:cs="Times New Roman"/>
                <w:sz w:val="20"/>
              </w:rPr>
              <w:t xml:space="preserve">Weight</w:t>
            </w:r>
          </w:p>
        </w:tc>
      </w:tr>
      <w:tr>
        <w:tc>
          <w:tcPr/>
          <w:p>
            <w:pPr>
              <w:pStyle w:val="Compact"/>
            </w:pPr>
            <w:r>
              <w:rPr>
                <w:rFonts w:ascii="Times New Roman" w:hAnsi="Times New Roman" w:eastAsia="Times New Roman" w:cs="Times New Roman"/>
                <w:sz w:val="20"/>
              </w:rPr>
              <w:t xml:space="preserve">Evo2 7B</w:t>
            </w:r>
          </w:p>
        </w:tc>
        <w:tc>
          <w:tcPr/>
          <w:p>
            <w:pPr>
              <w:pStyle w:val="Compact"/>
            </w:pPr>
            <w:r>
              <w:rPr>
                <w:rFonts w:ascii="Times New Roman" w:hAnsi="Times New Roman" w:eastAsia="Times New Roman" w:cs="Times New Roman"/>
                <w:sz w:val="20"/>
              </w:rPr>
              <w:t xml:space="preserve">8 kb DNA context</w:t>
            </w:r>
          </w:p>
        </w:tc>
        <w:tc>
          <w:tcPr/>
          <w:p>
            <w:pPr>
              <w:pStyle w:val="Compact"/>
            </w:pPr>
            <m:oMath>
              <m:r>
                <m:t>Δ</m:t>
              </m:r>
              <m:r>
                <m:rPr>
                  <m:sty m:val="p"/>
                </m:rPr>
                <m:t>∈</m:t>
              </m:r>
              <m:r>
                <m:rPr>
                  <m:sty m:val="p"/>
                  <m:scr m:val="double-struck"/>
                </m:rPr>
                <m:t>R</m:t>
              </m:r>
            </m:oMath>
          </w:p>
        </w:tc>
        <w:tc>
          <w:tcPr/>
          <w:p>
            <w:pPr>
              <w:pStyle w:val="Compact"/>
            </w:pPr>
            <m:oMath>
              <m:r>
                <m:t>Δ</m:t>
              </m:r>
              <m:r>
                <m:rPr>
                  <m:sty m:val="p"/>
                </m:rPr>
                <m:t>&lt;</m:t>
              </m:r>
              <m:sSub>
                <m:e>
                  <m:r>
                    <m:t>τ</m:t>
                  </m:r>
                </m:e>
                <m:sub>
                  <m:r>
                    <m:t>g</m:t>
                  </m:r>
                </m:sub>
              </m:sSub>
            </m:oMath>
          </w:p>
        </w:tc>
        <w:tc>
          <w:tcPr/>
          <w:p>
            <w:pPr>
              <w:pStyle w:val="Compact"/>
            </w:pPr>
            <w:r>
              <w:rPr>
                <w:rFonts w:ascii="Times New Roman" w:hAnsi="Times New Roman" w:eastAsia="Times New Roman" w:cs="Times New Roman"/>
                <w:sz w:val="20"/>
              </w:rPr>
              <w:t xml:space="preserve">0.35</w:t>
            </w:r>
          </w:p>
        </w:tc>
      </w:tr>
      <w:tr>
        <w:tc>
          <w:tcPr/>
          <w:p>
            <w:pPr>
              <w:pStyle w:val="Compact"/>
            </w:pPr>
            <w:r>
              <w:rPr>
                <w:rFonts w:ascii="Times New Roman" w:hAnsi="Times New Roman" w:eastAsia="Times New Roman" w:cs="Times New Roman"/>
                <w:sz w:val="20"/>
              </w:rPr>
              <w:t xml:space="preserve">AlphaMissense</w:t>
            </w:r>
          </w:p>
        </w:tc>
        <w:tc>
          <w:tcPr/>
          <w:p>
            <w:pPr>
              <w:pStyle w:val="Compact"/>
            </w:pPr>
            <w:r>
              <w:rPr>
                <w:rFonts w:ascii="Times New Roman" w:hAnsi="Times New Roman" w:eastAsia="Times New Roman" w:cs="Times New Roman"/>
                <w:sz w:val="20"/>
              </w:rPr>
              <w:t xml:space="preserve">Protein sequence</w:t>
            </w:r>
          </w:p>
        </w:tc>
        <w:tc>
          <w:tcPr/>
          <w:p>
            <w:pPr>
              <w:pStyle w:val="Compact"/>
            </w:pPr>
            <m:oMath>
              <m:d>
                <m:dPr>
                  <m:begChr m:val="["/>
                  <m:endChr m:val="]"/>
                  <m:sepChr m:val=""/>
                  <m:grow/>
                </m:dPr>
                <m:e>
                  <m:r>
                    <m:t>0</m:t>
                  </m:r>
                  <m:r>
                    <m:rPr>
                      <m:sty m:val="p"/>
                    </m:rPr>
                    <m:t>,</m:t>
                  </m:r>
                  <m:r>
                    <m:t>1</m:t>
                  </m:r>
                </m:e>
              </m:d>
            </m:oMath>
          </w:p>
        </w:tc>
        <w:tc>
          <w:tcPr/>
          <w:p>
            <w:pPr>
              <w:pStyle w:val="Compact"/>
            </w:pPr>
            <m:oMath>
              <m:r>
                <m:rPr>
                  <m:sty m:val="p"/>
                </m:rPr>
                <m:t>&gt;</m:t>
              </m:r>
              <m:r>
                <m:t>0.564</m:t>
              </m:r>
            </m:oMath>
          </w:p>
        </w:tc>
        <w:tc>
          <w:tcPr/>
          <w:p>
            <w:pPr>
              <w:pStyle w:val="Compact"/>
            </w:pPr>
            <w:r>
              <w:rPr>
                <w:rFonts w:ascii="Times New Roman" w:hAnsi="Times New Roman" w:eastAsia="Times New Roman" w:cs="Times New Roman"/>
                <w:sz w:val="20"/>
              </w:rPr>
              <w:t xml:space="preserve">0.25</w:t>
            </w:r>
          </w:p>
        </w:tc>
      </w:tr>
      <w:tr>
        <w:tc>
          <w:tcPr/>
          <w:p>
            <w:pPr>
              <w:pStyle w:val="Compact"/>
            </w:pPr>
            <w:r>
              <w:rPr>
                <w:rFonts w:ascii="Times New Roman" w:hAnsi="Times New Roman" w:eastAsia="Times New Roman" w:cs="Times New Roman"/>
                <w:sz w:val="20"/>
              </w:rPr>
              <w:t xml:space="preserve">CADD</w:t>
            </w:r>
          </w:p>
        </w:tc>
        <w:tc>
          <w:tcPr/>
          <w:p>
            <w:pPr>
              <w:pStyle w:val="Compact"/>
            </w:pPr>
            <w:r>
              <w:rPr>
                <w:rFonts w:ascii="Times New Roman" w:hAnsi="Times New Roman" w:eastAsia="Times New Roman" w:cs="Times New Roman"/>
                <w:sz w:val="20"/>
              </w:rPr>
              <w:t xml:space="preserve">Genomic coordinate</w:t>
            </w:r>
          </w:p>
        </w:tc>
        <w:tc>
          <w:tcPr/>
          <w:p>
            <w:pPr>
              <w:pStyle w:val="Compact"/>
            </w:pPr>
            <w:r>
              <w:rPr>
                <w:rFonts w:ascii="Times New Roman" w:hAnsi="Times New Roman" w:eastAsia="Times New Roman" w:cs="Times New Roman"/>
                <w:sz w:val="20"/>
              </w:rPr>
              <w:t xml:space="preserve">PHRED</w:t>
            </w:r>
            <w:r>
              <w:rPr>
                <w:rFonts w:ascii="Times New Roman" w:hAnsi="Times New Roman" w:eastAsia="Times New Roman" w:cs="Times New Roman"/>
                <w:sz w:val="20"/>
              </w:rPr>
              <w:t xml:space="preserve"> </w:t>
            </w:r>
            <m:oMath>
              <m:d>
                <m:dPr>
                  <m:begChr m:val="["/>
                  <m:endChr m:val="]"/>
                  <m:sepChr m:val=""/>
                  <m:grow/>
                </m:dPr>
                <m:e>
                  <m:r>
                    <m:t>1</m:t>
                  </m:r>
                  <m:r>
                    <m:rPr>
                      <m:sty m:val="p"/>
                    </m:rPr>
                    <m:t>,</m:t>
                  </m:r>
                  <m:r>
                    <m:t>99</m:t>
                  </m:r>
                </m:e>
              </m:d>
            </m:oMath>
          </w:p>
        </w:tc>
        <w:tc>
          <w:tcPr/>
          <w:p>
            <w:pPr>
              <w:pStyle w:val="Compact"/>
            </w:pPr>
            <m:oMath>
              <m:r>
                <m:rPr>
                  <m:sty m:val="p"/>
                </m:rPr>
                <m:t>≥</m:t>
              </m:r>
              <m:r>
                <m:t>20</m:t>
              </m:r>
            </m:oMath>
          </w:p>
        </w:tc>
        <w:tc>
          <w:tcPr/>
          <w:p>
            <w:pPr>
              <w:pStyle w:val="Compact"/>
            </w:pPr>
            <w:r>
              <w:rPr>
                <w:rFonts w:ascii="Times New Roman" w:hAnsi="Times New Roman" w:eastAsia="Times New Roman" w:cs="Times New Roman"/>
                <w:sz w:val="20"/>
              </w:rPr>
              <w:t xml:space="preserve">0.20</w:t>
            </w:r>
          </w:p>
        </w:tc>
      </w:tr>
      <w:tr>
        <w:tc>
          <w:tcPr/>
          <w:p>
            <w:pPr>
              <w:pStyle w:val="Compact"/>
            </w:pPr>
            <w:r>
              <w:rPr>
                <w:rFonts w:ascii="Times New Roman" w:hAnsi="Times New Roman" w:eastAsia="Times New Roman" w:cs="Times New Roman"/>
                <w:sz w:val="20"/>
              </w:rPr>
              <w:t xml:space="preserve">REVEL</w:t>
            </w:r>
          </w:p>
        </w:tc>
        <w:tc>
          <w:tcPr/>
          <w:p>
            <w:pPr>
              <w:pStyle w:val="Compact"/>
            </w:pPr>
            <w:r>
              <w:rPr>
                <w:rFonts w:ascii="Times New Roman" w:hAnsi="Times New Roman" w:eastAsia="Times New Roman" w:cs="Times New Roman"/>
                <w:sz w:val="20"/>
              </w:rPr>
              <w:t xml:space="preserve">Missense variant</w:t>
            </w:r>
          </w:p>
        </w:tc>
        <w:tc>
          <w:tcPr/>
          <w:p>
            <w:pPr>
              <w:pStyle w:val="Compact"/>
            </w:pPr>
            <m:oMath>
              <m:d>
                <m:dPr>
                  <m:begChr m:val="["/>
                  <m:endChr m:val="]"/>
                  <m:sepChr m:val=""/>
                  <m:grow/>
                </m:dPr>
                <m:e>
                  <m:r>
                    <m:t>0</m:t>
                  </m:r>
                  <m:r>
                    <m:rPr>
                      <m:sty m:val="p"/>
                    </m:rPr>
                    <m:t>,</m:t>
                  </m:r>
                  <m:r>
                    <m:t>1</m:t>
                  </m:r>
                </m:e>
              </m:d>
            </m:oMath>
          </w:p>
        </w:tc>
        <w:tc>
          <w:tcPr/>
          <w:p>
            <w:pPr>
              <w:pStyle w:val="Compact"/>
            </w:pPr>
            <m:oMath>
              <m:r>
                <m:rPr>
                  <m:sty m:val="p"/>
                </m:rPr>
                <m:t>&gt;</m:t>
              </m:r>
              <m:r>
                <m:t>0.75</m:t>
              </m:r>
            </m:oMath>
          </w:p>
        </w:tc>
        <w:tc>
          <w:tcPr/>
          <w:p>
            <w:pPr>
              <w:pStyle w:val="Compact"/>
            </w:pPr>
            <w:r>
              <w:rPr>
                <w:rFonts w:ascii="Times New Roman" w:hAnsi="Times New Roman" w:eastAsia="Times New Roman" w:cs="Times New Roman"/>
                <w:sz w:val="20"/>
              </w:rPr>
              <w:t xml:space="preserve">0.20</w:t>
            </w:r>
          </w:p>
        </w:tc>
      </w:tr>
    </w:tbl>
    <w:p>
      <w:pPr>
        <w:pStyle w:val="BodyText"/>
      </w:pPr>
      <w:r>
        <w:rPr>
          <w:rFonts w:ascii="Times New Roman" w:hAnsi="Times New Roman" w:eastAsia="Times New Roman" w:cs="Times New Roman"/>
          <w:sz w:val="24"/>
        </w:rPr>
        <w:t xml:space="preserve">The consensus score is:</w:t>
      </w:r>
    </w:p>
    <w:p>
      <w:pPr>
        <w:pStyle w:val="BodyText"/>
      </w:pPr>
      <m:oMathPara>
        <m:oMathParaPr>
          <m:jc m:val="center"/>
        </m:oMathParaPr>
        <m:oMath>
          <m:sSub>
            <m:e>
              <m:r>
                <m:t>S</m:t>
              </m:r>
            </m:e>
            <m:sub>
              <m:r>
                <m:rPr>
                  <m:nor/>
                  <m:sty m:val="p"/>
                </m:rPr>
                <m:t>cons</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r>
            <m:rPr>
              <m:sty m:val="p"/>
              <m:scr m:val="double-struck"/>
            </m:rPr>
            <m:t>1</m:t>
          </m:r>
          <m:d>
            <m:dPr>
              <m:begChr m:val="["/>
              <m:endChr m:val="]"/>
              <m:sepChr m:val=""/>
              <m:grow/>
            </m:dPr>
            <m:e>
              <m:sSub>
                <m:e>
                  <m:acc>
                    <m:accPr>
                      <m:chr m:val="̂"/>
                    </m:accPr>
                    <m:e>
                      <m:r>
                        <m:t>y</m:t>
                      </m:r>
                    </m:e>
                  </m:acc>
                </m:e>
                <m:sub>
                  <m:r>
                    <m:t>i</m:t>
                  </m:r>
                </m:sub>
              </m:sSub>
              <m:r>
                <m:rPr>
                  <m:sty m:val="p"/>
                </m:rPr>
                <m:t>=</m:t>
              </m:r>
              <m:r>
                <m:t>P</m:t>
              </m:r>
            </m:e>
          </m:d>
        </m:oMath>
      </m:oMathPara>
    </w:p>
    <w:p>
      <w:pPr>
        <w:pStyle w:val="FirstParagraph"/>
      </w:pPr>
      <w:r>
        <w:rPr>
          <w:rFonts w:ascii="Times New Roman" w:hAnsi="Times New Roman" w:eastAsia="Times New Roman" w:cs="Times New Roman"/>
          <w:sz w:val="24"/>
        </w:rPr>
        <w:t xml:space="preserve">Classification: pathogenic if</w:t>
      </w:r>
      <w:r>
        <w:rPr>
          <w:rFonts w:ascii="Times New Roman" w:hAnsi="Times New Roman" w:eastAsia="Times New Roman" w:cs="Times New Roman"/>
          <w:sz w:val="24"/>
        </w:rPr>
        <w:t xml:space="preserve"> </w:t>
      </w:r>
      <m:oMath>
        <m:sSub>
          <m:e>
            <m:r>
              <m:t>S</m:t>
            </m:r>
          </m:e>
          <m:sub>
            <m:r>
              <m:rPr>
                <m:nor/>
                <m:sty m:val="p"/>
              </m:rPr>
              <m:t>cons</m:t>
            </m:r>
          </m:sub>
        </m:sSub>
        <m:r>
          <m:rPr>
            <m:sty m:val="p"/>
          </m:rPr>
          <m:t>≥</m:t>
        </m:r>
        <m:r>
          <m:t>0.5</m:t>
        </m:r>
      </m:oMath>
      <w:r>
        <w:rPr>
          <w:rFonts w:ascii="Times New Roman" w:hAnsi="Times New Roman" w:eastAsia="Times New Roman" w:cs="Times New Roman"/>
          <w:sz w:val="24"/>
        </w:rPr>
        <w:t xml:space="preserve">, benign if</w:t>
      </w:r>
      <w:r>
        <w:rPr>
          <w:rFonts w:ascii="Times New Roman" w:hAnsi="Times New Roman" w:eastAsia="Times New Roman" w:cs="Times New Roman"/>
          <w:sz w:val="24"/>
        </w:rPr>
        <w:t xml:space="preserve"> </w:t>
      </w:r>
      <m:oMath>
        <m:sSub>
          <m:e>
            <m:r>
              <m:t>S</m:t>
            </m:r>
          </m:e>
          <m:sub>
            <m:r>
              <m:rPr>
                <m:nor/>
                <m:sty m:val="p"/>
              </m:rPr>
              <m:t>cons</m:t>
            </m:r>
          </m:sub>
        </m:sSub>
        <m:r>
          <m:rPr>
            <m:sty m:val="p"/>
          </m:rPr>
          <m:t>≤</m:t>
        </m:r>
        <m:r>
          <m:t>0.25</m:t>
        </m:r>
      </m:oMath>
      <w:r>
        <w:rPr>
          <w:rFonts w:ascii="Times New Roman" w:hAnsi="Times New Roman" w:eastAsia="Times New Roman" w:cs="Times New Roman"/>
          <w:sz w:val="24"/>
        </w:rPr>
        <w:t xml:space="preserve">, uncertain otherwise. Weights are assigned based on each model’s discriminative power and input modality: Evo2 receives the highest weight because it captures genomic context (including regulatory regions) absent from protein-only models. When models disagree, a Llama 3.3 70B model generates an explanation referencing the biological basis of each model’s prediction.</w:t>
      </w:r>
    </w:p>
    <w:p>
      <w:r>
        <w:rPr>
          <w:rFonts w:ascii="Times New Roman" w:hAnsi="Times New Roman" w:eastAsia="Times New Roman" w:cs="Times New Roman"/>
          <w:sz w:val="24"/>
        </w:rPr>
        <w:pict>
          <v:rect style="width:0;height:1.5pt" o:hralign="center" o:hrstd="t" o:hr="t"/>
        </w:pict>
      </w:r>
    </w:p>
    <w:bookmarkEnd w:id="85"/>
    <w:bookmarkStart w:id="92" w:name="acmgamp-classification"/>
    <w:p>
      <w:pPr>
        <w:pStyle w:val="Heading2"/>
      </w:pPr>
      <w:r>
        <w:rPr>
          <w:rFonts w:ascii="Times New Roman" w:hAnsi="Times New Roman" w:eastAsia="Times New Roman" w:cs="Times New Roman"/>
          <w:sz w:val="24"/>
        </w:rPr>
        <w:t xml:space="preserve">11. ACMG/AMP Classification</w:t>
      </w:r>
    </w:p>
    <w:bookmarkStart w:id="86" w:name="rule-based-criteria"/>
    <w:p>
      <w:pPr>
        <w:pStyle w:val="Heading3"/>
      </w:pPr>
      <w:r>
        <w:rPr>
          <w:rFonts w:ascii="Times New Roman" w:hAnsi="Times New Roman" w:eastAsia="Times New Roman" w:cs="Times New Roman"/>
          <w:sz w:val="24"/>
        </w:rPr>
        <w:t xml:space="preserve">11.1 Rule-Based Criteria</w:t>
      </w:r>
    </w:p>
    <w:p>
      <w:pPr>
        <w:pStyle w:val="FirstParagraph"/>
      </w:pPr>
      <w:r>
        <w:rPr>
          <w:rFonts w:ascii="Times New Roman" w:hAnsi="Times New Roman" w:eastAsia="Times New Roman" w:cs="Times New Roman"/>
          <w:sz w:val="24"/>
        </w:rPr>
        <w:t xml:space="preserve">Evidence is mapped to ACMG/AMP 2015 criteria (Richards et al., 2015) [5]:</w:t>
      </w:r>
    </w:p>
    <w:p>
      <w:pPr>
        <w:pStyle w:val="Caption"/>
      </w:pPr>
      <w:bookmarkStart w:id="51591" w:name="_Tbl16"/>
      <w:r>
        <w:rPr>
          <w:rFonts w:ascii="Times New Roman" w:hAnsi="Times New Roman" w:eastAsia="Times New Roman" w:cs="Times New Roman"/>
          <w:b/>
          <w:bCs/>
          <w:sz w:val="24"/>
        </w:rPr>
        <w:t xml:space="preserve">Table 16: ACMG/AMP Evidence Code Mapping.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Mapping of system-derived evidence to ACMG/AMP 2015 criteria codes, including strength level and trigger conditions. BA1 serves as a standalone benign filter, while PVS1 requires a ClinGen-annotated loss-of-function mechanism.</w:t>
      </w:r>
      <w:bookmarkEnd w:id="5159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0"/>
              </w:rPr>
              <w:t xml:space="preserve">Code</w:t>
            </w:r>
          </w:p>
        </w:tc>
        <w:tc>
          <w:tcPr/>
          <w:p>
            <w:pPr>
              <w:pStyle w:val="Compact"/>
            </w:pPr>
            <w:r>
              <w:rPr>
                <w:rFonts w:ascii="Times New Roman" w:hAnsi="Times New Roman" w:eastAsia="Times New Roman" w:cs="Times New Roman"/>
                <w:sz w:val="20"/>
              </w:rPr>
              <w:t xml:space="preserve">Strength</w:t>
            </w:r>
          </w:p>
        </w:tc>
        <w:tc>
          <w:tcPr/>
          <w:p>
            <w:pPr>
              <w:pStyle w:val="Compact"/>
            </w:pPr>
            <w:r>
              <w:rPr>
                <w:rFonts w:ascii="Times New Roman" w:hAnsi="Times New Roman" w:eastAsia="Times New Roman" w:cs="Times New Roman"/>
                <w:sz w:val="20"/>
              </w:rPr>
              <w:t xml:space="preserve">Trigger</w:t>
            </w:r>
          </w:p>
        </w:tc>
      </w:tr>
      <w:tr>
        <w:tc>
          <w:tcPr/>
          <w:p>
            <w:pPr>
              <w:pStyle w:val="Compact"/>
            </w:pPr>
            <w:r>
              <w:rPr>
                <w:rFonts w:ascii="Times New Roman" w:hAnsi="Times New Roman" w:eastAsia="Times New Roman" w:cs="Times New Roman"/>
                <w:sz w:val="20"/>
              </w:rPr>
              <w:t xml:space="preserve">BA1</w:t>
            </w:r>
          </w:p>
        </w:tc>
        <w:tc>
          <w:tcPr/>
          <w:p>
            <w:pPr>
              <w:pStyle w:val="Compact"/>
            </w:pPr>
            <w:r>
              <w:rPr>
                <w:rFonts w:ascii="Times New Roman" w:hAnsi="Times New Roman" w:eastAsia="Times New Roman" w:cs="Times New Roman"/>
                <w:sz w:val="20"/>
              </w:rPr>
              <w:t xml:space="preserve">Standalone benign</w:t>
            </w:r>
          </w:p>
        </w:tc>
        <w:tc>
          <w:tcPr/>
          <w:p>
            <w:pPr>
              <w:pStyle w:val="Compact"/>
            </w:pPr>
            <w:r>
              <w:rPr>
                <w:rFonts w:ascii="Times New Roman" w:hAnsi="Times New Roman" w:eastAsia="Times New Roman" w:cs="Times New Roman"/>
                <w:sz w:val="20"/>
              </w:rPr>
              <w:t xml:space="preserve">gnomAD AF</w:t>
            </w:r>
            <w:r>
              <w:rPr>
                <w:rFonts w:ascii="Times New Roman" w:hAnsi="Times New Roman" w:eastAsia="Times New Roman" w:cs="Times New Roman"/>
                <w:sz w:val="20"/>
              </w:rPr>
              <w:t xml:space="preserve"> </w:t>
            </w:r>
            <m:oMath>
              <m:r>
                <m:rPr>
                  <m:sty m:val="p"/>
                </m:rPr>
                <m:t>≥</m:t>
              </m:r>
              <m:r>
                <m:t>0.05</m:t>
              </m:r>
            </m:oMath>
          </w:p>
        </w:tc>
      </w:tr>
      <w:tr>
        <w:tc>
          <w:tcPr/>
          <w:p>
            <w:pPr>
              <w:pStyle w:val="Compact"/>
            </w:pPr>
            <w:r>
              <w:rPr>
                <w:rFonts w:ascii="Times New Roman" w:hAnsi="Times New Roman" w:eastAsia="Times New Roman" w:cs="Times New Roman"/>
                <w:sz w:val="20"/>
              </w:rPr>
              <w:t xml:space="preserve">BS1</w:t>
            </w:r>
          </w:p>
        </w:tc>
        <w:tc>
          <w:tcPr/>
          <w:p>
            <w:pPr>
              <w:pStyle w:val="Compact"/>
            </w:pPr>
            <w:r>
              <w:rPr>
                <w:rFonts w:ascii="Times New Roman" w:hAnsi="Times New Roman" w:eastAsia="Times New Roman" w:cs="Times New Roman"/>
                <w:sz w:val="20"/>
              </w:rPr>
              <w:t xml:space="preserve">Strong benign</w:t>
            </w:r>
          </w:p>
        </w:tc>
        <w:tc>
          <w:tcPr/>
          <w:p>
            <w:pPr>
              <w:pStyle w:val="Compact"/>
            </w:pPr>
            <w:r>
              <w:rPr>
                <w:rFonts w:ascii="Times New Roman" w:hAnsi="Times New Roman" w:eastAsia="Times New Roman" w:cs="Times New Roman"/>
                <w:sz w:val="20"/>
              </w:rPr>
              <w:t xml:space="preserve">gnomAD AF</w:t>
            </w:r>
            <w:r>
              <w:rPr>
                <w:rFonts w:ascii="Times New Roman" w:hAnsi="Times New Roman" w:eastAsia="Times New Roman" w:cs="Times New Roman"/>
                <w:sz w:val="20"/>
              </w:rPr>
              <w:t xml:space="preserve"> </w:t>
            </w:r>
            <m:oMath>
              <m:r>
                <m:rPr>
                  <m:sty m:val="p"/>
                </m:rPr>
                <m:t>≥</m:t>
              </m:r>
              <m:r>
                <m:t>0.01</m:t>
              </m:r>
            </m:oMath>
          </w:p>
        </w:tc>
      </w:tr>
      <w:tr>
        <w:tc>
          <w:tcPr/>
          <w:p>
            <w:pPr>
              <w:pStyle w:val="Compact"/>
            </w:pPr>
            <w:r>
              <w:rPr>
                <w:rFonts w:ascii="Times New Roman" w:hAnsi="Times New Roman" w:eastAsia="Times New Roman" w:cs="Times New Roman"/>
                <w:sz w:val="20"/>
              </w:rPr>
              <w:t xml:space="preserve">PM2</w:t>
            </w:r>
          </w:p>
        </w:tc>
        <w:tc>
          <w:tcPr/>
          <w:p>
            <w:pPr>
              <w:pStyle w:val="Compact"/>
            </w:pPr>
            <w:r>
              <w:rPr>
                <w:rFonts w:ascii="Times New Roman" w:hAnsi="Times New Roman" w:eastAsia="Times New Roman" w:cs="Times New Roman"/>
                <w:sz w:val="20"/>
              </w:rPr>
              <w:t xml:space="preserve">Moderate pathogenic</w:t>
            </w:r>
          </w:p>
        </w:tc>
        <w:tc>
          <w:tcPr/>
          <w:p>
            <w:pPr>
              <w:pStyle w:val="Compact"/>
            </w:pPr>
            <w:r>
              <w:rPr>
                <w:rFonts w:ascii="Times New Roman" w:hAnsi="Times New Roman" w:eastAsia="Times New Roman" w:cs="Times New Roman"/>
                <w:sz w:val="20"/>
              </w:rPr>
              <w:t xml:space="preserve">gnomAD AF</w:t>
            </w:r>
            <w:r>
              <w:rPr>
                <w:rFonts w:ascii="Times New Roman" w:hAnsi="Times New Roman" w:eastAsia="Times New Roman" w:cs="Times New Roman"/>
                <w:sz w:val="20"/>
              </w:rPr>
              <w:t xml:space="preserve"> </w:t>
            </w:r>
            <m:oMath>
              <m:r>
                <m:rPr>
                  <m:sty m:val="p"/>
                </m:rPr>
                <m:t>&lt;</m:t>
              </m:r>
              <m:sSup>
                <m:e>
                  <m:r>
                    <m:t>10</m:t>
                  </m:r>
                </m:e>
                <m:sup>
                  <m:r>
                    <m:rPr>
                      <m:sty m:val="p"/>
                    </m:rPr>
                    <m:t>−</m:t>
                  </m:r>
                  <m:r>
                    <m:t>4</m:t>
                  </m:r>
                </m:sup>
              </m:sSup>
            </m:oMath>
          </w:p>
        </w:tc>
      </w:tr>
      <w:tr>
        <w:tc>
          <w:tcPr/>
          <w:p>
            <w:pPr>
              <w:pStyle w:val="Compact"/>
            </w:pPr>
            <w:r>
              <w:rPr>
                <w:rFonts w:ascii="Times New Roman" w:hAnsi="Times New Roman" w:eastAsia="Times New Roman" w:cs="Times New Roman"/>
                <w:sz w:val="20"/>
              </w:rPr>
              <w:t xml:space="preserve">PP3</w:t>
            </w:r>
          </w:p>
        </w:tc>
        <w:tc>
          <w:tcPr/>
          <w:p>
            <w:pPr>
              <w:pStyle w:val="Compact"/>
            </w:pPr>
            <w:r>
              <w:rPr>
                <w:rFonts w:ascii="Times New Roman" w:hAnsi="Times New Roman" w:eastAsia="Times New Roman" w:cs="Times New Roman"/>
                <w:sz w:val="20"/>
              </w:rPr>
              <w:t xml:space="preserve">Supporting pathogenic</w:t>
            </w:r>
          </w:p>
        </w:tc>
        <w:tc>
          <w:tcPr/>
          <w:p>
            <w:pPr>
              <w:pStyle w:val="Compact"/>
            </w:pPr>
            <w:r>
              <w:rPr>
                <w:rFonts w:ascii="Times New Roman" w:hAnsi="Times New Roman" w:eastAsia="Times New Roman" w:cs="Times New Roman"/>
                <w:sz w:val="20"/>
              </w:rPr>
              <w:t xml:space="preserve">Evo2</w:t>
            </w:r>
            <w:r>
              <w:rPr>
                <w:rFonts w:ascii="Times New Roman" w:hAnsi="Times New Roman" w:eastAsia="Times New Roman" w:cs="Times New Roman"/>
                <w:sz w:val="20"/>
              </w:rPr>
              <w:t xml:space="preserve"> </w:t>
            </w:r>
            <m:oMath>
              <m:r>
                <m:t>Δ</m:t>
              </m:r>
              <m:r>
                <m:rPr>
                  <m:sty m:val="p"/>
                </m:rPr>
                <m:t>&lt;</m:t>
              </m:r>
              <m:sSub>
                <m:e>
                  <m:r>
                    <m:t>τ</m:t>
                  </m:r>
                </m:e>
                <m:sub>
                  <m:r>
                    <m:t>g</m:t>
                  </m:r>
                </m:sub>
              </m:sSub>
            </m:oMath>
            <w:r>
              <w:rPr>
                <w:rFonts w:ascii="Times New Roman" w:hAnsi="Times New Roman" w:eastAsia="Times New Roman" w:cs="Times New Roman"/>
                <w:sz w:val="20"/>
              </w:rPr>
              <w:t xml:space="preserve">, confidence</w:t>
            </w:r>
            <w:r>
              <w:rPr>
                <w:rFonts w:ascii="Times New Roman" w:hAnsi="Times New Roman" w:eastAsia="Times New Roman" w:cs="Times New Roman"/>
                <w:sz w:val="20"/>
              </w:rPr>
              <w:t xml:space="preserve"> </w:t>
            </w:r>
            <m:oMath>
              <m:r>
                <m:rPr>
                  <m:sty m:val="p"/>
                </m:rPr>
                <m:t>&gt;</m:t>
              </m:r>
              <m:r>
                <m:t>0.5</m:t>
              </m:r>
            </m:oMath>
          </w:p>
        </w:tc>
      </w:tr>
      <w:tr>
        <w:tc>
          <w:tcPr/>
          <w:p>
            <w:pPr>
              <w:pStyle w:val="Compact"/>
            </w:pPr>
            <w:r>
              <w:rPr>
                <w:rFonts w:ascii="Times New Roman" w:hAnsi="Times New Roman" w:eastAsia="Times New Roman" w:cs="Times New Roman"/>
                <w:sz w:val="20"/>
              </w:rPr>
              <w:t xml:space="preserve">BP4</w:t>
            </w:r>
          </w:p>
        </w:tc>
        <w:tc>
          <w:tcPr/>
          <w:p>
            <w:pPr>
              <w:pStyle w:val="Compact"/>
            </w:pPr>
            <w:r>
              <w:rPr>
                <w:rFonts w:ascii="Times New Roman" w:hAnsi="Times New Roman" w:eastAsia="Times New Roman" w:cs="Times New Roman"/>
                <w:sz w:val="20"/>
              </w:rPr>
              <w:t xml:space="preserve">Supporting benign</w:t>
            </w:r>
          </w:p>
        </w:tc>
        <w:tc>
          <w:tcPr/>
          <w:p>
            <w:pPr>
              <w:pStyle w:val="Compact"/>
            </w:pPr>
            <w:r>
              <w:rPr>
                <w:rFonts w:ascii="Times New Roman" w:hAnsi="Times New Roman" w:eastAsia="Times New Roman" w:cs="Times New Roman"/>
                <w:sz w:val="20"/>
              </w:rPr>
              <w:t xml:space="preserve">Evo2</w:t>
            </w:r>
            <w:r>
              <w:rPr>
                <w:rFonts w:ascii="Times New Roman" w:hAnsi="Times New Roman" w:eastAsia="Times New Roman" w:cs="Times New Roman"/>
                <w:sz w:val="20"/>
              </w:rPr>
              <w:t xml:space="preserve"> </w:t>
            </w:r>
            <m:oMath>
              <m:r>
                <m:t>Δ</m:t>
              </m:r>
              <m:r>
                <m:rPr>
                  <m:sty m:val="p"/>
                </m:rPr>
                <m:t>&gt;</m:t>
              </m:r>
              <m:d>
                <m:dPr>
                  <m:begChr m:val="|"/>
                  <m:endChr m:val="|"/>
                  <m:sepChr m:val=""/>
                  <m:grow/>
                </m:dPr>
                <m:e>
                  <m:sSub>
                    <m:e>
                      <m:r>
                        <m:t>τ</m:t>
                      </m:r>
                    </m:e>
                    <m:sub>
                      <m:r>
                        <m:t>g</m:t>
                      </m:r>
                    </m:sub>
                  </m:sSub>
                </m:e>
              </m:d>
            </m:oMath>
            <w:r>
              <w:rPr>
                <w:rFonts w:ascii="Times New Roman" w:hAnsi="Times New Roman" w:eastAsia="Times New Roman" w:cs="Times New Roman"/>
                <w:sz w:val="20"/>
              </w:rPr>
              <w:t xml:space="preserve">, confidence</w:t>
            </w:r>
            <w:r>
              <w:rPr>
                <w:rFonts w:ascii="Times New Roman" w:hAnsi="Times New Roman" w:eastAsia="Times New Roman" w:cs="Times New Roman"/>
                <w:sz w:val="20"/>
              </w:rPr>
              <w:t xml:space="preserve"> </w:t>
            </w:r>
            <m:oMath>
              <m:r>
                <m:rPr>
                  <m:sty m:val="p"/>
                </m:rPr>
                <m:t>&gt;</m:t>
              </m:r>
              <m:r>
                <m:t>0.5</m:t>
              </m:r>
            </m:oMath>
          </w:p>
        </w:tc>
      </w:tr>
      <w:tr>
        <w:tc>
          <w:tcPr/>
          <w:p>
            <w:pPr>
              <w:pStyle w:val="Compact"/>
            </w:pPr>
            <w:r>
              <w:rPr>
                <w:rFonts w:ascii="Times New Roman" w:hAnsi="Times New Roman" w:eastAsia="Times New Roman" w:cs="Times New Roman"/>
                <w:sz w:val="20"/>
              </w:rPr>
              <w:t xml:space="preserve">PVS1</w:t>
            </w:r>
          </w:p>
        </w:tc>
        <w:tc>
          <w:tcPr/>
          <w:p>
            <w:pPr>
              <w:pStyle w:val="Compact"/>
            </w:pPr>
            <w:r>
              <w:rPr>
                <w:rFonts w:ascii="Times New Roman" w:hAnsi="Times New Roman" w:eastAsia="Times New Roman" w:cs="Times New Roman"/>
                <w:sz w:val="20"/>
              </w:rPr>
              <w:t xml:space="preserve">Very strong pathogenic</w:t>
            </w:r>
          </w:p>
        </w:tc>
        <w:tc>
          <w:tcPr/>
          <w:p>
            <w:pPr>
              <w:pStyle w:val="Compact"/>
            </w:pPr>
            <w:r>
              <w:rPr>
                <w:rFonts w:ascii="Times New Roman" w:hAnsi="Times New Roman" w:eastAsia="Times New Roman" w:cs="Times New Roman"/>
                <w:sz w:val="20"/>
              </w:rPr>
              <w:t xml:space="preserve">Nonsense/frameshift in haploinsufficient gene</w:t>
            </w:r>
          </w:p>
        </w:tc>
      </w:tr>
    </w:tbl>
    <w:p>
      <w:pPr>
        <w:pStyle w:val="BodyText"/>
      </w:pPr>
      <w:r>
        <w:rPr>
          <w:rFonts w:ascii="Times New Roman" w:hAnsi="Times New Roman" w:eastAsia="Times New Roman" w:cs="Times New Roman"/>
          <w:sz w:val="24"/>
        </w:rPr>
        <w:t xml:space="preserve">Final classification follows the ACMG/AMP combining rules:</w:t>
      </w:r>
    </w:p>
    <w:p>
      <w:pPr>
        <w:pStyle w:val="Caption"/>
      </w:pPr>
      <w:bookmarkStart w:id="57863" w:name="_Tbl17"/>
      <w:r>
        <w:rPr>
          <w:rFonts w:ascii="Times New Roman" w:hAnsi="Times New Roman" w:eastAsia="Times New Roman" w:cs="Times New Roman"/>
          <w:b/>
          <w:bCs/>
          <w:sz w:val="24"/>
        </w:rPr>
        <w:t xml:space="preserve">Table 17: ACMG/AMP Classification Combining Rules.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Combinatorial rules for deriving final five-tier classifications (Pathogenic, Likely Pathogenic, VUS, Likely Benign, Benign) from accumulated evidence codes. Rules follow the Richards et al. (2015) framework [5].</w:t>
      </w:r>
      <w:bookmarkEnd w:id="5786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0"/>
              </w:rPr>
              <w:t xml:space="preserve">Classification</w:t>
            </w:r>
          </w:p>
        </w:tc>
        <w:tc>
          <w:tcPr/>
          <w:p>
            <w:pPr>
              <w:pStyle w:val="Compact"/>
            </w:pPr>
            <w:r>
              <w:rPr>
                <w:rFonts w:ascii="Times New Roman" w:hAnsi="Times New Roman" w:eastAsia="Times New Roman" w:cs="Times New Roman"/>
                <w:sz w:val="20"/>
              </w:rPr>
              <w:t xml:space="preserve">Combination</w:t>
            </w:r>
          </w:p>
        </w:tc>
      </w:tr>
      <w:tr>
        <w:tc>
          <w:tcPr/>
          <w:p>
            <w:pPr>
              <w:pStyle w:val="Compact"/>
            </w:pPr>
            <w:r>
              <w:rPr>
                <w:rFonts w:ascii="Times New Roman" w:hAnsi="Times New Roman" w:eastAsia="Times New Roman" w:cs="Times New Roman"/>
                <w:sz w:val="20"/>
              </w:rPr>
              <w:t xml:space="preserve">Pathogenic</w:t>
            </w:r>
          </w:p>
        </w:tc>
        <w:tc>
          <w:tcPr/>
          <w:p>
            <w:pPr>
              <w:pStyle w:val="Compact"/>
            </w:pPr>
            <w:r>
              <w:rPr>
                <w:rFonts w:ascii="Times New Roman" w:hAnsi="Times New Roman" w:eastAsia="Times New Roman" w:cs="Times New Roman"/>
                <w:sz w:val="20"/>
              </w:rPr>
              <w:t xml:space="preserve">1 Very Strong +</w:t>
            </w:r>
            <w:r>
              <w:rPr>
                <w:rFonts w:ascii="Times New Roman" w:hAnsi="Times New Roman" w:eastAsia="Times New Roman" w:cs="Times New Roman"/>
                <w:sz w:val="20"/>
              </w:rPr>
              <w:t xml:space="preserve"> </w:t>
            </w:r>
            <m:oMath>
              <m:r>
                <m:rPr>
                  <m:sty m:val="p"/>
                </m:rPr>
                <m:t>≥</m:t>
              </m:r>
              <m:r>
                <m:t>1</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Strong, or 1 Very Strong +</w:t>
            </w:r>
            <w:r>
              <w:rPr>
                <w:rFonts w:ascii="Times New Roman" w:hAnsi="Times New Roman" w:eastAsia="Times New Roman" w:cs="Times New Roman"/>
                <w:sz w:val="20"/>
              </w:rPr>
              <w:t xml:space="preserve"> </w:t>
            </w:r>
            <m:oMath>
              <m:r>
                <m:rPr>
                  <m:sty m:val="p"/>
                </m:rPr>
                <m: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Moderate, or 2 Strong +</w:t>
            </w:r>
            <w:r>
              <w:rPr>
                <w:rFonts w:ascii="Times New Roman" w:hAnsi="Times New Roman" w:eastAsia="Times New Roman" w:cs="Times New Roman"/>
                <w:sz w:val="20"/>
              </w:rPr>
              <w:t xml:space="preserve"> </w:t>
            </w:r>
            <m:oMath>
              <m:r>
                <m:rPr>
                  <m:sty m:val="p"/>
                </m:rPr>
                <m: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Moderate</w:t>
            </w:r>
          </w:p>
        </w:tc>
      </w:tr>
      <w:tr>
        <w:tc>
          <w:tcPr/>
          <w:p>
            <w:pPr>
              <w:pStyle w:val="Compact"/>
            </w:pPr>
            <w:r>
              <w:rPr>
                <w:rFonts w:ascii="Times New Roman" w:hAnsi="Times New Roman" w:eastAsia="Times New Roman" w:cs="Times New Roman"/>
                <w:sz w:val="20"/>
              </w:rPr>
              <w:t xml:space="preserve">Likely pathogenic</w:t>
            </w:r>
          </w:p>
        </w:tc>
        <w:tc>
          <w:tcPr/>
          <w:p>
            <w:pPr>
              <w:pStyle w:val="Compact"/>
            </w:pPr>
            <w:r>
              <w:rPr>
                <w:rFonts w:ascii="Times New Roman" w:hAnsi="Times New Roman" w:eastAsia="Times New Roman" w:cs="Times New Roman"/>
                <w:sz w:val="20"/>
              </w:rPr>
              <w:t xml:space="preserve">1 Very Strong + 1 Moderate, or 1 Strong + 1–2 Moderate, or</w:t>
            </w:r>
            <w:r>
              <w:rPr>
                <w:rFonts w:ascii="Times New Roman" w:hAnsi="Times New Roman" w:eastAsia="Times New Roman" w:cs="Times New Roman"/>
                <w:sz w:val="20"/>
              </w:rPr>
              <w:t xml:space="preserve"> </w:t>
            </w:r>
            <m:oMath>
              <m:r>
                <m:rPr>
                  <m:sty m:val="p"/>
                </m:rPr>
                <m:t>≥</m:t>
              </m:r>
              <m:r>
                <m:t>3</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Moderate</w:t>
            </w:r>
          </w:p>
        </w:tc>
      </w:tr>
      <w:tr>
        <w:tc>
          <w:tcPr/>
          <w:p>
            <w:pPr>
              <w:pStyle w:val="Compact"/>
            </w:pPr>
            <w:r>
              <w:rPr>
                <w:rFonts w:ascii="Times New Roman" w:hAnsi="Times New Roman" w:eastAsia="Times New Roman" w:cs="Times New Roman"/>
                <w:sz w:val="20"/>
              </w:rPr>
              <w:t xml:space="preserve">Likely benign</w:t>
            </w:r>
          </w:p>
        </w:tc>
        <w:tc>
          <w:tcPr/>
          <w:p>
            <w:pPr>
              <w:pStyle w:val="Compact"/>
            </w:pPr>
            <w:r>
              <w:rPr>
                <w:rFonts w:ascii="Times New Roman" w:hAnsi="Times New Roman" w:eastAsia="Times New Roman" w:cs="Times New Roman"/>
                <w:sz w:val="20"/>
              </w:rPr>
              <w:t xml:space="preserve">1 Strong + 1 Supporting, or</w:t>
            </w:r>
            <w:r>
              <w:rPr>
                <w:rFonts w:ascii="Times New Roman" w:hAnsi="Times New Roman" w:eastAsia="Times New Roman" w:cs="Times New Roman"/>
                <w:sz w:val="20"/>
              </w:rPr>
              <w:t xml:space="preserve"> </w:t>
            </w:r>
            <m:oMath>
              <m:r>
                <m:rPr>
                  <m:sty m:val="p"/>
                </m:rPr>
                <m: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Supporting</w:t>
            </w:r>
          </w:p>
        </w:tc>
      </w:tr>
      <w:tr>
        <w:tc>
          <w:tcPr/>
          <w:p>
            <w:pPr>
              <w:pStyle w:val="Compact"/>
            </w:pPr>
            <w:r>
              <w:rPr>
                <w:rFonts w:ascii="Times New Roman" w:hAnsi="Times New Roman" w:eastAsia="Times New Roman" w:cs="Times New Roman"/>
                <w:sz w:val="20"/>
              </w:rPr>
              <w:t xml:space="preserve">Benign</w:t>
            </w:r>
          </w:p>
        </w:tc>
        <w:tc>
          <w:tcPr/>
          <w:p>
            <w:pPr>
              <w:pStyle w:val="Compact"/>
            </w:pPr>
            <w:r>
              <w:rPr>
                <w:rFonts w:ascii="Times New Roman" w:hAnsi="Times New Roman" w:eastAsia="Times New Roman" w:cs="Times New Roman"/>
                <w:sz w:val="20"/>
              </w:rPr>
              <w:t xml:space="preserve">1 Standalone (BA1), or</w:t>
            </w:r>
            <w:r>
              <w:rPr>
                <w:rFonts w:ascii="Times New Roman" w:hAnsi="Times New Roman" w:eastAsia="Times New Roman" w:cs="Times New Roman"/>
                <w:sz w:val="20"/>
              </w:rPr>
              <w:t xml:space="preserve"> </w:t>
            </w:r>
            <m:oMath>
              <m:r>
                <m:rPr>
                  <m:sty m:val="p"/>
                </m:rPr>
                <m: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Strong</w:t>
            </w:r>
          </w:p>
        </w:tc>
      </w:tr>
    </w:tbl>
    <w:bookmarkEnd w:id="86"/>
    <w:bookmarkStart w:id="87" w:name="llm-refinement"/>
    <w:p>
      <w:pPr>
        <w:pStyle w:val="Heading3"/>
      </w:pPr>
      <w:r>
        <w:rPr>
          <w:rFonts w:ascii="Times New Roman" w:hAnsi="Times New Roman" w:eastAsia="Times New Roman" w:cs="Times New Roman"/>
          <w:sz w:val="24"/>
        </w:rPr>
        <w:t xml:space="preserve">11.2 LLM Refinement</w:t>
      </w:r>
    </w:p>
    <w:p>
      <w:pPr>
        <w:pStyle w:val="FirstParagraph"/>
      </w:pPr>
      <w:r>
        <w:rPr>
          <w:rFonts w:ascii="Times New Roman" w:hAnsi="Times New Roman" w:eastAsia="Times New Roman" w:cs="Times New Roman"/>
          <w:sz w:val="24"/>
        </w:rPr>
        <w:t xml:space="preserve">A Llama 3.3 70B model [33] reviews the rule-based criteria and adjusts evidence strength based on contextual information. For example, a ClinVar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“Likely benign”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submission with 0 review stars (single submitter, no assertion criteria) is downgraded from Supporting to Not Met, because low-confidence external evidence should not override computational evidence. A variant within a known functional domain (from UniProt) may upgrade PP3 from Supporting to Moderate. Each adjustment includes a textual justification.</w:t>
      </w:r>
    </w:p>
    <w:bookmarkEnd w:id="87"/>
    <w:bookmarkStart w:id="91" w:name="Xdd1114041e6e192eadc4003d01e403e46902413"/>
    <w:p>
      <w:pPr>
        <w:pStyle w:val="Heading3"/>
      </w:pPr>
      <w:r>
        <w:rPr>
          <w:rFonts w:ascii="Times New Roman" w:hAnsi="Times New Roman" w:eastAsia="Times New Roman" w:cs="Times New Roman"/>
          <w:sz w:val="24"/>
        </w:rPr>
        <w:t xml:space="preserve">11.3 LLM-in-the-Loop Components: Prompt Design and Evaluation</w:t>
      </w:r>
    </w:p>
    <w:p>
      <w:pPr>
        <w:pStyle w:val="FirstParagraph"/>
      </w:pPr>
      <w:r>
        <w:rPr>
          <w:rFonts w:ascii="Times New Roman" w:hAnsi="Times New Roman" w:eastAsia="Times New Roman" w:cs="Times New Roman"/>
          <w:sz w:val="24"/>
        </w:rPr>
        <w:t xml:space="preserve">The pipeline employs Llama 3.3 70B [33] in three distinct roles. Each role uses a dedicated prompt template with constrained output format to minimize hallucination. All LLM calls use temperature</w:t>
      </w:r>
      <w:r>
        <w:rPr>
          <w:rFonts w:ascii="Times New Roman" w:hAnsi="Times New Roman" w:eastAsia="Times New Roman" w:cs="Times New Roman"/>
          <w:sz w:val="24"/>
        </w:rPr>
        <w:t xml:space="preserve"> </w:t>
      </w:r>
      <m:oMath>
        <m:r>
          <m:t>T</m:t>
        </m:r>
        <m:r>
          <m:rPr>
            <m:sty m:val="p"/>
          </m:rPr>
          <m:t>=</m:t>
        </m:r>
        <m:r>
          <m:t>0.1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 top-</w:t>
      </w:r>
      <m:oMath>
        <m:r>
          <m:t>p</m:t>
        </m:r>
        <m:r>
          <m:rPr>
            <m:sty m:val="p"/>
          </m:rPr>
          <m:t>=</m:t>
        </m:r>
        <m:r>
          <m:t>0.95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reduce stochasticity while allowing minor variation in phrasing.</w:t>
      </w:r>
    </w:p>
    <w:bookmarkStart w:id="88" w:name="pubmed-literature-synthesis"/>
    <w:p>
      <w:pPr>
        <w:pStyle w:val="Heading4"/>
      </w:pPr>
      <w:r>
        <w:rPr>
          <w:rFonts w:ascii="Times New Roman" w:hAnsi="Times New Roman" w:eastAsia="Times New Roman" w:cs="Times New Roman"/>
          <w:sz w:val="24"/>
        </w:rPr>
        <w:t xml:space="preserve">11.3.1 PubMed Literature Synthesis</w:t>
      </w:r>
    </w:p>
    <w:p>
      <w:pPr>
        <w:pStyle w:val="FirstParagraph"/>
      </w:pPr>
      <w:r>
        <w:rPr>
          <w:rFonts w:ascii="Times New Roman" w:hAnsi="Times New Roman" w:eastAsia="Times New Roman" w:cs="Times New Roman"/>
          <w:b/>
          <w:bCs/>
          <w:sz w:val="24"/>
        </w:rPr>
        <w:t xml:space="preserve">Input: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Up to 20 PubMed abstracts (retrieved via ESearch/EFetch), the gene symbol, variant HGVS notation, and VEP consequence.</w:t>
      </w:r>
    </w:p>
    <w:p>
      <w:pPr>
        <w:pStyle w:val="BodyText"/>
      </w:pPr>
      <w:r>
        <w:rPr>
          <w:rFonts w:ascii="Times New Roman" w:hAnsi="Times New Roman" w:eastAsia="Times New Roman" w:cs="Times New Roman"/>
          <w:b/>
          <w:bCs/>
          <w:sz w:val="24"/>
        </w:rPr>
        <w:t xml:space="preserve">Prompt template:</w:t>
      </w:r>
    </w:p>
    <w:p>
      <w:pPr>
        <w:pStyle w:val="SourceCode"/>
      </w:pPr>
      <w:r>
        <w:rPr>
          <w:rStyle w:val="VerbatimChar"/>
          <w:rFonts w:ascii="Times New Roman" w:hAnsi="Times New Roman" w:eastAsia="Times New Roman" w:cs="Times New Roman"/>
          <w:sz w:val="24"/>
        </w:rPr>
        <w:t xml:space="preserve">SYSTEM: You are a clinical genomics literature analyst. Given PubMed abstracts,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extract evidence relevant to the variant {gene} {hgvs}. Output a structured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summary with the following sections: (1) Functional Studies, (2) Case Reports,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(3) Population Frequency Data, (4) Overall Evidence Direction. Tag each claim</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with [PMID: xxxxxxx]. Do NOT include information not present in the abstracts.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If no relevant evidence is found, state "No relevant studies identified."</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USER: Gene: {gene}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Variant: {hgvs}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VEP Consequence: {consequence}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Abstracts: {abstracts_json}</w:t>
      </w:r>
    </w:p>
    <w:p>
      <w:pPr>
        <w:pStyle w:val="FirstParagraph"/>
      </w:pPr>
      <w:r>
        <w:rPr>
          <w:rFonts w:ascii="Times New Roman" w:hAnsi="Times New Roman" w:eastAsia="Times New Roman" w:cs="Times New Roman"/>
          <w:b/>
          <w:bCs/>
          <w:sz w:val="24"/>
        </w:rPr>
        <w:t xml:space="preserve">Output format: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JSON with keys</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summary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gene_function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functional_studies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case_reports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population_frequency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evidence_direction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(pathogenic/benign/ambiguous/none),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pubmed_ids</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b/>
          <w:bCs/>
          <w:sz w:val="24"/>
        </w:rPr>
        <w:t xml:space="preserve">Evaluation: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a held-out set of 50 variants with known ClinVar classifications, the literature summary was evaluated for factual accuracy by two metrics: (i)</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claim verification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each claim in the summary was checked against the source abstract; 94.0% of claims were accurately derived from the abstract text (3% paraphrase errors, 3% unsupported claims); (ii)</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evidence direction concordance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the LLM-assigned evidence direction (pathogenic/benign/ambiguous) was compared to ClinVar classification; concordance was 88.0% (Cohen’s</w:t>
      </w:r>
      <w:r>
        <w:rPr>
          <w:rFonts w:ascii="Times New Roman" w:hAnsi="Times New Roman" w:eastAsia="Times New Roman" w:cs="Times New Roman"/>
          <w:sz w:val="24"/>
        </w:rPr>
        <w:t xml:space="preserve"> </w:t>
      </w:r>
      <m:oMath>
        <m:r>
          <m:t>κ</m:t>
        </m:r>
        <m:r>
          <m:rPr>
            <m:sty m:val="p"/>
          </m:rPr>
          <m:t>=</m:t>
        </m:r>
        <m:r>
          <m:t>0.74</m:t>
        </m:r>
      </m:oMath>
      <w:r>
        <w:rPr>
          <w:rFonts w:ascii="Times New Roman" w:hAnsi="Times New Roman" w:eastAsia="Times New Roman" w:cs="Times New Roman"/>
          <w:sz w:val="24"/>
        </w:rPr>
        <w:t xml:space="preserve">, substantial agreement).</w:t>
      </w:r>
    </w:p>
    <w:bookmarkEnd w:id="88"/>
    <w:bookmarkStart w:id="89" w:name="multi-model-disagreement-explanation"/>
    <w:p>
      <w:pPr>
        <w:pStyle w:val="Heading4"/>
      </w:pPr>
      <w:r>
        <w:rPr>
          <w:rFonts w:ascii="Times New Roman" w:hAnsi="Times New Roman" w:eastAsia="Times New Roman" w:cs="Times New Roman"/>
          <w:sz w:val="24"/>
        </w:rPr>
        <w:t xml:space="preserve">11.3.2 Multi-Model Disagreement Explanation</w:t>
      </w:r>
    </w:p>
    <w:p>
      <w:pPr>
        <w:pStyle w:val="FirstParagraph"/>
      </w:pPr>
      <w:r>
        <w:rPr>
          <w:rFonts w:ascii="Times New Roman" w:hAnsi="Times New Roman" w:eastAsia="Times New Roman" w:cs="Times New Roman"/>
          <w:b/>
          <w:bCs/>
          <w:sz w:val="24"/>
        </w:rPr>
        <w:t xml:space="preserve">Input: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predictions and scores from all available models (Evo2, AlphaMissense, CADD, REVEL), the VEP consequence, and UniProt domain annotation.</w:t>
      </w:r>
    </w:p>
    <w:p>
      <w:pPr>
        <w:pStyle w:val="BodyText"/>
      </w:pPr>
      <w:r>
        <w:rPr>
          <w:rFonts w:ascii="Times New Roman" w:hAnsi="Times New Roman" w:eastAsia="Times New Roman" w:cs="Times New Roman"/>
          <w:b/>
          <w:bCs/>
          <w:sz w:val="24"/>
        </w:rPr>
        <w:t xml:space="preserve">Prompt template:</w:t>
      </w:r>
    </w:p>
    <w:p>
      <w:pPr>
        <w:pStyle w:val="SourceCode"/>
      </w:pPr>
      <w:r>
        <w:rPr>
          <w:rStyle w:val="VerbatimChar"/>
          <w:rFonts w:ascii="Times New Roman" w:hAnsi="Times New Roman" w:eastAsia="Times New Roman" w:cs="Times New Roman"/>
          <w:sz w:val="24"/>
        </w:rPr>
        <w:t xml:space="preserve">SYSTEM: You are a computational genomics expert. Multiple variant effect</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predictors have produced discordant predictions for a variant. Explain the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biological basis for each model's prediction, referencing the model's input</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modality and known limitations. Output a structured explanation.</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USER: Variant: {gene} {hgvs}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Consequence: {vep_consequence}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Domain context: {uniprot_domains}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Predictions: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Evo2: Δ={delta_score}, classification={evo2_class}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AlphaMissense: AM={am_score}, classification={am_class}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CADD: PHRED={cadd_score}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REVEL: {revel_score}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Disagreement: {which_models_disagree}</w:t>
      </w:r>
    </w:p>
    <w:p>
      <w:pPr>
        <w:pStyle w:val="FirstParagraph"/>
      </w:pPr>
      <w:r>
        <w:rPr>
          <w:rFonts w:ascii="Times New Roman" w:hAnsi="Times New Roman" w:eastAsia="Times New Roman" w:cs="Times New Roman"/>
          <w:b/>
          <w:bCs/>
          <w:sz w:val="24"/>
        </w:rPr>
        <w:t xml:space="preserve">Output format: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Markdown text with one paragraph per model explaining its prediction, followed by a synthesis paragraph identifying the most likely explanation for the discordance.</w:t>
      </w:r>
    </w:p>
    <w:p>
      <w:pPr>
        <w:pStyle w:val="BodyText"/>
      </w:pPr>
      <w:r>
        <w:rPr>
          <w:rFonts w:ascii="Times New Roman" w:hAnsi="Times New Roman" w:eastAsia="Times New Roman" w:cs="Times New Roman"/>
          <w:b/>
          <w:bCs/>
          <w:sz w:val="24"/>
        </w:rPr>
        <w:t xml:space="preserve">Evaluation: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30 discordant variant cases, two clinical geneticists independently rated the explanations for biological accuracy on a 1–5 scale. Mean rating: 4.1/5 (inter-rater agreement: Spearman</w:t>
      </w:r>
      <w:r>
        <w:rPr>
          <w:rFonts w:ascii="Times New Roman" w:hAnsi="Times New Roman" w:eastAsia="Times New Roman" w:cs="Times New Roman"/>
          <w:sz w:val="24"/>
        </w:rPr>
        <w:t xml:space="preserve"> </w:t>
      </w:r>
      <m:oMath>
        <m:r>
          <m:t>ρ</m:t>
        </m:r>
        <m:r>
          <m:rPr>
            <m:sty m:val="p"/>
          </m:rPr>
          <m:t>=</m:t>
        </m:r>
        <m:r>
          <m:t>0.71</m:t>
        </m:r>
      </m:oMath>
      <w:r>
        <w:rPr>
          <w:rFonts w:ascii="Times New Roman" w:hAnsi="Times New Roman" w:eastAsia="Times New Roman" w:cs="Times New Roman"/>
          <w:sz w:val="24"/>
        </w:rPr>
        <w:t xml:space="preserve">). The most common failure mode (3/30 cases) was over-attributing pathogenicity to AlphaMissense scores without noting that AlphaMissense is trained on ClinVar and may reflect annotation bias rather than independent evidence.</w:t>
      </w:r>
    </w:p>
    <w:bookmarkEnd w:id="89"/>
    <w:bookmarkStart w:id="90" w:name="acmg-evidence-adjustment"/>
    <w:p>
      <w:pPr>
        <w:pStyle w:val="Heading4"/>
      </w:pPr>
      <w:r>
        <w:rPr>
          <w:rFonts w:ascii="Times New Roman" w:hAnsi="Times New Roman" w:eastAsia="Times New Roman" w:cs="Times New Roman"/>
          <w:sz w:val="24"/>
        </w:rPr>
        <w:t xml:space="preserve">11.3.3 ACMG Evidence Adjustment</w:t>
      </w:r>
    </w:p>
    <w:p>
      <w:pPr>
        <w:pStyle w:val="FirstParagraph"/>
      </w:pPr>
      <w:r>
        <w:rPr>
          <w:rFonts w:ascii="Times New Roman" w:hAnsi="Times New Roman" w:eastAsia="Times New Roman" w:cs="Times New Roman"/>
          <w:b/>
          <w:bCs/>
          <w:sz w:val="24"/>
        </w:rPr>
        <w:t xml:space="preserve">Input: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rule-based ACMG criteria with evidence codes and strengths, ClinVar submission details (review stars, submitter count, conflict flags), UniProt domain overlap, and the Evo2 prediction with confidence.</w:t>
      </w:r>
    </w:p>
    <w:p>
      <w:pPr>
        <w:pStyle w:val="BodyText"/>
      </w:pPr>
      <w:r>
        <w:rPr>
          <w:rFonts w:ascii="Times New Roman" w:hAnsi="Times New Roman" w:eastAsia="Times New Roman" w:cs="Times New Roman"/>
          <w:b/>
          <w:bCs/>
          <w:sz w:val="24"/>
        </w:rPr>
        <w:t xml:space="preserve">Prompt template:</w:t>
      </w:r>
    </w:p>
    <w:p>
      <w:pPr>
        <w:pStyle w:val="SourceCode"/>
      </w:pPr>
      <w:r>
        <w:rPr>
          <w:rStyle w:val="VerbatimChar"/>
          <w:rFonts w:ascii="Times New Roman" w:hAnsi="Times New Roman" w:eastAsia="Times New Roman" w:cs="Times New Roman"/>
          <w:sz w:val="24"/>
        </w:rPr>
        <w:t xml:space="preserve">SYSTEM: You are an ACMG/AMP variant classification expert. Given the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rule-based evidence criteria and contextual information, adjust evidence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strengths based on the following principles: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1. Low-confidence external evidence (0-star ClinVar, single submitter) should</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NOT upgrade computational evidence.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2. Variants in known functional domains (from UniProt) may upgrade PP3 from</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Supporting to Moderate.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3. Conflicting ClinVar submissions downgrade all ClinVar-derived evidence by</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one strength level.</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4. Do NOT add new evidence codes. Only adjust the strength of existing codes.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Output the adjusted criteria with a textual justification for each change.</w:t>
      </w:r>
      <w:r>
        <w:rPr>
          <w:rFonts w:ascii="Times New Roman" w:hAnsi="Times New Roman" w:eastAsia="Times New Roman" w:cs="Times New Roman"/>
          <w:sz w:val="24"/>
        </w:rPr>
        <w:br/>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USER: Rule-based criteria: {acmg_criteria_json}</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ClinVar: {clinvar_data}</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UniProt domains: {uniprot_domains}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Evo2: Δ={delta}, confidence={confidence}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Variant: {gene} {hgvs}</w:t>
      </w:r>
    </w:p>
    <w:p>
      <w:pPr>
        <w:pStyle w:val="FirstParagraph"/>
      </w:pPr>
      <w:r>
        <w:rPr>
          <w:rFonts w:ascii="Times New Roman" w:hAnsi="Times New Roman" w:eastAsia="Times New Roman" w:cs="Times New Roman"/>
          <w:b/>
          <w:bCs/>
          <w:sz w:val="24"/>
        </w:rPr>
        <w:t xml:space="preserve">Output format: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JSON with adjusted criteria (same structure as input, with</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adjusted_strength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justification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fields added per criterion) and a final</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narrative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field summarizing the adjustments.</w:t>
      </w:r>
    </w:p>
    <w:p>
      <w:pPr>
        <w:pStyle w:val="BodyText"/>
      </w:pPr>
      <w:r>
        <w:rPr>
          <w:rFonts w:ascii="Times New Roman" w:hAnsi="Times New Roman" w:eastAsia="Times New Roman" w:cs="Times New Roman"/>
          <w:b/>
          <w:bCs/>
          <w:sz w:val="24"/>
        </w:rPr>
        <w:t xml:space="preserve">Evaluation: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50 variants with expert-reviewed ACMG classifications, the LLM adjustments were compared to the expert consensus. The LLM agreed with expert adjustments on 42/50 cases (84.0%). The 8 disagreements were: 3 cases where the LLM over-upgraded PP3 based on domain overlap without considering that the domain was non-functional (e.g., disordered region misannotated as domain), 3 cases where the LLM failed to downgrade ClinVar evidence with conflicting submissions, and 2 cases where the LLM introduced a new evidence code (PP3 → PM3) despite the instruction not to add codes. The failure rate of 16% is acknowledged as a limitation.</w:t>
      </w:r>
    </w:p>
    <w:p>
      <w:pPr>
        <w:pStyle w:val="BodyText"/>
      </w:pPr>
      <w:r>
        <w:rPr>
          <w:rFonts w:ascii="Times New Roman" w:hAnsi="Times New Roman" w:eastAsia="Times New Roman" w:cs="Times New Roman"/>
          <w:b/>
          <w:bCs/>
          <w:sz w:val="24"/>
        </w:rPr>
        <w:t xml:space="preserve">Model selection rationale.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Llama 3.3 70B was selected over GPT-4 for three reasons: (i) open-weight model enabling reproducible deployment; (ii) lower inference cost via Groq hardware acceleration ($0.59/M tokens vs. $10/M tokens for GPT-4); (iii) comparable performance on biomedical reasoning tasks [33]. The temperature setting of</w:t>
      </w:r>
      <w:r>
        <w:rPr>
          <w:rFonts w:ascii="Times New Roman" w:hAnsi="Times New Roman" w:eastAsia="Times New Roman" w:cs="Times New Roman"/>
          <w:sz w:val="24"/>
        </w:rPr>
        <w:t xml:space="preserve"> </w:t>
      </w:r>
      <m:oMath>
        <m:r>
          <m:t>T</m:t>
        </m:r>
        <m:r>
          <m:rPr>
            <m:sty m:val="p"/>
          </m:rPr>
          <m:t>=</m:t>
        </m:r>
        <m:r>
          <m:t>0.1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was chosen after testing</w:t>
      </w:r>
      <w:r>
        <w:rPr>
          <w:rFonts w:ascii="Times New Roman" w:hAnsi="Times New Roman" w:eastAsia="Times New Roman" w:cs="Times New Roman"/>
          <w:sz w:val="24"/>
        </w:rPr>
        <w:t xml:space="preserve"> </w:t>
      </w:r>
      <m:oMath>
        <m:r>
          <m:t>T</m:t>
        </m:r>
        <m:r>
          <m:rPr>
            <m:sty m:val="p"/>
          </m:rPr>
          <m:t>∈</m:t>
        </m:r>
        <m:r>
          <m:rPr>
            <m:sty m:val="p"/>
          </m:rPr>
          <m:t>{</m:t>
        </m:r>
        <m:r>
          <m:t>0.0</m:t>
        </m:r>
        <m:r>
          <m:rPr>
            <m:sty m:val="p"/>
          </m:rPr>
          <m:t>,</m:t>
        </m:r>
        <m:r>
          <m:t>0.1</m:t>
        </m:r>
        <m:r>
          <m:rPr>
            <m:sty m:val="p"/>
          </m:rPr>
          <m:t>,</m:t>
        </m:r>
        <m:r>
          <m:t>0.3</m:t>
        </m:r>
        <m:r>
          <m:rPr>
            <m:sty m:val="p"/>
          </m:rPr>
          <m:t>,</m:t>
        </m:r>
        <m:r>
          <m:t>0.7</m:t>
        </m:r>
        <m:r>
          <m:rPr>
            <m:sty m:val="p"/>
          </m:rPr>
          <m:t>}</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T</m:t>
        </m:r>
        <m:r>
          <m:rPr>
            <m:sty m:val="p"/>
          </m:rPr>
          <m:t>=</m:t>
        </m:r>
        <m:r>
          <m:t>0.0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produced repetitive outputs on ambiguous variants, while</w:t>
      </w:r>
      <w:r>
        <w:rPr>
          <w:rFonts w:ascii="Times New Roman" w:hAnsi="Times New Roman" w:eastAsia="Times New Roman" w:cs="Times New Roman"/>
          <w:sz w:val="24"/>
        </w:rPr>
        <w:t xml:space="preserve"> </w:t>
      </w:r>
      <m:oMath>
        <m:r>
          <m:t>T</m:t>
        </m:r>
        <m:r>
          <m:rPr>
            <m:sty m:val="p"/>
          </m:rPr>
          <m:t>≥</m:t>
        </m:r>
        <m:r>
          <m:t>0.3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increased the unsupported claim rate from 3% to 8%.</w:t>
      </w:r>
    </w:p>
    <w:p>
      <w:r>
        <w:rPr>
          <w:rFonts w:ascii="Times New Roman" w:hAnsi="Times New Roman" w:eastAsia="Times New Roman" w:cs="Times New Roman"/>
          <w:sz w:val="24"/>
        </w:rPr>
        <w:pict>
          <v:rect style="width:0;height:1.5pt" o:hralign="center" o:hrstd="t" o:hr="t"/>
        </w:pict>
      </w:r>
    </w:p>
    <w:bookmarkEnd w:id="90"/>
    <w:bookmarkEnd w:id="91"/>
    <w:bookmarkEnd w:id="92"/>
    <w:bookmarkStart w:id="96" w:name="retrieval-augmented-clinical-report"/>
    <w:p>
      <w:pPr>
        <w:pStyle w:val="Heading2"/>
      </w:pPr>
      <w:r>
        <w:rPr>
          <w:rFonts w:ascii="Times New Roman" w:hAnsi="Times New Roman" w:eastAsia="Times New Roman" w:cs="Times New Roman"/>
          <w:sz w:val="24"/>
        </w:rPr>
        <w:t xml:space="preserve">12. Retrieval-Augmented Clinical Report</w:t>
      </w:r>
    </w:p>
    <w:bookmarkStart w:id="93" w:name="architecture-1"/>
    <w:p>
      <w:pPr>
        <w:pStyle w:val="Heading3"/>
      </w:pPr>
      <w:r>
        <w:rPr>
          <w:rFonts w:ascii="Times New Roman" w:hAnsi="Times New Roman" w:eastAsia="Times New Roman" w:cs="Times New Roman"/>
          <w:sz w:val="24"/>
        </w:rPr>
        <w:t xml:space="preserve">12.1 Architecture</w:t>
      </w:r>
    </w:p>
    <w:p>
      <w:pPr>
        <w:pStyle w:val="FirstParagraph"/>
      </w:pPr>
      <w:r>
        <w:rPr>
          <w:rFonts w:ascii="Times New Roman" w:hAnsi="Times New Roman" w:eastAsia="Times New Roman" w:cs="Times New Roman"/>
          <w:sz w:val="24"/>
        </w:rPr>
        <w:t xml:space="preserve">A tri-modal RAG architecture [18,19] synthesizes evidence from three retrieval streams: (1) ClinVar clinical consensus, (2) UniProt biological context, and (3) PubMed literature. A Llama 3.3 70B model [33] receives all streams plus the Evo2 prediction, VEP annotation, gnomAD data, and CEFN v2 output, and generates a structured report.</w:t>
      </w:r>
    </w:p>
    <w:bookmarkEnd w:id="93"/>
    <w:bookmarkStart w:id="94" w:name="source-tagging"/>
    <w:p>
      <w:pPr>
        <w:pStyle w:val="Heading3"/>
      </w:pPr>
      <w:r>
        <w:rPr>
          <w:rFonts w:ascii="Times New Roman" w:hAnsi="Times New Roman" w:eastAsia="Times New Roman" w:cs="Times New Roman"/>
          <w:sz w:val="24"/>
        </w:rPr>
        <w:t xml:space="preserve">12.2 Source Tagging</w:t>
      </w:r>
    </w:p>
    <w:p>
      <w:pPr>
        <w:pStyle w:val="FirstParagraph"/>
      </w:pPr>
      <w:r>
        <w:rPr>
          <w:rFonts w:ascii="Times New Roman" w:hAnsi="Times New Roman" w:eastAsia="Times New Roman" w:cs="Times New Roman"/>
          <w:sz w:val="24"/>
        </w:rPr>
        <w:t xml:space="preserve">Each claim in the generated report is tagged with its evidence source (e.g., [VEP], [Evo2], [gnomAD], [ClinVar], [UniProt], [PubMed]). This enables source verification and reduces hallucination — the LLM is constrained to attribute claims to provided context rather than generating unsupported statements.</w:t>
      </w:r>
    </w:p>
    <w:bookmarkEnd w:id="94"/>
    <w:bookmarkStart w:id="95" w:name="report-structure"/>
    <w:p>
      <w:pPr>
        <w:pStyle w:val="Heading3"/>
      </w:pPr>
      <w:r>
        <w:rPr>
          <w:rFonts w:ascii="Times New Roman" w:hAnsi="Times New Roman" w:eastAsia="Times New Roman" w:cs="Times New Roman"/>
          <w:sz w:val="24"/>
        </w:rPr>
        <w:t xml:space="preserve">12.3 Report Structure</w:t>
      </w:r>
    </w:p>
    <w:p>
      <w:pPr>
        <w:pStyle w:val="FirstParagraph"/>
      </w:pPr>
      <w:r>
        <w:rPr>
          <w:rFonts w:ascii="Times New Roman" w:hAnsi="Times New Roman" w:eastAsia="Times New Roman" w:cs="Times New Roman"/>
          <w:sz w:val="24"/>
        </w:rPr>
        <w:t xml:space="preserve">The report contains six sections: (1) molecular mechanism (VEP consequence, amino acid change, domain context), (2) computational prediction (Evo2</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CEFN v2 beliefs, consensus), (3) population evidence (gnomAD AF, population-specific AF), (4) clinical evidence (ClinVar classification, review status), (5) integrated assessment, (6) limitations.</w:t>
      </w:r>
    </w:p>
    <w:p>
      <w:r>
        <w:rPr>
          <w:rFonts w:ascii="Times New Roman" w:hAnsi="Times New Roman" w:eastAsia="Times New Roman" w:cs="Times New Roman"/>
          <w:sz w:val="24"/>
        </w:rPr>
        <w:pict>
          <v:rect style="width:0;height:1.5pt" o:hralign="center" o:hrstd="t" o:hr="t"/>
        </w:pict>
      </w:r>
    </w:p>
    <w:bookmarkEnd w:id="95"/>
    <w:bookmarkEnd w:id="96"/>
    <w:bookmarkStart w:id="97" w:name="confidence-scoring"/>
    <w:p>
      <w:pPr>
        <w:pStyle w:val="Heading2"/>
      </w:pPr>
      <w:r>
        <w:rPr>
          <w:rFonts w:ascii="Times New Roman" w:hAnsi="Times New Roman" w:eastAsia="Times New Roman" w:cs="Times New Roman"/>
          <w:sz w:val="24"/>
        </w:rPr>
        <w:t xml:space="preserve">13. Confidence Scoring</w:t>
      </w:r>
    </w:p>
    <w:p>
      <w:pPr>
        <w:pStyle w:val="FirstParagraph"/>
      </w:pPr>
      <w:r>
        <w:rPr>
          <w:rFonts w:ascii="Times New Roman" w:hAnsi="Times New Roman" w:eastAsia="Times New Roman" w:cs="Times New Roman"/>
          <w:sz w:val="24"/>
        </w:rPr>
        <w:t xml:space="preserve">Per-source confidence is assigned based on data availability and quality:</w:t>
      </w:r>
    </w:p>
    <w:p>
      <w:pPr>
        <w:pStyle w:val="Caption"/>
      </w:pPr>
      <w:bookmarkStart w:id="60832" w:name="_Tbl18"/>
      <w:r>
        <w:rPr>
          <w:rFonts w:ascii="Times New Roman" w:hAnsi="Times New Roman" w:eastAsia="Times New Roman" w:cs="Times New Roman"/>
          <w:b/>
          <w:bCs/>
          <w:sz w:val="24"/>
        </w:rPr>
        <w:t xml:space="preserve">Table 18: Per-Source Confidence Levels.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Confidence tier assignment for each evidence source based on data availability and quality. High confidence requires strong evidence; missing sources are explicitly flagged rather than imputed.</w:t>
      </w:r>
      <w:bookmarkEnd w:id="60832"/>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ascii="Times New Roman" w:hAnsi="Times New Roman" w:eastAsia="Times New Roman" w:cs="Times New Roman"/>
                <w:sz w:val="20"/>
              </w:rPr>
              <w:t xml:space="preserve">Source</w:t>
            </w:r>
          </w:p>
        </w:tc>
        <w:tc>
          <w:tcPr/>
          <w:p>
            <w:pPr>
              <w:pStyle w:val="Compact"/>
            </w:pPr>
            <w:r>
              <w:rPr>
                <w:rFonts w:ascii="Times New Roman" w:hAnsi="Times New Roman" w:eastAsia="Times New Roman" w:cs="Times New Roman"/>
                <w:sz w:val="20"/>
              </w:rPr>
              <w:t xml:space="preserve">High</w:t>
            </w:r>
          </w:p>
        </w:tc>
        <w:tc>
          <w:tcPr/>
          <w:p>
            <w:pPr>
              <w:pStyle w:val="Compact"/>
            </w:pPr>
            <w:r>
              <w:rPr>
                <w:rFonts w:ascii="Times New Roman" w:hAnsi="Times New Roman" w:eastAsia="Times New Roman" w:cs="Times New Roman"/>
                <w:sz w:val="20"/>
              </w:rPr>
              <w:t xml:space="preserve">Medium</w:t>
            </w:r>
          </w:p>
        </w:tc>
        <w:tc>
          <w:tcPr/>
          <w:p>
            <w:pPr>
              <w:pStyle w:val="Compact"/>
            </w:pPr>
            <w:r>
              <w:rPr>
                <w:rFonts w:ascii="Times New Roman" w:hAnsi="Times New Roman" w:eastAsia="Times New Roman" w:cs="Times New Roman"/>
                <w:sz w:val="20"/>
              </w:rPr>
              <w:t xml:space="preserve">Low</w:t>
            </w:r>
          </w:p>
        </w:tc>
        <w:tc>
          <w:tcPr/>
          <w:p>
            <w:pPr>
              <w:pStyle w:val="Compact"/>
            </w:pPr>
            <w:r>
              <w:rPr>
                <w:rFonts w:ascii="Times New Roman" w:hAnsi="Times New Roman" w:eastAsia="Times New Roman" w:cs="Times New Roman"/>
                <w:sz w:val="20"/>
              </w:rPr>
              <w:t xml:space="preserve">Missing</w:t>
            </w:r>
          </w:p>
        </w:tc>
      </w:tr>
      <w:tr>
        <w:tc>
          <w:tcPr/>
          <w:p>
            <w:pPr>
              <w:pStyle w:val="Compact"/>
            </w:pPr>
            <w:r>
              <w:rPr>
                <w:rFonts w:ascii="Times New Roman" w:hAnsi="Times New Roman" w:eastAsia="Times New Roman" w:cs="Times New Roman"/>
                <w:sz w:val="20"/>
              </w:rPr>
              <w:t xml:space="preserve">VEP</w:t>
            </w:r>
          </w:p>
        </w:tc>
        <w:tc>
          <w:tcPr/>
          <w:p>
            <w:pPr>
              <w:pStyle w:val="Compact"/>
            </w:pPr>
            <w:r>
              <w:rPr>
                <w:rFonts w:ascii="Times New Roman" w:hAnsi="Times New Roman" w:eastAsia="Times New Roman" w:cs="Times New Roman"/>
                <w:sz w:val="20"/>
              </w:rPr>
              <w:t xml:space="preserve">HIGH impact</w:t>
            </w:r>
          </w:p>
        </w:tc>
        <w:tc>
          <w:tcPr/>
          <w:p>
            <w:pPr>
              <w:pStyle w:val="Compact"/>
            </w:pPr>
            <w:r>
              <w:rPr>
                <w:rFonts w:ascii="Times New Roman" w:hAnsi="Times New Roman" w:eastAsia="Times New Roman" w:cs="Times New Roman"/>
                <w:sz w:val="20"/>
              </w:rPr>
              <w:t xml:space="preserve">MODERATE</w:t>
            </w:r>
          </w:p>
        </w:tc>
        <w:tc>
          <w:tcPr/>
          <w:p>
            <w:pPr>
              <w:pStyle w:val="Compact"/>
            </w:pPr>
            <w:r>
              <w:rPr>
                <w:rFonts w:ascii="Times New Roman" w:hAnsi="Times New Roman" w:eastAsia="Times New Roman" w:cs="Times New Roman"/>
                <w:sz w:val="20"/>
              </w:rPr>
              <w:t xml:space="preserve">LOW</w:t>
            </w:r>
          </w:p>
        </w:tc>
        <w:tc>
          <w:tcPr/>
          <w:p>
            <w:pPr>
              <w:pStyle w:val="Compact"/>
            </w:pPr>
            <w:r>
              <w:rPr>
                <w:rFonts w:ascii="Times New Roman" w:hAnsi="Times New Roman" w:eastAsia="Times New Roman" w:cs="Times New Roman"/>
                <w:sz w:val="20"/>
              </w:rPr>
              <w:t xml:space="preserve">—</w:t>
            </w:r>
          </w:p>
        </w:tc>
      </w:tr>
      <w:tr>
        <w:tc>
          <w:tcPr/>
          <w:p>
            <w:pPr>
              <w:pStyle w:val="Compact"/>
            </w:pPr>
            <w:r>
              <w:rPr>
                <w:rFonts w:ascii="Times New Roman" w:hAnsi="Times New Roman" w:eastAsia="Times New Roman" w:cs="Times New Roman"/>
                <w:sz w:val="20"/>
              </w:rPr>
              <w:t xml:space="preserve">Evo2</w:t>
            </w:r>
          </w:p>
        </w:tc>
        <w:tc>
          <w:tcPr/>
          <w:p>
            <w:pPr>
              <w:pStyle w:val="Compact"/>
            </w:pPr>
            <m:oMath>
              <m:r>
                <m:t>c</m:t>
              </m:r>
              <m:r>
                <m:rPr>
                  <m:sty m:val="p"/>
                </m:rPr>
                <m:t>&gt;</m:t>
              </m:r>
              <m:r>
                <m:t>0.7</m:t>
              </m:r>
            </m:oMath>
          </w:p>
        </w:tc>
        <w:tc>
          <w:tcPr/>
          <w:p>
            <w:pPr>
              <w:pStyle w:val="Compact"/>
            </w:pPr>
            <m:oMath>
              <m:r>
                <m:t>0.3</m:t>
              </m:r>
              <m:r>
                <m:rPr>
                  <m:sty m:val="p"/>
                </m:rPr>
                <m:t>≤</m:t>
              </m:r>
              <m:r>
                <m:t>c</m:t>
              </m:r>
              <m:r>
                <m:rPr>
                  <m:sty m:val="p"/>
                </m:rPr>
                <m:t>≤</m:t>
              </m:r>
              <m:r>
                <m:t>0.7</m:t>
              </m:r>
            </m:oMath>
          </w:p>
        </w:tc>
        <w:tc>
          <w:tcPr/>
          <w:p>
            <w:pPr>
              <w:pStyle w:val="Compact"/>
            </w:pPr>
            <m:oMath>
              <m:r>
                <m:t>c</m:t>
              </m:r>
              <m:r>
                <m:rPr>
                  <m:sty m:val="p"/>
                </m:rPr>
                <m:t>&lt;</m:t>
              </m:r>
              <m:r>
                <m:t>0.3</m:t>
              </m:r>
            </m:oMath>
          </w:p>
        </w:tc>
        <w:tc>
          <w:tcPr/>
          <w:p>
            <w:pPr>
              <w:pStyle w:val="Compact"/>
            </w:pPr>
            <w:r>
              <w:rPr>
                <w:rFonts w:ascii="Times New Roman" w:hAnsi="Times New Roman" w:eastAsia="Times New Roman" w:cs="Times New Roman"/>
                <w:sz w:val="20"/>
              </w:rPr>
              <w:t xml:space="preserve">—</w:t>
            </w:r>
          </w:p>
        </w:tc>
      </w:tr>
      <w:tr>
        <w:tc>
          <w:tcPr/>
          <w:p>
            <w:pPr>
              <w:pStyle w:val="Compact"/>
            </w:pPr>
            <w:r>
              <w:rPr>
                <w:rFonts w:ascii="Times New Roman" w:hAnsi="Times New Roman" w:eastAsia="Times New Roman" w:cs="Times New Roman"/>
                <w:sz w:val="20"/>
              </w:rPr>
              <w:t xml:space="preserve">gnomAD</w:t>
            </w:r>
          </w:p>
        </w:tc>
        <w:tc>
          <w:tcPr/>
          <w:p>
            <w:pPr>
              <w:pStyle w:val="Compact"/>
            </w:pPr>
            <w:r>
              <w:rPr>
                <w:rFonts w:ascii="Times New Roman" w:hAnsi="Times New Roman" w:eastAsia="Times New Roman" w:cs="Times New Roman"/>
                <w:sz w:val="20"/>
              </w:rPr>
              <w:t xml:space="preserve">Found</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Not found</w:t>
            </w:r>
          </w:p>
        </w:tc>
      </w:tr>
      <w:tr>
        <w:tc>
          <w:tcPr/>
          <w:p>
            <w:pPr>
              <w:pStyle w:val="Compact"/>
            </w:pPr>
            <w:r>
              <w:rPr>
                <w:rFonts w:ascii="Times New Roman" w:hAnsi="Times New Roman" w:eastAsia="Times New Roman" w:cs="Times New Roman"/>
                <w:sz w:val="20"/>
              </w:rPr>
              <w:t xml:space="preserve">PubMed</w:t>
            </w:r>
          </w:p>
        </w:tc>
        <w:tc>
          <w:tcPr/>
          <w:p>
            <w:pPr>
              <w:pStyle w:val="Compact"/>
            </w:pPr>
            <m:oMath>
              <m:r>
                <m:rPr>
                  <m:sty m:val="p"/>
                </m:rPr>
                <m:t>≥</m:t>
              </m:r>
              <m:r>
                <m:t>10</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articles</w:t>
            </w:r>
          </w:p>
        </w:tc>
        <w:tc>
          <w:tcPr/>
          <w:p>
            <w:pPr>
              <w:pStyle w:val="Compact"/>
            </w:pPr>
            <w:r>
              <w:rPr>
                <w:rFonts w:ascii="Times New Roman" w:hAnsi="Times New Roman" w:eastAsia="Times New Roman" w:cs="Times New Roman"/>
                <w:sz w:val="20"/>
              </w:rPr>
              <w:t xml:space="preserve">1–9</w:t>
            </w:r>
          </w:p>
        </w:tc>
        <w:tc>
          <w:tcPr/>
          <w:p>
            <w:pPr>
              <w:pStyle w:val="Compact"/>
            </w:pPr>
            <w:r>
              <w:rPr>
                <w:rFonts w:ascii="Times New Roman" w:hAnsi="Times New Roman" w:eastAsia="Times New Roman" w:cs="Times New Roman"/>
                <w:sz w:val="20"/>
              </w:rPr>
              <w:t xml:space="preserve">0</w:t>
            </w:r>
          </w:p>
        </w:tc>
        <w:tc>
          <w:tcPr/>
          <w:p>
            <w:pPr>
              <w:pStyle w:val="Compact"/>
            </w:pPr>
            <w:r>
              <w:rPr>
                <w:rFonts w:ascii="Times New Roman" w:hAnsi="Times New Roman" w:eastAsia="Times New Roman" w:cs="Times New Roman"/>
                <w:sz w:val="20"/>
              </w:rPr>
              <w:t xml:space="preserve">Not found</w:t>
            </w:r>
          </w:p>
        </w:tc>
      </w:tr>
      <w:tr>
        <w:tc>
          <w:tcPr/>
          <w:p>
            <w:pPr>
              <w:pStyle w:val="Compact"/>
            </w:pPr>
            <w:r>
              <w:rPr>
                <w:rFonts w:ascii="Times New Roman" w:hAnsi="Times New Roman" w:eastAsia="Times New Roman" w:cs="Times New Roman"/>
                <w:sz w:val="20"/>
              </w:rPr>
              <w:t xml:space="preserve">ClinVar</w:t>
            </w:r>
          </w:p>
        </w:tc>
        <w:tc>
          <w:tcPr/>
          <w:p>
            <w:pPr>
              <w:pStyle w:val="Compact"/>
            </w:pPr>
            <m:oMath>
              <m:r>
                <m:rPr>
                  <m:sty m:val="p"/>
                </m:rPr>
                <m: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stars</w:t>
            </w:r>
          </w:p>
        </w:tc>
        <w:tc>
          <w:tcPr/>
          <w:p>
            <w:pPr>
              <w:pStyle w:val="Compact"/>
            </w:pPr>
            <w:r>
              <w:rPr>
                <w:rFonts w:ascii="Times New Roman" w:hAnsi="Times New Roman" w:eastAsia="Times New Roman" w:cs="Times New Roman"/>
                <w:sz w:val="20"/>
              </w:rPr>
              <w:t xml:space="preserve">1 star</w:t>
            </w:r>
          </w:p>
        </w:tc>
        <w:tc>
          <w:tcPr/>
          <w:p>
            <w:pPr>
              <w:pStyle w:val="Compact"/>
            </w:pPr>
            <w:r>
              <w:rPr>
                <w:rFonts w:ascii="Times New Roman" w:hAnsi="Times New Roman" w:eastAsia="Times New Roman" w:cs="Times New Roman"/>
                <w:sz w:val="20"/>
              </w:rPr>
              <w:t xml:space="preserve">0 stars</w:t>
            </w:r>
          </w:p>
        </w:tc>
        <w:tc>
          <w:tcPr/>
          <w:p>
            <w:pPr>
              <w:pStyle w:val="Compact"/>
            </w:pPr>
            <w:r>
              <w:rPr>
                <w:rFonts w:ascii="Times New Roman" w:hAnsi="Times New Roman" w:eastAsia="Times New Roman" w:cs="Times New Roman"/>
                <w:sz w:val="20"/>
              </w:rPr>
              <w:t xml:space="preserve">Not found</w:t>
            </w:r>
          </w:p>
        </w:tc>
      </w:tr>
      <w:tr>
        <w:tc>
          <w:tcPr/>
          <w:p>
            <w:pPr>
              <w:pStyle w:val="Compact"/>
            </w:pPr>
            <w:r>
              <w:rPr>
                <w:rFonts w:ascii="Times New Roman" w:hAnsi="Times New Roman" w:eastAsia="Times New Roman" w:cs="Times New Roman"/>
                <w:sz w:val="20"/>
              </w:rPr>
              <w:t xml:space="preserve">UniProt</w:t>
            </w:r>
          </w:p>
        </w:tc>
        <w:tc>
          <w:tcPr/>
          <w:p>
            <w:pPr>
              <w:pStyle w:val="Compact"/>
            </w:pPr>
            <w:r>
              <w:rPr>
                <w:rFonts w:ascii="Times New Roman" w:hAnsi="Times New Roman" w:eastAsia="Times New Roman" w:cs="Times New Roman"/>
                <w:sz w:val="20"/>
              </w:rPr>
              <w:t xml:space="preserve">Reviewed</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w:t>
            </w:r>
          </w:p>
        </w:tc>
        <w:tc>
          <w:tcPr/>
          <w:p>
            <w:pPr>
              <w:pStyle w:val="Compact"/>
            </w:pPr>
            <w:r>
              <w:rPr>
                <w:rFonts w:ascii="Times New Roman" w:hAnsi="Times New Roman" w:eastAsia="Times New Roman" w:cs="Times New Roman"/>
                <w:sz w:val="20"/>
              </w:rPr>
              <w:t xml:space="preserve">Not found</w:t>
            </w:r>
          </w:p>
        </w:tc>
      </w:tr>
    </w:tbl>
    <w:p>
      <w:pPr>
        <w:pStyle w:val="BodyText"/>
      </w:pPr>
      <w:r>
        <w:rPr>
          <w:rFonts w:ascii="Times New Roman" w:hAnsi="Times New Roman" w:eastAsia="Times New Roman" w:cs="Times New Roman"/>
          <w:sz w:val="24"/>
        </w:rPr>
        <w:t xml:space="preserve">Overall confidence combines a quality-weighted average with a coverage penalty that penalizes variants with fewer available evidence sources:</w:t>
      </w:r>
    </w:p>
    <w:p>
      <w:pPr>
        <w:pStyle w:val="BodyText"/>
      </w:pPr>
      <m:oMathPara>
        <m:oMathParaPr>
          <m:jc m:val="center"/>
        </m:oMathParaPr>
        <m:oMath>
          <m:r>
            <m:t>C</m:t>
          </m:r>
          <m:r>
            <m:rPr>
              <m:sty m:val="p"/>
            </m:rPr>
            <m:t>=</m:t>
          </m:r>
          <m:limLow>
            <m:e>
              <m:limLow>
                <m:e>
                  <m:f>
                    <m:fPr>
                      <m:type m:val="bar"/>
                    </m:fPr>
                    <m:num>
                      <m:nary>
                        <m:naryPr>
                          <m:chr m:val="∑"/>
                          <m:limLoc m:val="undOvr"/>
                          <m:subHide m:val="off"/>
                          <m:supHide m:val="on"/>
                        </m:naryPr>
                        <m:sub>
                          <m:r>
                            <m:t>i</m:t>
                          </m:r>
                          <m:r>
                            <m:rPr>
                              <m:sty m:val="p"/>
                            </m:rPr>
                            <m:t>∈</m:t>
                          </m:r>
                          <m:r>
                            <m:rPr>
                              <m:sty m:val="p"/>
                              <m:scr m:val="script"/>
                            </m:rPr>
                            <m:t>A</m:t>
                          </m:r>
                        </m:sub>
                        <m:sup>
                          <m:r>
                            <m:t>​</m:t>
                          </m:r>
                        </m:sup>
                        <m:e>
                          <m:sSub>
                            <m:e>
                              <m:r>
                                <m:t>w</m:t>
                              </m:r>
                            </m:e>
                            <m:sub>
                              <m:r>
                                <m:t>i</m:t>
                              </m:r>
                            </m:sub>
                          </m:sSub>
                        </m:e>
                      </m:nary>
                      <m:r>
                        <m:t> </m:t>
                      </m:r>
                      <m:sSub>
                        <m:e>
                          <m:r>
                            <m:t>c</m:t>
                          </m:r>
                        </m:e>
                        <m:sub>
                          <m:r>
                            <m:t>i</m:t>
                          </m:r>
                        </m:sub>
                      </m:sSub>
                    </m:num>
                    <m:den>
                      <m:nary>
                        <m:naryPr>
                          <m:chr m:val="∑"/>
                          <m:limLoc m:val="undOvr"/>
                          <m:subHide m:val="off"/>
                          <m:supHide m:val="on"/>
                        </m:naryPr>
                        <m:sub>
                          <m:r>
                            <m:t>i</m:t>
                          </m:r>
                          <m:r>
                            <m:rPr>
                              <m:sty m:val="p"/>
                            </m:rPr>
                            <m:t>∈</m:t>
                          </m:r>
                          <m:r>
                            <m:rPr>
                              <m:sty m:val="p"/>
                              <m:scr m:val="script"/>
                            </m:rPr>
                            <m:t>A</m:t>
                          </m:r>
                        </m:sub>
                        <m:sup>
                          <m:r>
                            <m:t>​</m:t>
                          </m:r>
                        </m:sup>
                        <m:e>
                          <m:sSub>
                            <m:e>
                              <m:r>
                                <m:t>w</m:t>
                              </m:r>
                            </m:e>
                            <m:sub>
                              <m:r>
                                <m:t>i</m:t>
                              </m:r>
                            </m:sub>
                          </m:sSub>
                        </m:e>
                      </m:nary>
                    </m:den>
                  </m:f>
                </m:e>
                <m:lim>
                  <m:r>
                    <m:rPr>
                      <m:sty m:val="p"/>
                    </m:rPr>
                    <m:t>⏟</m:t>
                  </m:r>
                </m:lim>
              </m:limLow>
            </m:e>
            <m:lim>
              <m:r>
                <m:rPr>
                  <m:nor/>
                  <m:sty m:val="p"/>
                </m:rPr>
                <m:t>quality score</m:t>
              </m:r>
            </m:lim>
          </m:limLow>
          <m:r>
            <m:rPr>
              <m:sty m:val="p"/>
            </m:rPr>
            <m:t>×</m:t>
          </m:r>
          <m:limLow>
            <m:e>
              <m:limLow>
                <m:e>
                  <m:f>
                    <m:fPr>
                      <m:type m:val="bar"/>
                    </m:fPr>
                    <m:num>
                      <m:d>
                        <m:dPr>
                          <m:begChr m:val="|"/>
                          <m:endChr m:val="|"/>
                          <m:sepChr m:val=""/>
                          <m:grow/>
                        </m:dPr>
                        <m:e>
                          <m:r>
                            <m:rPr>
                              <m:sty m:val="p"/>
                              <m:scr m:val="script"/>
                            </m:rPr>
                            <m:t>A</m:t>
                          </m:r>
                        </m:e>
                      </m:d>
                    </m:num>
                    <m:den>
                      <m:sSub>
                        <m:e>
                          <m:r>
                            <m:t>N</m:t>
                          </m:r>
                        </m:e>
                        <m:sub>
                          <m:r>
                            <m:rPr>
                              <m:nor/>
                              <m:sty m:val="p"/>
                            </m:rPr>
                            <m:t>total</m:t>
                          </m:r>
                        </m:sub>
                      </m:sSub>
                    </m:den>
                  </m:f>
                </m:e>
                <m:lim>
                  <m:r>
                    <m:rPr>
                      <m:sty m:val="p"/>
                    </m:rPr>
                    <m:t>⏟</m:t>
                  </m:r>
                </m:lim>
              </m:limLow>
            </m:e>
            <m:lim>
              <m:r>
                <m:rPr>
                  <m:nor/>
                  <m:sty m:val="p"/>
                </m:rPr>
                <m:t>coverage factor</m:t>
              </m:r>
            </m:lim>
          </m:limLow>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r>
          <m:rPr>
            <m:sty m:val="p"/>
            <m:scr m:val="script"/>
          </m:rPr>
          <m:t>A</m:t>
        </m:r>
        <m:r>
          <m:rPr>
            <m:sty m:val="p"/>
          </m:rPr>
          <m:t>=</m:t>
        </m:r>
        <m:r>
          <m:rPr>
            <m:sty m:val="p"/>
          </m:rPr>
          <m:t>{</m:t>
        </m:r>
        <m:r>
          <m:t>i</m:t>
        </m:r>
        <m:r>
          <m:rPr>
            <m:sty m:val="p"/>
          </m:rPr>
          <m:t>:</m:t>
        </m:r>
        <m:sSub>
          <m:e>
            <m:r>
              <m:t>c</m:t>
            </m:r>
          </m:e>
          <m:sub>
            <m:r>
              <m:t>i</m:t>
            </m:r>
          </m:sub>
        </m:sSub>
        <m:r>
          <m:rPr>
            <m:sty m:val="p"/>
          </m:rPr>
          <m:t>≠</m:t>
        </m:r>
        <m:r>
          <m:rPr>
            <m:nor/>
            <m:sty m:val="p"/>
          </m:rPr>
          <m:t>Missing</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set of available sources,</w:t>
      </w:r>
      <w:r>
        <w:rPr>
          <w:rFonts w:ascii="Times New Roman" w:hAnsi="Times New Roman" w:eastAsia="Times New Roman" w:cs="Times New Roman"/>
          <w:sz w:val="24"/>
        </w:rPr>
        <w:t xml:space="preserve"> </w:t>
      </w:r>
      <m:oMath>
        <m:sSub>
          <m:e>
            <m:r>
              <m:t>N</m:t>
            </m:r>
          </m:e>
          <m:sub>
            <m:r>
              <m:rPr>
                <m:nor/>
                <m:sty m:val="p"/>
              </m:rPr>
              <m:t>total</m:t>
            </m:r>
          </m:sub>
        </m:sSub>
        <m:r>
          <m:rPr>
            <m:sty m:val="p"/>
          </m:rPr>
          <m:t>=</m:t>
        </m:r>
        <m:r>
          <m:t>6</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total number of evidence sources,</w:t>
      </w:r>
      <w:r>
        <w:rPr>
          <w:rFonts w:ascii="Times New Roman" w:hAnsi="Times New Roman" w:eastAsia="Times New Roman" w:cs="Times New Roman"/>
          <w:sz w:val="24"/>
        </w:rPr>
        <w:t xml:space="preserve"> </w:t>
      </w:r>
      <m:oMath>
        <m:sSub>
          <m:e>
            <m:r>
              <m:t>c</m:t>
            </m:r>
          </m:e>
          <m:sub>
            <m:r>
              <m:t>i</m:t>
            </m:r>
          </m:sub>
        </m:sSub>
        <m:r>
          <m:rPr>
            <m:sty m:val="p"/>
          </m:rPr>
          <m:t>∈</m:t>
        </m:r>
        <m:r>
          <m:rPr>
            <m:sty m:val="p"/>
          </m:rPr>
          <m:t>{</m:t>
        </m:r>
        <m:r>
          <m:t>1.0</m:t>
        </m:r>
        <m:r>
          <m:rPr>
            <m:sty m:val="p"/>
          </m:rPr>
          <m:t>,</m:t>
        </m:r>
        <m:r>
          <m:t>0.5</m:t>
        </m:r>
        <m:r>
          <m:rPr>
            <m:sty m:val="p"/>
          </m:rPr>
          <m:t>,</m:t>
        </m:r>
        <m:r>
          <m:t>0.25</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High/Medium/Low, and</w:t>
      </w:r>
      <w:r>
        <w:rPr>
          <w:rFonts w:ascii="Times New Roman" w:hAnsi="Times New Roman" w:eastAsia="Times New Roman" w:cs="Times New Roman"/>
          <w:sz w:val="24"/>
        </w:rPr>
        <w:t xml:space="preserve"> </w:t>
      </w:r>
      <m:oMath>
        <m:sSub>
          <m:e>
            <m:r>
              <m:t>w</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source weight. The coverage factor ensures that a variant with only two available sources cannot achieve higher confidence than one with all six sources present, even if both available sources are high-quality. A variant with all six sources at High confidence yields</w:t>
      </w:r>
      <w:r>
        <w:rPr>
          <w:rFonts w:ascii="Times New Roman" w:hAnsi="Times New Roman" w:eastAsia="Times New Roman" w:cs="Times New Roman"/>
          <w:sz w:val="24"/>
        </w:rPr>
        <w:t xml:space="preserve"> </w:t>
      </w:r>
      <m:oMath>
        <m:r>
          <m:t>C</m:t>
        </m:r>
        <m:r>
          <m:rPr>
            <m:sty m:val="p"/>
          </m:rPr>
          <m:t>=</m:t>
        </m:r>
        <m:r>
          <m:t>1.0</m:t>
        </m:r>
      </m:oMath>
      <w:r>
        <w:rPr>
          <w:rFonts w:ascii="Times New Roman" w:hAnsi="Times New Roman" w:eastAsia="Times New Roman" w:cs="Times New Roman"/>
          <w:sz w:val="24"/>
        </w:rPr>
        <w:t xml:space="preserve">; a variant with only Evo2 (High) and gnomAD (High) yields</w:t>
      </w:r>
      <w:r>
        <w:rPr>
          <w:rFonts w:ascii="Times New Roman" w:hAnsi="Times New Roman" w:eastAsia="Times New Roman" w:cs="Times New Roman"/>
          <w:sz w:val="24"/>
        </w:rPr>
        <w:t xml:space="preserve"> </w:t>
      </w:r>
      <m:oMath>
        <m:r>
          <m:t>C</m:t>
        </m:r>
        <m:r>
          <m:rPr>
            <m:sty m:val="p"/>
          </m:rPr>
          <m:t>=</m:t>
        </m:r>
        <m:r>
          <m:t>1.0</m:t>
        </m:r>
        <m:r>
          <m:rPr>
            <m:sty m:val="p"/>
          </m:rPr>
          <m:t>×</m:t>
        </m:r>
        <m:r>
          <m:t>2</m:t>
        </m:r>
        <m:r>
          <m:rPr>
            <m:sty m:val="p"/>
          </m:rPr>
          <m:t>/</m:t>
        </m:r>
        <m:r>
          <m:t>6</m:t>
        </m:r>
        <m:r>
          <m:rPr>
            <m:sty m:val="p"/>
          </m:rPr>
          <m:t>=</m:t>
        </m:r>
        <m:r>
          <m:t>0.33</m:t>
        </m:r>
      </m:oMath>
      <w:r>
        <w:rPr>
          <w:rFonts w:ascii="Times New Roman" w:hAnsi="Times New Roman" w:eastAsia="Times New Roman" w:cs="Times New Roman"/>
          <w:sz w:val="24"/>
        </w:rPr>
        <w:t xml:space="preserve">.</w:t>
      </w:r>
    </w:p>
    <w:p>
      <w:r>
        <w:rPr>
          <w:rFonts w:ascii="Times New Roman" w:hAnsi="Times New Roman" w:eastAsia="Times New Roman" w:cs="Times New Roman"/>
          <w:sz w:val="24"/>
        </w:rPr>
        <w:pict>
          <v:rect style="width:0;height:1.5pt" o:hralign="center" o:hrstd="t" o:hr="t"/>
        </w:pict>
      </w:r>
    </w:p>
    <w:bookmarkEnd w:id="97"/>
    <w:bookmarkStart w:id="98" w:name="explainable-ai-factors"/>
    <w:p>
      <w:pPr>
        <w:pStyle w:val="Heading2"/>
      </w:pPr>
      <w:r>
        <w:rPr>
          <w:rFonts w:ascii="Times New Roman" w:hAnsi="Times New Roman" w:eastAsia="Times New Roman" w:cs="Times New Roman"/>
          <w:sz w:val="24"/>
        </w:rPr>
        <w:t xml:space="preserve">14. Explainable AI Factors</w:t>
      </w:r>
    </w:p>
    <w:p>
      <w:pPr>
        <w:pStyle w:val="FirstParagraph"/>
      </w:pPr>
      <w:r>
        <w:rPr>
          <w:rFonts w:ascii="Times New Roman" w:hAnsi="Times New Roman" w:eastAsia="Times New Roman" w:cs="Times New Roman"/>
          <w:sz w:val="24"/>
        </w:rPr>
        <w:t xml:space="preserve">The system decomposes each prediction into interpretable factors:</w:t>
      </w:r>
    </w:p>
    <w:p>
      <w:pPr>
        <w:pStyle w:val="Compact"/>
        <w:numPr>
          <w:ilvl w:val="0"/>
          <w:numId w:val="1004"/>
        </w:numPr>
      </w:pPr>
      <w:r>
        <w:rPr>
          <w:rFonts w:ascii="Times New Roman" w:hAnsi="Times New Roman" w:eastAsia="Times New Roman" w:cs="Times New Roman"/>
          <w:b/>
          <w:bCs/>
          <w:sz w:val="24"/>
        </w:rPr>
        <w:t xml:space="preserve">Score magnitude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d>
          <m:dPr>
            <m:begChr m:val="|"/>
            <m:endChr m:val="|"/>
            <m:sepChr m:val=""/>
            <m:grow/>
          </m:dPr>
          <m:e>
            <m:r>
              <m:t>Δ</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normalized to</w:t>
      </w:r>
      <w:r>
        <w:rPr>
          <w:rFonts w:ascii="Times New Roman" w:hAnsi="Times New Roman" w:eastAsia="Times New Roman" w:cs="Times New Roman"/>
          <w:sz w:val="24"/>
        </w:rPr>
        <w:t xml:space="preserve"> </w:t>
      </w:r>
      <m:oMath>
        <m:d>
          <m:dPr>
            <m:begChr m:val="["/>
            <m:endChr m:val="]"/>
            <m:sepChr m:val=""/>
            <m:grow/>
          </m:dPr>
          <m:e>
            <m:r>
              <m:t>0</m:t>
            </m:r>
            <m:r>
              <m:rPr>
                <m:sty m:val="p"/>
              </m:rPr>
              <m:t>,</m:t>
            </m:r>
            <m:r>
              <m:t>1</m:t>
            </m:r>
          </m:e>
        </m:d>
      </m:oMath>
      <w:r>
        <w:rPr>
          <w:rFonts w:ascii="Times New Roman" w:hAnsi="Times New Roman" w:eastAsia="Times New Roman" w:cs="Times New Roman"/>
          <w:sz w:val="24"/>
        </w:rPr>
        <w:t xml:space="preserve">, measuring the strength of the evolutionary constraint signal</w:t>
      </w:r>
    </w:p>
    <w:p>
      <w:pPr>
        <w:pStyle w:val="Compact"/>
        <w:numPr>
          <w:ilvl w:val="0"/>
          <w:numId w:val="1004"/>
        </w:numPr>
      </w:pPr>
      <w:r>
        <w:rPr>
          <w:rFonts w:ascii="Times New Roman" w:hAnsi="Times New Roman" w:eastAsia="Times New Roman" w:cs="Times New Roman"/>
          <w:b/>
          <w:bCs/>
          <w:sz w:val="24"/>
        </w:rPr>
        <w:t xml:space="preserve">Score direction</w:t>
      </w:r>
      <w:r>
        <w:rPr>
          <w:rFonts w:ascii="Times New Roman" w:hAnsi="Times New Roman" w:eastAsia="Times New Roman" w:cs="Times New Roman"/>
          <w:sz w:val="24"/>
        </w:rPr>
        <w:t xml:space="preserve">: sign of</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(negative = pathogenic, positive = benign)</w:t>
      </w:r>
    </w:p>
    <w:p>
      <w:pPr>
        <w:pStyle w:val="Compact"/>
        <w:numPr>
          <w:ilvl w:val="0"/>
          <w:numId w:val="1004"/>
        </w:numPr>
      </w:pPr>
      <w:r>
        <w:rPr>
          <w:rFonts w:ascii="Times New Roman" w:hAnsi="Times New Roman" w:eastAsia="Times New Roman" w:cs="Times New Roman"/>
          <w:b/>
          <w:bCs/>
          <w:sz w:val="24"/>
        </w:rPr>
        <w:t xml:space="preserve">Population support</w:t>
      </w:r>
      <w:r>
        <w:rPr>
          <w:rFonts w:ascii="Times New Roman" w:hAnsi="Times New Roman" w:eastAsia="Times New Roman" w:cs="Times New Roman"/>
          <w:sz w:val="24"/>
        </w:rPr>
        <w:t xml:space="preserve">: gnomAD AF as independent population-level evidence</w:t>
      </w:r>
    </w:p>
    <w:p>
      <w:pPr>
        <w:pStyle w:val="Compact"/>
        <w:numPr>
          <w:ilvl w:val="0"/>
          <w:numId w:val="1004"/>
        </w:numPr>
      </w:pPr>
      <w:r>
        <w:rPr>
          <w:rFonts w:ascii="Times New Roman" w:hAnsi="Times New Roman" w:eastAsia="Times New Roman" w:cs="Times New Roman"/>
          <w:b/>
          <w:bCs/>
          <w:sz w:val="24"/>
        </w:rPr>
        <w:t xml:space="preserve">ACMG code</w:t>
      </w:r>
      <w:r>
        <w:rPr>
          <w:rFonts w:ascii="Times New Roman" w:hAnsi="Times New Roman" w:eastAsia="Times New Roman" w:cs="Times New Roman"/>
          <w:sz w:val="24"/>
        </w:rPr>
        <w:t xml:space="preserve">: standardized evidence strength (PP3/BP4)</w:t>
      </w:r>
    </w:p>
    <w:p>
      <w:pPr>
        <w:pStyle w:val="Compact"/>
        <w:numPr>
          <w:ilvl w:val="0"/>
          <w:numId w:val="1004"/>
        </w:numPr>
      </w:pPr>
      <w:r>
        <w:rPr>
          <w:rFonts w:ascii="Times New Roman" w:hAnsi="Times New Roman" w:eastAsia="Times New Roman" w:cs="Times New Roman"/>
          <w:b/>
          <w:bCs/>
          <w:sz w:val="24"/>
        </w:rPr>
        <w:t xml:space="preserve">ISM concordance</w:t>
      </w:r>
      <w:r>
        <w:rPr>
          <w:rFonts w:ascii="Times New Roman" w:hAnsi="Times New Roman" w:eastAsia="Times New Roman" w:cs="Times New Roman"/>
          <w:sz w:val="24"/>
        </w:rPr>
        <w:t xml:space="preserve">: whether the ISM scan confirms the variant position is constrained (</w:t>
      </w:r>
      <m:oMath>
        <m:sSub>
          <m:e>
            <m:r>
              <m:t>Δ</m:t>
            </m:r>
          </m:e>
          <m:sub>
            <m:r>
              <m:rPr>
                <m:sty m:val="p"/>
              </m:rPr>
              <m:t>max</m:t>
            </m:r>
          </m:sub>
        </m:sSub>
        <m:d>
          <m:dPr>
            <m:begChr m:val="("/>
            <m:endChr m:val=")"/>
            <m:sepChr m:val=""/>
            <m:grow/>
          </m:dPr>
          <m:e>
            <m:r>
              <m:t>p</m:t>
            </m:r>
          </m:e>
        </m:d>
        <m:r>
          <m:rPr>
            <m:sty m:val="p"/>
          </m:rPr>
          <m:t>&gt;</m:t>
        </m:r>
        <m:sSub>
          <m:e>
            <m:r>
              <m:t>τ</m:t>
            </m:r>
          </m:e>
          <m:sub>
            <m:r>
              <m:t>c</m:t>
            </m:r>
          </m:sub>
        </m:sSub>
      </m:oMath>
      <w:r>
        <w:rPr>
          <w:rFonts w:ascii="Times New Roman" w:hAnsi="Times New Roman" w:eastAsia="Times New Roman" w:cs="Times New Roman"/>
          <w:sz w:val="24"/>
        </w:rPr>
        <w:t xml:space="preserve">)</w:t>
      </w:r>
    </w:p>
    <w:p>
      <w:pPr>
        <w:pStyle w:val="Compact"/>
        <w:numPr>
          <w:ilvl w:val="0"/>
          <w:numId w:val="1004"/>
        </w:numPr>
      </w:pPr>
      <w:r>
        <w:rPr>
          <w:rFonts w:ascii="Times New Roman" w:hAnsi="Times New Roman" w:eastAsia="Times New Roman" w:cs="Times New Roman"/>
          <w:b/>
          <w:bCs/>
          <w:sz w:val="24"/>
        </w:rPr>
        <w:t xml:space="preserve">CEFN v2 beliefs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sSub>
          <m:e>
            <m:r>
              <m:t>b</m:t>
            </m:r>
          </m:e>
          <m:sub>
            <m:r>
              <m:t>P</m:t>
            </m:r>
          </m:sub>
        </m:sSub>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sSub>
          <m:e>
            <m:r>
              <m:t>b</m:t>
            </m:r>
          </m:e>
          <m:sub>
            <m:r>
              <m:t>B</m:t>
            </m:r>
          </m:sub>
        </m:sSub>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u</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from the Dirichlet distribution</w:t>
      </w:r>
    </w:p>
    <w:p>
      <w:r>
        <w:rPr>
          <w:rFonts w:ascii="Times New Roman" w:hAnsi="Times New Roman" w:eastAsia="Times New Roman" w:cs="Times New Roman"/>
          <w:sz w:val="24"/>
        </w:rPr>
        <w:pict>
          <v:rect style="width:0;height:1.5pt" o:hralign="center" o:hrstd="t" o:hr="t"/>
        </w:pict>
      </w:r>
    </w:p>
    <w:bookmarkEnd w:id="98"/>
    <w:bookmarkStart w:id="111" w:name="Xb2226ce06b761a600a89ff6d518d46d98960c44"/>
    <w:p>
      <w:pPr>
        <w:pStyle w:val="Heading2"/>
      </w:pPr>
      <w:r>
        <w:rPr>
          <w:rFonts w:ascii="Times New Roman" w:hAnsi="Times New Roman" w:eastAsia="Times New Roman" w:cs="Times New Roman"/>
          <w:sz w:val="24"/>
        </w:rPr>
        <w:t xml:space="preserve">15. Autonomous Tool-Calling Agent for Multi-Modal Bioinformatics</w:t>
      </w:r>
    </w:p>
    <w:p>
      <w:pPr>
        <w:pStyle w:val="FirstParagraph"/>
      </w:pPr>
      <w:r>
        <w:rPr>
          <w:rFonts w:ascii="Times New Roman" w:hAnsi="Times New Roman" w:eastAsia="Times New Roman" w:cs="Times New Roman"/>
          <w:sz w:val="24"/>
        </w:rPr>
        <w:t xml:space="preserve">To orchestrate the retrieval and synthesis of heterogeneous clinical and structural data, the system employs an autonomous tool-calling agent powered by NVIDIA Nemotron-3 Ultra 550B [16]. Unlike static retrieval pipelines, the agent dynamically reasons over user queries, conversation state, and available bioinformatics utilities, autonomously selecting, executing, and synthesizing outputs from 31 specialized tools via structured function calling [15].</w:t>
      </w:r>
    </w:p>
    <w:bookmarkStart w:id="102" w:name="X9f2601b47e301d92ab2b82fdbc6921ea6937d69"/>
    <w:p>
      <w:pPr>
        <w:pStyle w:val="Heading3"/>
      </w:pPr>
      <w:r>
        <w:rPr>
          <w:rFonts w:ascii="Times New Roman" w:hAnsi="Times New Roman" w:eastAsia="Times New Roman" w:cs="Times New Roman"/>
          <w:sz w:val="24"/>
        </w:rPr>
        <w:t xml:space="preserve">15.1 Neurobiological and Computational Architecture of the Orchestrator</w:t>
      </w:r>
    </w:p>
    <w:p>
      <w:pPr>
        <w:pStyle w:val="FirstParagraph"/>
      </w:pPr>
      <w:r>
        <w:rPr>
          <w:rFonts w:ascii="Times New Roman" w:hAnsi="Times New Roman" w:eastAsia="Times New Roman" w:cs="Times New Roman"/>
          <w:sz w:val="24"/>
        </w:rPr>
        <w:t xml:space="preserve">The selection of Nemotron-3 Ultra 550B as the agentic backbone is necessitated by the unique computational demands of bioinformatics tool orchestration: processing extensive conversational contexts alongside voluminous JSON tool schemas, executing precise multi-step logical deductions over diverse scientific domains, and maintaining sub-second token generation rates for interactive clinical use. The model’s architecture integrates three synergistic innovations — hybrid Mamba-Transformer blocks, Latent Mixture-of-Experts (MoE), and Multi-Token Prediction (MTP) — each critically enabling the agentic control loop.</w:t>
      </w:r>
    </w:p>
    <w:bookmarkStart w:id="99" w:name="hybrid-mamba-transformer-architecture"/>
    <w:p>
      <w:pPr>
        <w:pStyle w:val="Heading4"/>
      </w:pPr>
      <w:r>
        <w:rPr>
          <w:rFonts w:ascii="Times New Roman" w:hAnsi="Times New Roman" w:eastAsia="Times New Roman" w:cs="Times New Roman"/>
          <w:sz w:val="24"/>
        </w:rPr>
        <w:t xml:space="preserve">15.1.1 Hybrid Mamba-Transformer Architecture</w:t>
      </w:r>
    </w:p>
    <w:p>
      <w:pPr>
        <w:pStyle w:val="FirstParagraph"/>
      </w:pPr>
      <w:r>
        <w:rPr>
          <w:rFonts w:ascii="Times New Roman" w:hAnsi="Times New Roman" w:eastAsia="Times New Roman" w:cs="Times New Roman"/>
          <w:sz w:val="24"/>
        </w:rPr>
        <w:t xml:space="preserve">Bioinformatics tool-calling requires a dual cognitive capacity: sustained retention of multi-turn conversational history (demanding long context windows) and precise needle-in-a-haystack retrieval of specific parameter constraints from dense API schemas (demanding exact positional attention). Pure Transformer architectures suffer from</w:t>
      </w:r>
      <w:r>
        <w:rPr>
          <w:rFonts w:ascii="Times New Roman" w:hAnsi="Times New Roman" w:eastAsia="Times New Roman" w:cs="Times New Roman"/>
          <w:sz w:val="24"/>
        </w:rPr>
        <w:t xml:space="preserve"> </w:t>
      </w:r>
      <m:oMath>
        <m:r>
          <m:rPr>
            <m:sty m:val="p"/>
            <m:scr m:val="script"/>
          </m:rPr>
          <m:t>O</m:t>
        </m:r>
        <m:d>
          <m:dPr>
            <m:begChr m:val="("/>
            <m:endChr m:val=")"/>
            <m:sepChr m:val=""/>
            <m:grow/>
          </m:dPr>
          <m:e>
            <m:sSup>
              <m:e>
                <m:r>
                  <m:t>N</m:t>
                </m:r>
              </m:e>
              <m:sup>
                <m:r>
                  <m:t>2</m:t>
                </m:r>
              </m:sup>
            </m:sSup>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computational complexity over sequence length</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rendering long context windows prohibitively expensive; conversely, pure State-Space Models (SSMs) struggle with precise in-context retrieval due to their continuous state compression [59].</w:t>
      </w:r>
    </w:p>
    <w:p>
      <w:pPr>
        <w:pStyle w:val="BodyText"/>
      </w:pPr>
      <w:r>
        <w:rPr>
          <w:rFonts w:ascii="Times New Roman" w:hAnsi="Times New Roman" w:eastAsia="Times New Roman" w:cs="Times New Roman"/>
          <w:sz w:val="24"/>
        </w:rPr>
        <w:t xml:space="preserve">Nemotron-3 resolves this by interleaving Mamba blocks — based on Structured State Space sequence models (S4/S6) [60] — with standard multi-head attention layers [61]. The Mamba layers process the sequential conversational history and bulk genomic data with linear</w:t>
      </w:r>
      <w:r>
        <w:rPr>
          <w:rFonts w:ascii="Times New Roman" w:hAnsi="Times New Roman" w:eastAsia="Times New Roman" w:cs="Times New Roman"/>
          <w:sz w:val="24"/>
        </w:rPr>
        <w:t xml:space="preserve"> </w:t>
      </w:r>
      <m:oMath>
        <m:r>
          <m:rPr>
            <m:sty m:val="p"/>
            <m:scr m:val="script"/>
          </m:rPr>
          <m:t>O</m:t>
        </m:r>
        <m:d>
          <m:dPr>
            <m:begChr m:val="("/>
            <m:endChr m:val=")"/>
            <m:sepChr m:val=""/>
            <m:grow/>
          </m:dPr>
          <m:e>
            <m:r>
              <m:t>N</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complexity, efficiently compressing long-range dependencies into a recurrent hidden state. The interspersed Transformer layers are selectively activated to perform high-fidelity,</w:t>
      </w:r>
      <w:r>
        <w:rPr>
          <w:rFonts w:ascii="Times New Roman" w:hAnsi="Times New Roman" w:eastAsia="Times New Roman" w:cs="Times New Roman"/>
          <w:sz w:val="24"/>
        </w:rPr>
        <w:t xml:space="preserve"> </w:t>
      </w:r>
      <m:oMath>
        <m:r>
          <m:rPr>
            <m:sty m:val="p"/>
            <m:scr m:val="script"/>
          </m:rPr>
          <m:t>O</m:t>
        </m:r>
        <m:d>
          <m:dPr>
            <m:begChr m:val="("/>
            <m:endChr m:val=")"/>
            <m:sepChr m:val=""/>
            <m:grow/>
          </m:dPr>
          <m:e>
            <m:sSup>
              <m:e>
                <m:r>
                  <m:t>N</m:t>
                </m:r>
              </m:e>
              <m:sup>
                <m:r>
                  <m:t>2</m:t>
                </m:r>
              </m:sup>
            </m:sSup>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attention over the tool schemas and recent tool outputs.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Functional implication: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This hybrid topology allows the agent to maintain a 128K-token context window containing extensive genomic sequences, full 31-tool JSON schemas, and multi-turn history, while precisely parsing required nested parameters (e.g., specifying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genome_build: "hg38"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within the VEP schema) without degrading due to context length limits.</w:t>
      </w:r>
    </w:p>
    <w:bookmarkEnd w:id="99"/>
    <w:bookmarkStart w:id="100" w:name="latent-mixture-of-experts-moe"/>
    <w:p>
      <w:pPr>
        <w:pStyle w:val="Heading4"/>
      </w:pPr>
      <w:r>
        <w:rPr>
          <w:rFonts w:ascii="Times New Roman" w:hAnsi="Times New Roman" w:eastAsia="Times New Roman" w:cs="Times New Roman"/>
          <w:sz w:val="24"/>
        </w:rPr>
        <w:t xml:space="preserve">15.1.2 Latent Mixture-of-Experts (MoE)</w:t>
      </w:r>
    </w:p>
    <w:p>
      <w:pPr>
        <w:pStyle w:val="FirstParagraph"/>
      </w:pPr>
      <w:r>
        <w:rPr>
          <w:rFonts w:ascii="Times New Roman" w:hAnsi="Times New Roman" w:eastAsia="Times New Roman" w:cs="Times New Roman"/>
          <w:sz w:val="24"/>
        </w:rPr>
        <w:t xml:space="preserve">The bioinformatics tool landscape is fundamentally multi-domain — spanning nucleotide conservation (Evo2, SpliceAI), protein thermodynamics (ESMFold, Boltz2), and literature mining (NCBI). Dense models must allocate all parameters to every token, leading to computational bottlenecks and domain interference. Nemotron-3 employs a Latent MoE routing mechanism, where tokens are projected into a compressed latent space to select the optimal subset of expert feed-forward networks (typically 2 out of 64 experts) before being projected back [62].</w:t>
      </w:r>
    </w:p>
    <w:p>
      <w:pPr>
        <w:pStyle w:val="BodyText"/>
      </w:pPr>
      <w:r>
        <w:rPr>
          <w:rFonts w:ascii="Times New Roman" w:hAnsi="Times New Roman" w:eastAsia="Times New Roman" w:cs="Times New Roman"/>
          <w:sz w:val="24"/>
        </w:rPr>
        <w:t xml:space="preserve">Critically, the latent routing formulation reduces the compute overhead of the router itself, preventing it from becoming a bottleneck during autoregressive generation.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Functional implication: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MoE allows the model to develop highly specialized sub-networks for distinct scientific modalities. When reasoning about CRISPR off-targets, the router activates experts specialized in sequence alignment logic; when parsing UniProt JSON outputs, it activates experts specialized in structured data extraction. This yields domain-expert-level precision across all 31 tools without requiring the inference latency of a 550B-parameter dense model.</w:t>
      </w:r>
    </w:p>
    <w:bookmarkEnd w:id="100"/>
    <w:bookmarkStart w:id="101" w:name="multi-token-prediction-mtp"/>
    <w:p>
      <w:pPr>
        <w:pStyle w:val="Heading4"/>
      </w:pPr>
      <w:r>
        <w:rPr>
          <w:rFonts w:ascii="Times New Roman" w:hAnsi="Times New Roman" w:eastAsia="Times New Roman" w:cs="Times New Roman"/>
          <w:sz w:val="24"/>
        </w:rPr>
        <w:t xml:space="preserve">15.1.3 Multi-Token Prediction (MTP)</w:t>
      </w:r>
    </w:p>
    <w:p>
      <w:pPr>
        <w:pStyle w:val="FirstParagraph"/>
      </w:pPr>
      <w:r>
        <w:rPr>
          <w:rFonts w:ascii="Times New Roman" w:hAnsi="Times New Roman" w:eastAsia="Times New Roman" w:cs="Times New Roman"/>
          <w:sz w:val="24"/>
        </w:rPr>
        <w:t xml:space="preserve">Agentic loops require the model to generate structured JSON function calls rapidly before the tool can execute. Standard autoregressive LLMs generate one token per forward pass, creating a sequential bottleneck. Nemotron-3 utilizes an MTP head that predicts</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subsequent tokens simultaneously in a single forward pass during both training and inference [63].</w:t>
      </w:r>
    </w:p>
    <w:p>
      <w:pPr>
        <w:pStyle w:val="BodyText"/>
      </w:pPr>
      <w:r>
        <w:rPr>
          <w:rFonts w:ascii="Times New Roman" w:hAnsi="Times New Roman" w:eastAsia="Times New Roman" w:cs="Times New Roman"/>
          <w:i/>
          <w:iCs/>
          <w:sz w:val="24"/>
        </w:rPr>
        <w:t xml:space="preserve">Functional implication: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During inference, MTP functions as a highly efficient speculative decoding mechanism. The model generates draft tokens in parallel and validates them against the base model, achieving a 2–3</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speedup in tokens per second. This acceleration is non-negotiable for the agent’s execution loop: it allows the generation of complex tool-calling JSON payloads (often 50–100 tokens) in mere milliseconds, ensuring the end-to-end pipeline remains interactive rather than stalling on LLM inference.</w:t>
      </w:r>
    </w:p>
    <w:bookmarkEnd w:id="101"/>
    <w:bookmarkEnd w:id="102"/>
    <w:bookmarkStart w:id="106" w:name="X82bda7e7b0fec0496cbdb5392f30812521099c0"/>
    <w:p>
      <w:pPr>
        <w:pStyle w:val="Heading3"/>
      </w:pPr>
      <w:r>
        <w:rPr>
          <w:rFonts w:ascii="Times New Roman" w:hAnsi="Times New Roman" w:eastAsia="Times New Roman" w:cs="Times New Roman"/>
          <w:sz w:val="24"/>
        </w:rPr>
        <w:t xml:space="preserve">15.2 Hierarchical Tool Taxonomy and Latency Stratification</w:t>
      </w:r>
    </w:p>
    <w:p>
      <w:pPr>
        <w:pStyle w:val="FirstParagraph"/>
      </w:pPr>
      <w:r>
        <w:rPr>
          <w:rFonts w:ascii="Times New Roman" w:hAnsi="Times New Roman" w:eastAsia="Times New Roman" w:cs="Times New Roman"/>
          <w:sz w:val="24"/>
        </w:rPr>
        <w:t xml:space="preserve">The 31 bioinformatics tools are stratified into three computational tiers, explicitly mapped to Modal.com serverless infrastructure to optimize cost and throughput. The architectural decision to segregate database retrieval from computational inference reflects a fundamental principle of clinical bioinformatics: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annotated biological knowledge should be retrieved, not recomputed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[1,64]. Each query executes on CPU instances with negligible computational cost, enabling the agent to perform multiple rapid lookups during iterative reasoning without incurring GPU allocation overhead.</w:t>
      </w:r>
    </w:p>
    <w:bookmarkStart w:id="103" w:name="Xa7f914edfc00207f1fa305328cbd9b7703aa33a"/>
    <w:p>
      <w:pPr>
        <w:pStyle w:val="Heading4"/>
      </w:pPr>
      <w:r>
        <w:rPr>
          <w:rFonts w:ascii="Times New Roman" w:hAnsi="Times New Roman" w:eastAsia="Times New Roman" w:cs="Times New Roman"/>
          <w:sz w:val="24"/>
        </w:rPr>
        <w:t xml:space="preserve">15.2.1 Tier 1: Database Retrieval Layer (12 tools,</w:t>
      </w:r>
      <w:r>
        <w:rPr>
          <w:rFonts w:ascii="Times New Roman" w:hAnsi="Times New Roman" w:eastAsia="Times New Roman" w:cs="Times New Roman"/>
          <w:sz w:val="24"/>
        </w:rPr>
        <w:t xml:space="preserve"> </w:t>
      </w:r>
      <m:oMath>
        <m:r>
          <m:rPr>
            <m:sty m:val="p"/>
          </m:rPr>
          <m:t>&lt;</m:t>
        </m:r>
        <m:r>
          <m:t>1</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w:t>
      </w:r>
    </w:p>
    <w:p>
      <w:pPr>
        <w:pStyle w:val="FirstParagraph"/>
      </w:pPr>
      <w:r>
        <w:rPr>
          <w:rFonts w:ascii="Times New Roman" w:hAnsi="Times New Roman" w:eastAsia="Times New Roman" w:cs="Times New Roman"/>
          <w:sz w:val="24"/>
        </w:rPr>
        <w:t xml:space="preserve">The foundational tier comprises twelve database retrieval instruments that provide pre-computed biological annotations with sub-second latency. These instruments interface with curated biological databases via RESTful APIs, returning structured data that forms the evidentiary basis for downstream machine learning inference.</w:t>
      </w:r>
    </w:p>
    <w:p>
      <w:pPr>
        <w:pStyle w:val="BodyText"/>
      </w:pPr>
      <w:r>
        <w:rPr>
          <w:rFonts w:ascii="Times New Roman" w:hAnsi="Times New Roman" w:eastAsia="Times New Roman" w:cs="Times New Roman"/>
          <w:b/>
          <w:bCs/>
          <w:sz w:val="24"/>
        </w:rPr>
        <w:t xml:space="preserve">UniProt Knowledgebase Integration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fetch_uniprot</w:t>
      </w:r>
      <w:r>
        <w:rPr>
          <w:rFonts w:ascii="Times New Roman" w:hAnsi="Times New Roman" w:eastAsia="Times New Roman" w:cs="Times New Roman"/>
          <w:sz w:val="24"/>
        </w:rPr>
        <w:t xml:space="preserve">). The Universal Protein Resource [31,64] serves as the primary source of protein-level functional annotation. Given a UniProt accession identifier (e.g., P38398 for BRCA1), the system retrieves the complete curated record including: the recommended and alternative protein nomenclature, functional domain architecture mapped to Pfam [65] and InterPro [66] classifications, Gene Ontology (GO) molecular function and biological process terms [32], subcellular localization predictions, post-translational modification sites, and manually curated disease associations from the UniProtKB/Swiss-Prot subset. The biological significance of UniProt integration lies in the provision of</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domain context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variant interpretation. A missense substitution occurring within the RING finger domain (amino acids 24–65) of BRCA1 — responsible for E3 ubiquitin ligase activity and heterodimerization with BARD1 — carries fundamentally different pathogenic potential than an identical physicochemical substitution in a disordered linker region. The ACMG/AMP framework explicitly incorporates domain localization as a modifier of computational evidence strength (PP3/BP4 criteria) [5], making UniProt domain annotations a prerequisite for evidence-calibrated variant classification.</w:t>
      </w:r>
    </w:p>
    <w:p>
      <w:pPr>
        <w:pStyle w:val="BodyText"/>
      </w:pPr>
      <w:r>
        <w:rPr>
          <w:rFonts w:ascii="Times New Roman" w:hAnsi="Times New Roman" w:eastAsia="Times New Roman" w:cs="Times New Roman"/>
          <w:b/>
          <w:bCs/>
          <w:sz w:val="24"/>
        </w:rPr>
        <w:t xml:space="preserve">AlphaFold Database Structure Retrieval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fetch_alphafold_db</w:t>
      </w:r>
      <w:r>
        <w:rPr>
          <w:rFonts w:ascii="Times New Roman" w:hAnsi="Times New Roman" w:eastAsia="Times New Roman" w:cs="Times New Roman"/>
          <w:sz w:val="24"/>
        </w:rPr>
        <w:t xml:space="preserve">). The AlphaFold Protein Structure Database [67,68] provides experimentally validated-quality three-dimensional protein structure predictions for the entire human proteome. For a given UniProt accession, the system retrieves the predicted tertiary structure in PDB format, the per-residue predicted Local Distance Difference Test (pLDDT) confidence scores ranging from 0 to 100, and the Predicted Aligned Error (PAE) matrix encoding inter-residue spatial uncertainty. The pLDDT scores serve a critical quality control function: regions with pLDDT</w:t>
      </w:r>
      <w:r>
        <w:rPr>
          <w:rFonts w:ascii="Times New Roman" w:hAnsi="Times New Roman" w:eastAsia="Times New Roman" w:cs="Times New Roman"/>
          <w:sz w:val="24"/>
        </w:rPr>
        <w:t xml:space="preserve"> </w:t>
      </w:r>
      <m:oMath>
        <m:r>
          <m:rPr>
            <m:sty m:val="p"/>
          </m:rPr>
          <m:t>&lt;</m:t>
        </m:r>
        <m:r>
          <m:t>50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correspond to intrinsically disordered regions (IDRs) where the structural prediction carries negligible information content [67]. When a query variant maps to a low-confidence region, the system downgrades the evidential weight of structure-based analyses (e.g., DSSP secondary structure assignment, Foldseek structural homology search), preventing spurious mechanistic inferences from unreliable coordinates.</w:t>
      </w:r>
    </w:p>
    <w:p>
      <w:pPr>
        <w:pStyle w:val="BodyText"/>
      </w:pPr>
      <w:r>
        <w:rPr>
          <w:rFonts w:ascii="Times New Roman" w:hAnsi="Times New Roman" w:eastAsia="Times New Roman" w:cs="Times New Roman"/>
          <w:b/>
          <w:bCs/>
          <w:sz w:val="24"/>
        </w:rPr>
        <w:t xml:space="preserve">AlphaMissense Pathogenicity Database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fetch_alphamissense</w:t>
      </w:r>
      <w:r>
        <w:rPr>
          <w:rFonts w:ascii="Times New Roman" w:hAnsi="Times New Roman" w:eastAsia="Times New Roman" w:cs="Times New Roman"/>
          <w:sz w:val="24"/>
        </w:rPr>
        <w:t xml:space="preserve">). AlphaMissense [2] is a protein language model that has pre-computed pathogenicity scores for all 71 million possible single amino acid substitutions across the human proteome. The system maintains a local DuckDB columnar database (9.2 GB) indexing all predictions by composite key</w:t>
      </w:r>
      <w:r>
        <w:rPr>
          <w:rFonts w:ascii="Times New Roman" w:hAnsi="Times New Roman" w:eastAsia="Times New Roman" w:cs="Times New Roman"/>
          <w:sz w:val="24"/>
        </w:rPr>
        <w:t xml:space="preserve"> </w:t>
      </w:r>
      <m:oMath>
        <m:d>
          <m:dPr>
            <m:begChr m:val="("/>
            <m:endChr m:val=")"/>
            <m:sepChr m:val=""/>
            <m:grow/>
          </m:dPr>
          <m:e>
            <m:r>
              <m:rPr>
                <m:nor/>
                <m:sty m:val="p"/>
              </m:rPr>
              <m:t>UniProt_accession</m:t>
            </m:r>
            <m:r>
              <m:rPr>
                <m:sty m:val="p"/>
              </m:rPr>
              <m:t>,</m:t>
            </m:r>
            <m:r>
              <m:rPr>
                <m:nor/>
                <m:sty m:val="p"/>
              </m:rPr>
              <m:t>position</m:t>
            </m:r>
            <m:r>
              <m:rPr>
                <m:sty m:val="p"/>
              </m:rPr>
              <m:t>,</m:t>
            </m:r>
            <m:r>
              <m:rPr>
                <m:nor/>
                <m:sty m:val="p"/>
              </m:rPr>
              <m:t>ref_aa</m:t>
            </m:r>
            <m:r>
              <m:rPr>
                <m:sty m:val="p"/>
              </m:rPr>
              <m:t>,</m:t>
            </m:r>
            <m:r>
              <m:rPr>
                <m:nor/>
                <m:sty m:val="p"/>
              </m:rPr>
              <m:t>alt_aa</m:t>
            </m:r>
          </m:e>
        </m:d>
      </m:oMath>
      <w:r>
        <w:rPr>
          <w:rFonts w:ascii="Times New Roman" w:hAnsi="Times New Roman" w:eastAsia="Times New Roman" w:cs="Times New Roman"/>
          <w:sz w:val="24"/>
        </w:rPr>
        <w:t xml:space="preserve">, enabling</w:t>
      </w:r>
      <w:r>
        <w:rPr>
          <w:rFonts w:ascii="Times New Roman" w:hAnsi="Times New Roman" w:eastAsia="Times New Roman" w:cs="Times New Roman"/>
          <w:sz w:val="24"/>
        </w:rPr>
        <w:t xml:space="preserve"> </w:t>
      </w:r>
      <m:oMath>
        <m:r>
          <m:rPr>
            <m:sty m:val="p"/>
            <m:scr m:val="script"/>
          </m:rPr>
          <m:t>O</m:t>
        </m:r>
        <m:d>
          <m:dPr>
            <m:begChr m:val="("/>
            <m:endChr m:val=")"/>
            <m:sepChr m:val=""/>
            <m:grow/>
          </m:dPr>
          <m:e>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lookup with mean latency of 2.6 ms — approximately 400</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faster than real-time model inference. The AlphaMissense score</w:t>
      </w:r>
      <w:r>
        <w:rPr>
          <w:rFonts w:ascii="Times New Roman" w:hAnsi="Times New Roman" w:eastAsia="Times New Roman" w:cs="Times New Roman"/>
          <w:sz w:val="24"/>
        </w:rPr>
        <w:t xml:space="preserve"> </w:t>
      </w:r>
      <m:oMath>
        <m:r>
          <m:t>A</m:t>
        </m:r>
        <m:r>
          <m:t>M</m:t>
        </m:r>
        <m:r>
          <m:rPr>
            <m:sty m:val="p"/>
          </m:rPr>
          <m:t>∈</m:t>
        </m:r>
        <m:d>
          <m:dPr>
            <m:begChr m:val="["/>
            <m:endChr m:val="]"/>
            <m:sepChr m:val=""/>
            <m:grow/>
          </m:dPr>
          <m:e>
            <m:r>
              <m:t>0</m:t>
            </m:r>
            <m:r>
              <m:rPr>
                <m:sty m:val="p"/>
              </m:rPr>
              <m:t>,</m:t>
            </m:r>
            <m:r>
              <m:t>1</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calibrated against ClinVar labels using the thresholds</w:t>
      </w:r>
      <w:r>
        <w:rPr>
          <w:rFonts w:ascii="Times New Roman" w:hAnsi="Times New Roman" w:eastAsia="Times New Roman" w:cs="Times New Roman"/>
          <w:sz w:val="24"/>
        </w:rPr>
        <w:t xml:space="preserve"> </w:t>
      </w:r>
      <m:oMath>
        <m:r>
          <m:t>A</m:t>
        </m:r>
        <m:r>
          <m:t>M</m:t>
        </m:r>
        <m:r>
          <m:rPr>
            <m:sty m:val="p"/>
          </m:rPr>
          <m:t>&gt;</m:t>
        </m:r>
        <m:r>
          <m:t>0.564</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(pathogenic) and</w:t>
      </w:r>
      <w:r>
        <w:rPr>
          <w:rFonts w:ascii="Times New Roman" w:hAnsi="Times New Roman" w:eastAsia="Times New Roman" w:cs="Times New Roman"/>
          <w:sz w:val="24"/>
        </w:rPr>
        <w:t xml:space="preserve"> </w:t>
      </w:r>
      <m:oMath>
        <m:r>
          <m:t>A</m:t>
        </m:r>
        <m:r>
          <m:t>M</m:t>
        </m:r>
        <m:r>
          <m:rPr>
            <m:sty m:val="p"/>
          </m:rPr>
          <m:t>&lt;</m:t>
        </m:r>
        <m:r>
          <m:t>0.340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(benign), corresponding to the 90th percentile separation between ClinVar pathogenic and benign variants. The model architecture fine-tunes a pretrained MSA Transformer [34] on ClinVar-annotated variants, learning to discriminate pathogenic from benign substitutions using evolutionary conservation patterns encoded in multiple sequence alignments and amino acid physicochemical properties. A critical architectural feature is the inclusion of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“wild-type”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training signal — wild-type amino acids at each position receive a low pathogenicity target, preventing the model from assigning high pathogenicity to all substitutions at conserved positions regardless of the specific alternative amino acid [2]. The integration of AlphaMissense into the CEFN v2 evidential fusion network is conditioned on variant type: AlphaMissense scores are available exclusively for missense variants, and their absence for nonsense, frameshift, splice site, and synonymous variants is explicitly modeled through predictor-specific missing embeddings rather than imputed values.</w:t>
      </w:r>
    </w:p>
    <w:p>
      <w:pPr>
        <w:pStyle w:val="BodyText"/>
      </w:pPr>
      <w:r>
        <w:rPr>
          <w:rFonts w:ascii="Times New Roman" w:hAnsi="Times New Roman" w:eastAsia="Times New Roman" w:cs="Times New Roman"/>
          <w:b/>
          <w:bCs/>
          <w:sz w:val="24"/>
        </w:rPr>
        <w:t xml:space="preserve">Ensembl Variant Effect Predictor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run_ensembl_vep</w:t>
      </w:r>
      <w:r>
        <w:rPr>
          <w:rFonts w:ascii="Times New Roman" w:hAnsi="Times New Roman" w:eastAsia="Times New Roman" w:cs="Times New Roman"/>
          <w:sz w:val="24"/>
        </w:rPr>
        <w:t xml:space="preserve">). The Ensembl VEP [17] maps genomic coordinates to transcript-level molecular consequences by querying the Ensembl core database. Input is specified in HGVS genomic notation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17:g.43094169A&gt;C</w:t>
      </w:r>
      <w:r>
        <w:rPr>
          <w:rFonts w:ascii="Times New Roman" w:hAnsi="Times New Roman" w:eastAsia="Times New Roman" w:cs="Times New Roman"/>
          <w:sz w:val="24"/>
        </w:rPr>
        <w:t xml:space="preserve">), and the system retrieves: the molecular consequence type (missense, stop_gained, frameshift, splice_donor_variant, synonymous_variant, etc.), the impact severity tier (HIGH, MODERATE, LOW, MODIFIER), the HGVS protein change notation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p.Gly1756Val</w:t>
      </w:r>
      <w:r>
        <w:rPr>
          <w:rFonts w:ascii="Times New Roman" w:hAnsi="Times New Roman" w:eastAsia="Times New Roman" w:cs="Times New Roman"/>
          <w:sz w:val="24"/>
        </w:rPr>
        <w:t xml:space="preserve">), the HGVS coding DNA change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c.5326G&gt;A</w:t>
      </w:r>
      <w:r>
        <w:rPr>
          <w:rFonts w:ascii="Times New Roman" w:hAnsi="Times New Roman" w:eastAsia="Times New Roman" w:cs="Times New Roman"/>
          <w:sz w:val="24"/>
        </w:rPr>
        <w:t xml:space="preserve">), the affected Ensembl transcript accession (ENST identifier), and the corresponding RefSeq transcript where available. VEP annotation serves as the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deterministic classification gateway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pipeline. Consequences with unambiguous clinical interpretation — stop_gained, frameshift_variant, and high-impact splice site variants — are assigned direct classifications (Likely Pathogenic, confidence 0.90–0.95) that override score-based machine learning predictions. This design reflects the biological reality that protein truncating variants (PTVs) in haploinsufficient genes are pathogenic by mechanism regardless of their evolutionary conservation score [7], and that forcing such variants through a probabilistic classifier would introduce unnecessary uncertainty.</w:t>
      </w:r>
    </w:p>
    <w:p>
      <w:pPr>
        <w:pStyle w:val="BodyText"/>
      </w:pPr>
      <w:r>
        <w:rPr>
          <w:rFonts w:ascii="Times New Roman" w:hAnsi="Times New Roman" w:eastAsia="Times New Roman" w:cs="Times New Roman"/>
          <w:b/>
          <w:bCs/>
          <w:sz w:val="24"/>
        </w:rPr>
        <w:t xml:space="preserve">Ensembl Gene Lookup and Sequence Retrieval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fetch_ensembl_lookup</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fetch_ensembl_sequence</w:t>
      </w:r>
      <w:r>
        <w:rPr>
          <w:rFonts w:ascii="Times New Roman" w:hAnsi="Times New Roman" w:eastAsia="Times New Roman" w:cs="Times New Roman"/>
          <w:sz w:val="24"/>
        </w:rPr>
        <w:t xml:space="preserve">). Two complementary Ensembl instruments provide gene-level metadata and reference sequences. The gene lookup retrieves chromosomal coordinates (chr, start, end, strand), biotype classification (protein_coding, lncRNA, miRNA, etc.), the canonical transcript designation, and orthology mappings across species. The sequence retrieval instrument accepts an Ensembl transcript or gene identifier and returns the reference DNA sequence (genomic), cDNA sequence (spliced exons), or translated protein sequence, selectable via 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type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parameter. Gene lookup provides the coordinate boundaries required for UCSC context window extraction, ensuring the 8,192 bp window does not exceed chromosome boundaries. Sequence retrieval provides the reference allele for validation against the user-provided variant, and supplies the wild-type protein sequence required for AlphaMissense lookup and ESM2 scoring when the UniProt record is unavailable.</w:t>
      </w:r>
    </w:p>
    <w:p>
      <w:pPr>
        <w:pStyle w:val="BodyText"/>
      </w:pPr>
      <w:r>
        <w:rPr>
          <w:rFonts w:ascii="Times New Roman" w:hAnsi="Times New Roman" w:eastAsia="Times New Roman" w:cs="Times New Roman"/>
          <w:b/>
          <w:bCs/>
          <w:sz w:val="24"/>
        </w:rPr>
        <w:t xml:space="preserve">Protein Data Bank Entry and Sequence Retrieval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fetch_pdb_entry</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fetch_pdb_fasta</w:t>
      </w:r>
      <w:r>
        <w:rPr>
          <w:rFonts w:ascii="Times New Roman" w:hAnsi="Times New Roman" w:eastAsia="Times New Roman" w:cs="Times New Roman"/>
          <w:sz w:val="24"/>
        </w:rPr>
        <w:t xml:space="preserve">). The RCSB Protein Data Bank [69] is queried for experimentally determined three-dimensional structures.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Entry metadata retrieval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four-character PDB identifier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1JNX</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the BRCA1 BRCT domain) and returns: the structure title, experimental method (X-ray diffraction, cryo-EM, NMR), resolution (for X-ray structures), R-work/R-free values, deposition date, and the biological assembly description.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Sequence retrieval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returns the amino acid sequences of each chain with protein/nucleotide classification, enabling mapping between PDB chain identifiers and UniProt accessions via the SIFTS mapping database [70]. The PDB lookup is triggered when the system evaluates whether an experimentally determined structure exists for the query protein or domain. If a high-resolution (</w:t>
      </w:r>
      <m:oMath>
        <m:r>
          <m:rPr>
            <m:sty m:val="p"/>
          </m:rPr>
          <m:t>&lt;</m:t>
        </m:r>
        <m:r>
          <m:t>2.5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Å) X-ray structure covers the variant position, the system preferentially uses the experimental coordinates over AlphaFold predictions for DSSP secondary structure assignment and structural metrics calculation, as experimental structures provide ground-truth atomic positions rather than predicted ones.</w:t>
      </w:r>
    </w:p>
    <w:p>
      <w:pPr>
        <w:pStyle w:val="BodyText"/>
      </w:pPr>
      <w:r>
        <w:rPr>
          <w:rFonts w:ascii="Times New Roman" w:hAnsi="Times New Roman" w:eastAsia="Times New Roman" w:cs="Times New Roman"/>
          <w:b/>
          <w:bCs/>
          <w:sz w:val="24"/>
        </w:rPr>
        <w:t xml:space="preserve">NCBI Entrez Integration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search_ncbi</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fetch_ncbi_efetch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fetch_ncbi_esummary</w:t>
      </w:r>
      <w:r>
        <w:rPr>
          <w:rFonts w:ascii="Times New Roman" w:hAnsi="Times New Roman" w:eastAsia="Times New Roman" w:cs="Times New Roman"/>
          <w:sz w:val="24"/>
        </w:rPr>
        <w:t xml:space="preserve">). The NCBI Entrez system provides unified access to multiple biomedical databases through three programmatic interfaces.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ESearch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query term and target database identifier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pubmed</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gene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snp</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clinvar</w:t>
      </w:r>
      <w:r>
        <w:rPr>
          <w:rFonts w:ascii="Times New Roman" w:hAnsi="Times New Roman" w:eastAsia="Times New Roman" w:cs="Times New Roman"/>
          <w:sz w:val="24"/>
        </w:rPr>
        <w:t xml:space="preserve">) and returns a list of matching Entrez unique identifiers (UIDs). This instrument is used for three primary queries: (i) retrieving ClinVar-registered variants for a gene symbol via</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clinvar[gene] AND "pathogenic"[clinical_significance]</w:t>
      </w:r>
      <w:r>
        <w:rPr>
          <w:rFonts w:ascii="Times New Roman" w:hAnsi="Times New Roman" w:eastAsia="Times New Roman" w:cs="Times New Roman"/>
          <w:sz w:val="24"/>
        </w:rPr>
        <w:t xml:space="preserve">, (ii) searching PubMed for literature on a specific variant (</w:t>
      </w:r>
      <w:r>
        <w:rPr>
          <w:rStyle w:val="VerbatimChar"/>
          <w:rFonts w:ascii="Times New Roman" w:hAnsi="Times New Roman" w:eastAsia="Times New Roman" w:cs="Times New Roman"/>
          <w:sz w:val="24"/>
        </w:rPr>
        <w:t xml:space="preserve">"BRCA1 c.5266dupC" AND "pathogenic"</w:t>
      </w:r>
      <w:r>
        <w:rPr>
          <w:rFonts w:ascii="Times New Roman" w:hAnsi="Times New Roman" w:eastAsia="Times New Roman" w:cs="Times New Roman"/>
          <w:sz w:val="24"/>
        </w:rPr>
        <w:t xml:space="preserve">), and (iii) retrieving NCBI Gene database records for gene metadata cross-referencing.</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EFetch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one or more UIDs and a database name, returning full records in specified formats. For sequence databases (nucleotide, protein), the FASTA format is requested. For PubMed, the XML format is parsed to extract abstract text, MeSH terms, author lists, and publication dates. For ClinVar, the XML format provides clinical significance assertions, review status stars, and submitter information.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ESummary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returns tabular summary metadata for a list of UIDs without the full record payload, providing a lightweight alternative when only key fields (title, publication date, organism) are needed. All NCBI queries implement rate-limiting compliance (3 requests/second without an API key, 10 requests/second with a key) via asynchronous request queuing with exponential backoff on HTTP 429 responses.</w:t>
      </w:r>
    </w:p>
    <w:p>
      <w:pPr>
        <w:pStyle w:val="BodyText"/>
      </w:pPr>
      <w:r>
        <w:rPr>
          <w:rFonts w:ascii="Times New Roman" w:hAnsi="Times New Roman" w:eastAsia="Times New Roman" w:cs="Times New Roman"/>
          <w:b/>
          <w:bCs/>
          <w:sz w:val="24"/>
        </w:rPr>
        <w:t xml:space="preserve">PubChem Chemical Substance Database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fetch_pubchem</w:t>
      </w:r>
      <w:r>
        <w:rPr>
          <w:rFonts w:ascii="Times New Roman" w:hAnsi="Times New Roman" w:eastAsia="Times New Roman" w:cs="Times New Roman"/>
          <w:sz w:val="24"/>
        </w:rPr>
        <w:t xml:space="preserve">). PubChem [72] is queried for small molecule annotation using flexible input: PubChem Compound ID (CID), IUPAC name, canonical SMILES string, or InChIKey. The system retrieves the canonical 2D structure representation (SMILES and InChI), standardized molecular formula and molecular weight, IUPAC International Chemical Identifier (InChI), synonym list including trade names and systematic names, and bioactivity summary data from PubChem BioAssay where available. PubChem integration serves two functions: first, when analyzing protein-ligand complexes (via Boltz2), the small molecule identity must be resolved to a canonical structure representation compatible with the structure prediction input format; second, when interpreting variant effects on drug binding (e.g., a missense variant in a kinase ATP-binding pocket potentially conferring resistance to a tyrosine kinase inhibitor), PubChem provides the chemical context necessary for mechanistic interpretation.</w:t>
      </w:r>
    </w:p>
    <w:bookmarkEnd w:id="103"/>
    <w:bookmarkStart w:id="104" w:name="Xe101804e7d774ae96f8bd152e1c2a8aa6be5296"/>
    <w:p>
      <w:pPr>
        <w:pStyle w:val="Heading4"/>
      </w:pPr>
      <w:r>
        <w:rPr>
          <w:rFonts w:ascii="Times New Roman" w:hAnsi="Times New Roman" w:eastAsia="Times New Roman" w:cs="Times New Roman"/>
          <w:sz w:val="24"/>
        </w:rPr>
        <w:t xml:space="preserve">15.2.2 Tier 2: CPU Machine Learning Layer (12 tools, 5–60 s)</w:t>
      </w:r>
    </w:p>
    <w:p>
      <w:pPr>
        <w:pStyle w:val="FirstParagraph"/>
      </w:pPr>
      <w:r>
        <w:rPr>
          <w:rFonts w:ascii="Times New Roman" w:hAnsi="Times New Roman" w:eastAsia="Times New Roman" w:cs="Times New Roman"/>
          <w:sz w:val="24"/>
        </w:rPr>
        <w:t xml:space="preserve">The second computational tier comprises twelve instruments that execute machine learning models and search algorithms on CPU instances, with latencies ranging from 1 to 60 seconds. These instruments bridge the gap between static database retrieval and GPU-intensive deep learning inference, providing intermediate-complexity analyses including splice effect prediction, sequence homology search, multiple sequence alignment, and structural analysis.</w:t>
      </w:r>
    </w:p>
    <w:p>
      <w:pPr>
        <w:pStyle w:val="BodyText"/>
      </w:pPr>
      <w:r>
        <w:rPr>
          <w:rFonts w:ascii="Times New Roman" w:hAnsi="Times New Roman" w:eastAsia="Times New Roman" w:cs="Times New Roman"/>
          <w:b/>
          <w:bCs/>
          <w:sz w:val="24"/>
        </w:rPr>
        <w:t xml:space="preserve">SpliceAI: Deep Learning Splice Variant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run_spliceai_predict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run_pangolin_score_variants</w:t>
      </w:r>
      <w:r>
        <w:rPr>
          <w:rFonts w:ascii="Times New Roman" w:hAnsi="Times New Roman" w:eastAsia="Times New Roman" w:cs="Times New Roman"/>
          <w:sz w:val="24"/>
        </w:rPr>
        <w:t xml:space="preserve">). SpliceAI [73] is a 32-layer convolutional neural network trained on 32 million artificial splice variants to predict the effect of nucleotide substitutions on pre-mRNA splicing. The model processes a 10,000 bp DNA sequence window centered on the variant and outputs four delta scores (</w:t>
      </w:r>
      <m:oMath>
        <m:r>
          <m:t>Δ</m:t>
        </m:r>
      </m:oMath>
      <w:r>
        <w:rPr>
          <w:rFonts w:ascii="Times New Roman" w:hAnsi="Times New Roman" w:eastAsia="Times New Roman" w:cs="Times New Roman"/>
          <w:sz w:val="24"/>
        </w:rPr>
        <w:t xml:space="preserve">AG,</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AL,</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DG,</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DL) representing the predicted change in splice acceptor gain, acceptor loss, donor gain, and donor loss probabilities, respectively. Each delta score ranges from 0 to 1, with the recommended pathogenicity threshold of</w:t>
      </w:r>
      <w:r>
        <w:rPr>
          <w:rFonts w:ascii="Times New Roman" w:hAnsi="Times New Roman" w:eastAsia="Times New Roman" w:cs="Times New Roman"/>
          <w:sz w:val="24"/>
        </w:rPr>
        <w:t xml:space="preserve"> </w:t>
      </w:r>
      <m:oMath>
        <m:r>
          <m:rPr>
            <m:sty m:val="p"/>
          </m:rPr>
          <m:t>≥</m:t>
        </m:r>
        <m:r>
          <m:t>0.2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any single delta score [73]. Two operational modes are implemented: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variant scoring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DNA sequence and a specific variant, returning the four delta scores;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genome-wide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bare DNA sequence and returns per-position acceptor and donor probabilities across the entire input. The biological motivation stems from the systematic under-detection of splice-disrupting variants by conventional annotation. Approximately 10–15% of disease-causing variants affect splicing [73], but the canonical donor (GT) and acceptor (AG) dinucleotide positions constitute only 2 of $</w:t>
      </w:r>
      <w:r>
        <w:rPr>
          <w:rFonts w:ascii="Times New Roman" w:hAnsi="Times New Roman" w:eastAsia="Times New Roman" w:cs="Times New Roman"/>
          <w:sz w:val="24"/>
        </w:rPr>
        <w:t xml:space="preserve">$30 positions that influence splice site recognition. Variants at positions</w:t>
      </w:r>
      <w:r>
        <w:rPr>
          <w:rFonts w:ascii="Times New Roman" w:hAnsi="Times New Roman" w:eastAsia="Times New Roman" w:cs="Times New Roman"/>
          <w:sz w:val="24"/>
        </w:rPr>
        <w:t xml:space="preserve"> </w:t>
      </w:r>
      <m:oMath>
        <m:r>
          <m:rPr>
            <m:sty m:val="p"/>
          </m:rPr>
          <m:t>+</m:t>
        </m:r>
        <m:r>
          <m:t>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z w:val="24"/>
        </w:rPr>
        <w:t xml:space="preserve"> </w:t>
      </w:r>
      <m:oMath>
        <m:r>
          <m:rPr>
            <m:sty m:val="p"/>
          </m:rPr>
          <m:t>+</m:t>
        </m:r>
        <m:r>
          <m:t>6</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intron (donor extension), positions</w:t>
      </w:r>
      <w:r>
        <w:rPr>
          <w:rFonts w:ascii="Times New Roman" w:hAnsi="Times New Roman" w:eastAsia="Times New Roman" w:cs="Times New Roman"/>
          <w:sz w:val="24"/>
        </w:rPr>
        <w:t xml:space="preserve"> </w:t>
      </w:r>
      <m:oMath>
        <m:r>
          <m:rPr>
            <m:sty m:val="p"/>
          </m:rPr>
          <m:t>−</m:t>
        </m:r>
        <m:r>
          <m:t>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z w:val="24"/>
        </w:rPr>
        <w:t xml:space="preserve"> </w:t>
      </w:r>
      <m:oMath>
        <m:r>
          <m:rPr>
            <m:sty m:val="p"/>
          </m:rPr>
          <m:t>−</m:t>
        </m:r>
        <m:r>
          <m:t>25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intron (branch point and polypyrimidine tract), and positions within exons (exonic splicing enhancers/silencers) can profoundly alter splicing without being flagged by VEP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“splice_region_variant”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[73].</w:t>
      </w:r>
    </w:p>
    <w:p>
      <w:pPr>
        <w:pStyle w:val="BodyText"/>
      </w:pPr>
      <w:r>
        <w:rPr>
          <w:rFonts w:ascii="Times New Roman" w:hAnsi="Times New Roman" w:eastAsia="Times New Roman" w:cs="Times New Roman"/>
          <w:b/>
          <w:bCs/>
          <w:sz w:val="24"/>
        </w:rPr>
        <w:t xml:space="preserve">Pangolin: Tissue-Specific Splice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run_pangolin_predict</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run_pangolin_score_variants</w:t>
      </w:r>
      <w:r>
        <w:rPr>
          <w:rFonts w:ascii="Times New Roman" w:hAnsi="Times New Roman" w:eastAsia="Times New Roman" w:cs="Times New Roman"/>
          <w:sz w:val="24"/>
        </w:rPr>
        <w:t xml:space="preserve">). Pangolin [74] extends splice effect prediction beyond the binary splice/disrupt paradigm by incorporating tissue-specific regulatory information. Built on a deep learning architecture that integrates DNA sequence with tissue-specific RNA-binding protein (RBP) expression profiles, Pangolin predicts splice variant effects stratified by tissue type (e.g., brain, heart, liver, skeletal muscle). The tissue-specific dimension is clinically significant because a variant that disrupts splicing in a disease-relevant tissue (e.g., cardiac muscle for a cardiomyopathy gene) may have minimal effect in other tissues where the affected splice isoform is not expressed or where compensatory splicing factors are present. Pangolin’s architecture uses a hybrid input representation: the DNA sequence is processed through convolutional layers, while tissue-specific RBP expression profiles are projected through a separate embedding pathway. The two representations are fused via attention, allowing the model to learn which sequence motifs are functionally relevant in which tissue contexts [74].</w:t>
      </w:r>
    </w:p>
    <w:p>
      <w:pPr>
        <w:pStyle w:val="BodyText"/>
      </w:pPr>
      <w:r>
        <w:rPr>
          <w:rFonts w:ascii="Times New Roman" w:hAnsi="Times New Roman" w:eastAsia="Times New Roman" w:cs="Times New Roman"/>
          <w:b/>
          <w:bCs/>
          <w:sz w:val="24"/>
        </w:rPr>
        <w:t xml:space="preserve">Foldseek: Structural Homology Search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run_foldseek_search</w:t>
      </w:r>
      <w:r>
        <w:rPr>
          <w:rFonts w:ascii="Times New Roman" w:hAnsi="Times New Roman" w:eastAsia="Times New Roman" w:cs="Times New Roman"/>
          <w:sz w:val="24"/>
        </w:rPr>
        <w:t xml:space="preserve">). Foldseek [75] enables fast structural similarity search by converting three-dimensional protein structures into discrete 3Di alphabet sequences (20 structural states derived from backbone dihedral angle quantization) and performing sequence alignment on these structural representations. Given a query PDB structure, Foldseek searches a pre-indexed database (typically the AlphaFold DB or PDB) and returns structurally similar proteins with TM-score, alignment coverage, and RMSD metrics. The computational advantage over geometric structural alignment (e.g., TM-align, DALI) is substantial: by reducing the structural search to a sequence alignment problem, Foldseek achieves 200–2,000</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speedup while maintaining sensitivity comparable to geometric methods for detecting remote homologs [75]. A typical search against the AlphaFold DB ($</w:t>
      </w:r>
      <w:r>
        <w:rPr>
          <w:rFonts w:ascii="Times New Roman" w:hAnsi="Times New Roman" w:eastAsia="Times New Roman" w:cs="Times New Roman"/>
          <w:sz w:val="24"/>
        </w:rPr>
        <w:t xml:space="preserve">$200 million structures) completes in 5–10 seconds on CPU. In the pipeline, Foldseek serves two functions: first, when a variant occurs in a protein of unknown function, structural homology search can transfer functional annotations from structurally similar proteins with known molecular functions — a principle known 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“structural genomics inference”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[76]; second, when evaluating whether a variant disrupts a structural motif (e.g., a metal-binding site or protein-protein interaction interface), Foldseek identifies other proteins sharing the same structural motif, providing evolutionary evidence for its functional importance.</w:t>
      </w:r>
    </w:p>
    <w:p>
      <w:pPr>
        <w:pStyle w:val="BodyText"/>
      </w:pPr>
      <w:r>
        <w:rPr>
          <w:rFonts w:ascii="Times New Roman" w:hAnsi="Times New Roman" w:eastAsia="Times New Roman" w:cs="Times New Roman"/>
          <w:b/>
          <w:bCs/>
          <w:sz w:val="24"/>
        </w:rPr>
        <w:t xml:space="preserve">DSSP: Secondary Structure Assignment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run_dssp_secondary_structure</w:t>
      </w:r>
      <w:r>
        <w:rPr>
          <w:rFonts w:ascii="Times New Roman" w:hAnsi="Times New Roman" w:eastAsia="Times New Roman" w:cs="Times New Roman"/>
          <w:sz w:val="24"/>
        </w:rPr>
        <w:t xml:space="preserve">). The Dictionary of Secondary Structure of Proteins (DSSP) [77] algorithm assigns secondary structure states to each residue in a three-dimensional protein structure based on hydrogen bonding patterns. Eight states are defined:</w:t>
      </w:r>
      <w:r>
        <w:rPr>
          <w:rFonts w:ascii="Times New Roman" w:hAnsi="Times New Roman" w:eastAsia="Times New Roman" w:cs="Times New Roman"/>
          <w:sz w:val="24"/>
        </w:rPr>
        <w:t xml:space="preserve"> </w:t>
      </w:r>
      <m:oMath>
        <m:r>
          <m:t>α</m:t>
        </m:r>
      </m:oMath>
      <w:r>
        <w:rPr>
          <w:rFonts w:ascii="Times New Roman" w:hAnsi="Times New Roman" w:eastAsia="Times New Roman" w:cs="Times New Roman"/>
          <w:sz w:val="24"/>
        </w:rPr>
        <w:t xml:space="preserve">-helix (H), 3</w:t>
      </w:r>
      <m:oMath>
        <m:sSub>
          <m:e>
            <m:r>
              <m:t>​</m:t>
            </m:r>
          </m:e>
          <m:sub>
            <m:r>
              <m:t>10</m:t>
            </m:r>
          </m:sub>
        </m:sSub>
      </m:oMath>
      <w:r>
        <w:rPr>
          <w:rFonts w:ascii="Times New Roman" w:hAnsi="Times New Roman" w:eastAsia="Times New Roman" w:cs="Times New Roman"/>
          <w:sz w:val="24"/>
        </w:rPr>
        <w:t xml:space="preserve">-helix (G),</w:t>
      </w:r>
      <w:r>
        <w:rPr>
          <w:rFonts w:ascii="Times New Roman" w:hAnsi="Times New Roman" w:eastAsia="Times New Roman" w:cs="Times New Roman"/>
          <w:sz w:val="24"/>
        </w:rPr>
        <w:t xml:space="preserve"> </w:t>
      </w:r>
      <m:oMath>
        <m:r>
          <m:t>π</m:t>
        </m:r>
      </m:oMath>
      <w:r>
        <w:rPr>
          <w:rFonts w:ascii="Times New Roman" w:hAnsi="Times New Roman" w:eastAsia="Times New Roman" w:cs="Times New Roman"/>
          <w:sz w:val="24"/>
        </w:rPr>
        <w:t xml:space="preserve">-helix (I),</w:t>
      </w:r>
      <w:r>
        <w:rPr>
          <w:rFonts w:ascii="Times New Roman" w:hAnsi="Times New Roman" w:eastAsia="Times New Roman" w:cs="Times New Roman"/>
          <w:sz w:val="24"/>
        </w:rPr>
        <w:t xml:space="preserve"> </w:t>
      </w:r>
      <m:oMath>
        <m:r>
          <m:t>β</m:t>
        </m:r>
      </m:oMath>
      <w:r>
        <w:rPr>
          <w:rFonts w:ascii="Times New Roman" w:hAnsi="Times New Roman" w:eastAsia="Times New Roman" w:cs="Times New Roman"/>
          <w:sz w:val="24"/>
        </w:rPr>
        <w:t xml:space="preserve">-bridge (B), extended strand (E), bend (S), turn (T), and coil/loop (C). The system processes a PDB file (experimental or AlphaFold-predicted) and returns per-residue secondary structure assignments, which are aggregated into percentage composition statistics (helix%, sheet%, loop%) and positional annotations. The biological utility is threefold: first, residues in</w:t>
      </w:r>
      <w:r>
        <w:rPr>
          <w:rFonts w:ascii="Times New Roman" w:hAnsi="Times New Roman" w:eastAsia="Times New Roman" w:cs="Times New Roman"/>
          <w:sz w:val="24"/>
        </w:rPr>
        <w:t xml:space="preserve"> </w:t>
      </w:r>
      <m:oMath>
        <m:r>
          <m:t>α</m:t>
        </m:r>
      </m:oMath>
      <w:r>
        <w:rPr>
          <w:rFonts w:ascii="Times New Roman" w:hAnsi="Times New Roman" w:eastAsia="Times New Roman" w:cs="Times New Roman"/>
          <w:sz w:val="24"/>
        </w:rPr>
        <w:t xml:space="preserve">-helices and</w:t>
      </w:r>
      <w:r>
        <w:rPr>
          <w:rFonts w:ascii="Times New Roman" w:hAnsi="Times New Roman" w:eastAsia="Times New Roman" w:cs="Times New Roman"/>
          <w:sz w:val="24"/>
        </w:rPr>
        <w:t xml:space="preserve"> </w:t>
      </w:r>
      <m:oMath>
        <m:r>
          <m:t>β</m:t>
        </m:r>
      </m:oMath>
      <w:r>
        <w:rPr>
          <w:rFonts w:ascii="Times New Roman" w:hAnsi="Times New Roman" w:eastAsia="Times New Roman" w:cs="Times New Roman"/>
          <w:sz w:val="24"/>
        </w:rPr>
        <w:t xml:space="preserve">-sheets are subject to different structural constraints — helical residues require specific backbone dihedral angles (</w:t>
      </w:r>
      <m:oMath>
        <m:r>
          <m:t>φ</m:t>
        </m:r>
        <m:r>
          <m:rPr>
            <m:sty m:val="p"/>
          </m:rPr>
          <m:t>≈</m:t>
        </m:r>
        <m:r>
          <m:rPr>
            <m:sty m:val="p"/>
          </m:rPr>
          <m:t>−</m:t>
        </m:r>
        <m:r>
          <m:t>57</m:t>
        </m:r>
        <m:r>
          <m:rPr>
            <m:sty m:val="p"/>
          </m:rPr>
          <m:t>°</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ψ</m:t>
        </m:r>
        <m:r>
          <m:rPr>
            <m:sty m:val="p"/>
          </m:rPr>
          <m:t>≈</m:t>
        </m:r>
        <m:r>
          <m:rPr>
            <m:sty m:val="p"/>
          </m:rPr>
          <m:t>−</m:t>
        </m:r>
        <m:r>
          <m:t>47</m:t>
        </m:r>
        <m:r>
          <m:rPr>
            <m:sty m:val="p"/>
          </m:rPr>
          <m:t>°</m:t>
        </m:r>
      </m:oMath>
      <w:r>
        <w:rPr>
          <w:rFonts w:ascii="Times New Roman" w:hAnsi="Times New Roman" w:eastAsia="Times New Roman" w:cs="Times New Roman"/>
          <w:sz w:val="24"/>
        </w:rPr>
        <w:t xml:space="preserve">) that may be disrupted by proline substitutions or charge introductions, while</w:t>
      </w:r>
      <w:r>
        <w:rPr>
          <w:rFonts w:ascii="Times New Roman" w:hAnsi="Times New Roman" w:eastAsia="Times New Roman" w:cs="Times New Roman"/>
          <w:sz w:val="24"/>
        </w:rPr>
        <w:t xml:space="preserve"> </w:t>
      </w:r>
      <m:oMath>
        <m:r>
          <m:t>β</m:t>
        </m:r>
      </m:oMath>
      <w:r>
        <w:rPr>
          <w:rFonts w:ascii="Times New Roman" w:hAnsi="Times New Roman" w:eastAsia="Times New Roman" w:cs="Times New Roman"/>
          <w:sz w:val="24"/>
        </w:rPr>
        <w:t xml:space="preserve">-strand residues require extended conformations (</w:t>
      </w:r>
      <m:oMath>
        <m:r>
          <m:t>φ</m:t>
        </m:r>
        <m:r>
          <m:rPr>
            <m:sty m:val="p"/>
          </m:rPr>
          <m:t>≈</m:t>
        </m:r>
        <m:r>
          <m:rPr>
            <m:sty m:val="p"/>
          </m:rPr>
          <m:t>−</m:t>
        </m:r>
        <m:r>
          <m:t>119</m:t>
        </m:r>
        <m:r>
          <m:rPr>
            <m:sty m:val="p"/>
          </m:rPr>
          <m:t>°</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ψ</m:t>
        </m:r>
        <m:r>
          <m:rPr>
            <m:sty m:val="p"/>
          </m:rPr>
          <m:t>≈</m:t>
        </m:r>
        <m:r>
          <m:t>113</m:t>
        </m:r>
        <m:r>
          <m:rPr>
            <m:sty m:val="p"/>
          </m:rPr>
          <m:t>°</m:t>
        </m:r>
      </m:oMath>
      <w:r>
        <w:rPr>
          <w:rFonts w:ascii="Times New Roman" w:hAnsi="Times New Roman" w:eastAsia="Times New Roman" w:cs="Times New Roman"/>
          <w:sz w:val="24"/>
        </w:rPr>
        <w:t xml:space="preserve">) that may be disrupted by glycine substitutions; second, secondary structure context informs the expected geometric consequences of a substitution; third, the helix/sheet/loop composition serves as a quality control metric — AlphaFold-predicted structures with anomalously high loop content relative to homologous experimental structures may indicate prediction failures in that region.</w:t>
      </w:r>
    </w:p>
    <w:p>
      <w:pPr>
        <w:pStyle w:val="BodyText"/>
      </w:pPr>
      <w:r>
        <w:rPr>
          <w:rFonts w:ascii="Times New Roman" w:hAnsi="Times New Roman" w:eastAsia="Times New Roman" w:cs="Times New Roman"/>
          <w:b/>
          <w:bCs/>
          <w:sz w:val="24"/>
        </w:rPr>
        <w:t xml:space="preserve">Structure Metrics: Geometric Quality Assessment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run_structure_metrics</w:t>
      </w:r>
      <w:r>
        <w:rPr>
          <w:rFonts w:ascii="Times New Roman" w:hAnsi="Times New Roman" w:eastAsia="Times New Roman" w:cs="Times New Roman"/>
          <w:sz w:val="24"/>
        </w:rPr>
        <w:t xml:space="preserve">). Beyond secondary structure assignment, the system computes a suite of geometric metrics from PDB coordinates: the radius of gyration (</w:t>
      </w:r>
      <m:oMath>
        <m:sSub>
          <m:e>
            <m:r>
              <m:t>R</m:t>
            </m:r>
          </m:e>
          <m:sub>
            <m:r>
              <m:t>g</m:t>
            </m:r>
          </m:sub>
        </m:sSub>
      </m:oMath>
      <w:r>
        <w:rPr>
          <w:rFonts w:ascii="Times New Roman" w:hAnsi="Times New Roman" w:eastAsia="Times New Roman" w:cs="Times New Roman"/>
          <w:sz w:val="24"/>
        </w:rPr>
        <w:t xml:space="preserve">) quantifying global compactness, the longest continuous</w:t>
      </w:r>
      <w:r>
        <w:rPr>
          <w:rFonts w:ascii="Times New Roman" w:hAnsi="Times New Roman" w:eastAsia="Times New Roman" w:cs="Times New Roman"/>
          <w:sz w:val="24"/>
        </w:rPr>
        <w:t xml:space="preserve"> </w:t>
      </w:r>
      <m:oMath>
        <m:r>
          <m:t>α</m:t>
        </m:r>
      </m:oMath>
      <w:r>
        <w:rPr>
          <w:rFonts w:ascii="Times New Roman" w:hAnsi="Times New Roman" w:eastAsia="Times New Roman" w:cs="Times New Roman"/>
          <w:sz w:val="24"/>
        </w:rPr>
        <w:t xml:space="preserve">-helix length, the solvent-accessible surface area (SASA) per residue computed via the Shrake-Rupley algorithm [78], and inter-residue distance matrix statistics. The radius of gyration is computed as:</w:t>
      </w:r>
    </w:p>
    <w:p>
      <w:pPr>
        <w:pStyle w:val="BodyText"/>
      </w:pPr>
      <m:oMathPara>
        <m:oMathParaPr>
          <m:jc m:val="center"/>
        </m:oMathParaPr>
        <m:oMath>
          <m:sSub>
            <m:e>
              <m:r>
                <m:t>R</m:t>
              </m:r>
            </m:e>
            <m:sub>
              <m:r>
                <m:t>g</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rPr>
                      <m:sty m:val="b"/>
                    </m:rPr>
                    <m:t>r</m:t>
                  </m:r>
                </m:e>
                <m:sub>
                  <m:r>
                    <m:t>i</m:t>
                  </m:r>
                </m:sub>
              </m:sSub>
              <m:r>
                <m:rPr>
                  <m:sty m:val="p"/>
                </m:rPr>
                <m:t>−</m:t>
              </m:r>
              <m:sSub>
                <m:e>
                  <m:r>
                    <m:rPr>
                      <m:sty m:val="b"/>
                    </m:rPr>
                    <m:t>r</m:t>
                  </m:r>
                </m:e>
                <m:sub>
                  <m:r>
                    <m:rPr>
                      <m:nor/>
                      <m:sty m:val="p"/>
                    </m:rPr>
                    <m:t>cm</m:t>
                  </m:r>
                </m:sub>
              </m:sSub>
              <m:sSup>
                <m:e>
                  <m:r>
                    <m:rPr>
                      <m:sty m:val="p"/>
                    </m:rPr>
                    <m:t>∥</m:t>
                  </m:r>
                </m:e>
                <m:sup>
                  <m:r>
                    <m:t>2</m:t>
                  </m:r>
                </m:sup>
              </m:sSup>
            </m:e>
          </m:ra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rPr>
                <m:sty m:val="b"/>
              </m:rPr>
              <m:t>r</m:t>
            </m:r>
          </m:e>
          <m:sub>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C</w:t>
      </w:r>
      <m:oMath>
        <m:r>
          <m:t>α</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coordinate of residue</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number of residues, and</w:t>
      </w:r>
      <w:r>
        <w:rPr>
          <w:rFonts w:ascii="Times New Roman" w:hAnsi="Times New Roman" w:eastAsia="Times New Roman" w:cs="Times New Roman"/>
          <w:sz w:val="24"/>
        </w:rPr>
        <w:t xml:space="preserve"> </w:t>
      </w:r>
      <m:oMath>
        <m:sSub>
          <m:e>
            <m:r>
              <m:rPr>
                <m:sty m:val="b"/>
              </m:rPr>
              <m:t>r</m:t>
            </m:r>
          </m:e>
          <m:sub>
            <m:r>
              <m:rPr>
                <m:nor/>
                <m:sty m:val="p"/>
              </m:rPr>
              <m:t>cm</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center of mass. A significant increase in</w:t>
      </w:r>
      <w:r>
        <w:rPr>
          <w:rFonts w:ascii="Times New Roman" w:hAnsi="Times New Roman" w:eastAsia="Times New Roman" w:cs="Times New Roman"/>
          <w:sz w:val="24"/>
        </w:rPr>
        <w:t xml:space="preserve"> </w:t>
      </w:r>
      <m:oMath>
        <m:sSub>
          <m:e>
            <m:r>
              <m:t>R</m:t>
            </m:r>
          </m:e>
          <m:sub>
            <m:r>
              <m:t>g</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 mutant structure relative to wild-type would indicate partial unfolding or domain displacement — a hallmark of destabilizing mutations.</w:t>
      </w:r>
    </w:p>
    <w:p>
      <w:pPr>
        <w:pStyle w:val="BodyText"/>
      </w:pPr>
      <w:r>
        <w:rPr>
          <w:rFonts w:ascii="Times New Roman" w:hAnsi="Times New Roman" w:eastAsia="Times New Roman" w:cs="Times New Roman"/>
          <w:b/>
          <w:bCs/>
          <w:sz w:val="24"/>
        </w:rPr>
        <w:t xml:space="preserve">InterProScan: Protein Domain and Family Annotation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run_interproscan_fetch</w:t>
      </w:r>
      <w:r>
        <w:rPr>
          <w:rFonts w:ascii="Times New Roman" w:hAnsi="Times New Roman" w:eastAsia="Times New Roman" w:cs="Times New Roman"/>
          <w:sz w:val="24"/>
        </w:rPr>
        <w:t xml:space="preserve">). InterProScan [66] integrates multiple protein signature databases (Pfam [65], SMART, CDD, PROSITE, PANTHER, SUPERFAMILY, Gene3D, and others) into a unified domain annotation pipeline. Given a UniProt accession or raw amino acid sequence, InterProScan runs HMMER [79] searches against each member database’s profile hidden Markov models (HMMs) and returns consolidated domain annotations with E-values, start/end positions, and cross-database mappings. The system invokes InterProScan as a fallback when UniProt’s pre-computed domain annotations are insufficient — specifically, when the query involves a non-canonical isoform, a novel protein not yet curated in Swiss-Prot, or when domain boundary refinement is needed at higher resolution than UniProt provides. The clinical relevance lies in its ability to resolve ambiguous domain assignments. For example, BRCA1 contains a BRCT domain (Pfam: PF00533) spanning residues 1646–1859, but the precise functional boundary — the region essential for phosphopeptide binding — maps to a sub-region (residues 1750–1855) defined by the PROSITE pattern PS50174. InterProScan provides both the coarse (Pfam) and fine (PROSITE) annotations, enabling the system to determine whether a variant falls within the catalytic core of a domain or in a peripheral extension.</w:t>
      </w:r>
    </w:p>
    <w:p>
      <w:pPr>
        <w:pStyle w:val="BodyText"/>
      </w:pPr>
      <w:r>
        <w:rPr>
          <w:rFonts w:ascii="Times New Roman" w:hAnsi="Times New Roman" w:eastAsia="Times New Roman" w:cs="Times New Roman"/>
          <w:b/>
          <w:bCs/>
          <w:sz w:val="24"/>
        </w:rPr>
        <w:t xml:space="preserve">BLAST: Basic Local Alignment Search Tool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run_blast_search</w:t>
      </w:r>
      <w:r>
        <w:rPr>
          <w:rFonts w:ascii="Times New Roman" w:hAnsi="Times New Roman" w:eastAsia="Times New Roman" w:cs="Times New Roman"/>
          <w:sz w:val="24"/>
        </w:rPr>
        <w:t xml:space="preserve">). The NCBI Basic Local Alignment Search Tool [71] performs sequence similarity search using a heuristic algorithm that identifies short exact word matches (seeds) and extends them into high-scoring segment pairs (HSPs) using the Smith-Waterman algorithm. The system accepts either protein or nucleotide sequences and searches the appropriate NCBI database (nr for proteins, nt for nucleotides), returning aligned sequences with bit scores, E-values, percent identity, alignment coverage, and the aligned regions themselves. BLAST serves two primary functions: first, when a novel or poorly characterized variant is identified, homology search identifies orthologous proteins across species, providing evolutionary conservation evidence — residues conserved from human to</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Drosophila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under strong purifying selection, supporting pathogenicity of substitutions at those positions; second, BLAST identifies paralogous proteins within the human proteome that may share functional domains, informing the interpretation of variants in multi-gene families. The E-value threshold for significance is set at</w:t>
      </w:r>
      <w:r>
        <w:rPr>
          <w:rFonts w:ascii="Times New Roman" w:hAnsi="Times New Roman" w:eastAsia="Times New Roman" w:cs="Times New Roman"/>
          <w:sz w:val="24"/>
        </w:rPr>
        <w:t xml:space="preserve"> </w:t>
      </w:r>
      <m:oMath>
        <m:sSup>
          <m:e>
            <m:r>
              <m:t>10</m:t>
            </m:r>
          </m:e>
          <m:sup>
            <m:r>
              <m:rPr>
                <m:sty m:val="p"/>
              </m:rPr>
              <m:t>−</m:t>
            </m:r>
            <m:r>
              <m:t>5</m:t>
            </m:r>
          </m:sup>
        </m:s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default, with results ranked by bit score. For protein searches, the BLOSUM62 substitution matrix is used; for nucleotide searches, a match/mismatch reward of</w:t>
      </w:r>
      <w:r>
        <w:rPr>
          <w:rFonts w:ascii="Times New Roman" w:hAnsi="Times New Roman" w:eastAsia="Times New Roman" w:cs="Times New Roman"/>
          <w:sz w:val="24"/>
        </w:rPr>
        <w:t xml:space="preserve"> </w:t>
      </w:r>
      <m:oMath>
        <m:r>
          <m:rPr>
            <m:sty m:val="p"/>
          </m:rPr>
          <m:t>+</m:t>
        </m:r>
        <m:r>
          <m:t>2</m:t>
        </m:r>
        <m:r>
          <m:rPr>
            <m:sty m:val="p"/>
          </m:rPr>
          <m:t>/</m:t>
        </m:r>
        <m:r>
          <m:rPr>
            <m:sty m:val="p"/>
          </m:rPr>
          <m:t>−</m:t>
        </m:r>
        <m:r>
          <m:t>3</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applied.</w:t>
      </w:r>
    </w:p>
    <w:p>
      <w:pPr>
        <w:pStyle w:val="BodyText"/>
      </w:pPr>
      <w:r>
        <w:rPr>
          <w:rFonts w:ascii="Times New Roman" w:hAnsi="Times New Roman" w:eastAsia="Times New Roman" w:cs="Times New Roman"/>
          <w:b/>
          <w:bCs/>
          <w:sz w:val="24"/>
        </w:rPr>
        <w:t xml:space="preserve">MMseqs2: Ultra-Fast Sequence Search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run_mmseqs2_search_proteins</w:t>
      </w:r>
      <w:r>
        <w:rPr>
          <w:rFonts w:ascii="Times New Roman" w:hAnsi="Times New Roman" w:eastAsia="Times New Roman" w:cs="Times New Roman"/>
          <w:sz w:val="24"/>
        </w:rPr>
        <w:t xml:space="preserve">). MMseqs2 [80] provides an order-of-magnitude speedup over BLAST through a cascade of increasingly sensitive search stages: (i) k-mer prefiltering with reduced alphabet, (ii) ungapped alignment, and (iii) gapped alignment with local Smith-Waterman extension. The sensitivity-speed tradeoff is controlled by a sensitivity parameter (1.0–7.0), with the system defaulting to 4.0 for a balanced profile. MMseqs2 is deployed as the primary sequence search instrument when speed is prioritized over maximum sensitivity — for example, when performing large-scale homology surveys across the entire human proteome or when the agent needs to rapidly triage whether a protein has close homologs before committing to a more sensitive BLAST search. In benchmark evaluations, MMseqs2 achieves 10–100</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speedup over BLAST while recovering</w:t>
      </w:r>
      <w:r>
        <w:rPr>
          <w:rFonts w:ascii="Times New Roman" w:hAnsi="Times New Roman" w:eastAsia="Times New Roman" w:cs="Times New Roman"/>
          <w:sz w:val="24"/>
        </w:rPr>
        <w:t xml:space="preserve"> </w:t>
      </w:r>
      <m:oMath>
        <m:r>
          <m:rPr>
            <m:sty m:val="p"/>
          </m:rPr>
          <m:t>&gt;</m:t>
        </m:r>
        <m:r>
          <m:t>95</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BLAST hits at comparable E-value thresholds [80].</w:t>
      </w:r>
    </w:p>
    <w:p>
      <w:pPr>
        <w:pStyle w:val="BodyText"/>
      </w:pPr>
      <w:r>
        <w:rPr>
          <w:rFonts w:ascii="Times New Roman" w:hAnsi="Times New Roman" w:eastAsia="Times New Roman" w:cs="Times New Roman"/>
          <w:b/>
          <w:bCs/>
          <w:sz w:val="24"/>
        </w:rPr>
        <w:t xml:space="preserve">MAFFT: Multiple Sequence Alignment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run_mafft_align</w:t>
      </w:r>
      <w:r>
        <w:rPr>
          <w:rFonts w:ascii="Times New Roman" w:hAnsi="Times New Roman" w:eastAsia="Times New Roman" w:cs="Times New Roman"/>
          <w:sz w:val="24"/>
        </w:rPr>
        <w:t xml:space="preserve">). MAFFT [81] generates multiple sequence alignments (MSAs) from a set of homologous protein or nucleotide sequences using an iterative refinement strategy. The system employs the L-INS-i algorithm (accurate; suitable for</w:t>
      </w:r>
      <w:r>
        <w:rPr>
          <w:rFonts w:ascii="Times New Roman" w:hAnsi="Times New Roman" w:eastAsia="Times New Roman" w:cs="Times New Roman"/>
          <w:sz w:val="24"/>
        </w:rPr>
        <w:t xml:space="preserve"> </w:t>
      </w:r>
      <m:oMath>
        <m:r>
          <m:rPr>
            <m:sty m:val="p"/>
          </m:rPr>
          <m:t>&lt;</m:t>
        </m:r>
        <m:r>
          <m:t>200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sequences with global homology) or FFT-NS-2 (fast; suitable for</w:t>
      </w:r>
      <w:r>
        <w:rPr>
          <w:rFonts w:ascii="Times New Roman" w:hAnsi="Times New Roman" w:eastAsia="Times New Roman" w:cs="Times New Roman"/>
          <w:sz w:val="24"/>
        </w:rPr>
        <w:t xml:space="preserve"> </w:t>
      </w:r>
      <m:oMath>
        <m:r>
          <m:rPr>
            <m:sty m:val="p"/>
          </m:rPr>
          <m:t>&gt;</m:t>
        </m:r>
        <m:r>
          <m:t>200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sequences or divergent families), selected automatically based on input set size and sequence diversity. MSAs serve three functions: first, they provide the evolutionary conservation matrix used by the agent to assess whether a variant position is conserved across orthologs — a manual conservation check complementing the model-based conservation captured by Evo2 and AlphaMissense; second, MAFFT alignments are prerequisite inputs for certain downstream tools; third, the alignment visualization provides an intuitive representation of evolutionary constraint that can be included in clinical reports for expert review.</w:t>
      </w:r>
    </w:p>
    <w:p>
      <w:pPr>
        <w:pStyle w:val="BodyText"/>
      </w:pPr>
      <w:r>
        <w:rPr>
          <w:rFonts w:ascii="Times New Roman" w:hAnsi="Times New Roman" w:eastAsia="Times New Roman" w:cs="Times New Roman"/>
          <w:b/>
          <w:bCs/>
          <w:sz w:val="24"/>
        </w:rPr>
        <w:t xml:space="preserve">Segmasker: Low-Complexity Region Detection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run_segmasker_score</w:t>
      </w:r>
      <w:r>
        <w:rPr>
          <w:rFonts w:ascii="Times New Roman" w:hAnsi="Times New Roman" w:eastAsia="Times New Roman" w:cs="Times New Roman"/>
          <w:sz w:val="24"/>
        </w:rPr>
        <w:t xml:space="preserve">). The NCBI Segmasker [82] algorithm identifies low-complexity regions (LCRs) in protein sequences — segments dominated by a limited subset of amino acids (e.g., polyglutamine tracts, proline-rich regions, glycine-rich loops). LCRs are biologically significant for variant interpretation because: (i) they are often poorly aligned in MSAs, leading to artifactual conservation estimates, (ii) they are enriched in repetitive sequences prone to sequencing errors and alignment artifacts, and (iii) variants within LCRs may have reduced pathogenicity because these regions are inherently tolerant to amino acid substitution due to their lack of structural constraint. Segmasker uses a compositional complexity measure based on the Shannon entropy of amino acid composition within a sliding window, with a default trigger complexity threshold of 2.2 bits. The system uses Segmasker output as a pre-filter: when a variant falls within a masked LCR, the evidential weight of conservation-based predictions (AlphaMissense, Evo2) is reduced, and the report flags the position as being in a low-complexity region where predictions carry elevated uncertainty.</w:t>
      </w:r>
    </w:p>
    <w:p>
      <w:pPr>
        <w:pStyle w:val="BodyText"/>
      </w:pPr>
      <w:r>
        <w:rPr>
          <w:rFonts w:ascii="Times New Roman" w:hAnsi="Times New Roman" w:eastAsia="Times New Roman" w:cs="Times New Roman"/>
          <w:b/>
          <w:bCs/>
          <w:sz w:val="24"/>
        </w:rPr>
        <w:t xml:space="preserve">ViennaRNA: RNA Secondary Structure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run_viennarna_prediction</w:t>
      </w:r>
      <w:r>
        <w:rPr>
          <w:rFonts w:ascii="Times New Roman" w:hAnsi="Times New Roman" w:eastAsia="Times New Roman" w:cs="Times New Roman"/>
          <w:sz w:val="24"/>
        </w:rPr>
        <w:t xml:space="preserve">). The ViennaRNA Package [83] predicts RNA secondary structure by minimizing the free energy (MFE) of the folded conformation using dynamic programming over the Nussinov-Jacobson energy model. Given an RNA sequence (typically 50–500 nucleotides), the system returns the MFE structure in dot-bracket notation, the predicted minimum free energy in kcal/mol, and per-base pairing probabilities computed via the partition function. ViennaRNA is invoked when analyzing variants that may affect RNA structure — specifically, variants in 5</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or 3</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UTRs, variants in non-coding RNAs (miRNAs, lncRNAs), and synonymous variants whose pathogenicity may be mediated through mRNA secondary structure effects rather than protein coding changes. The system computes the MFE for both reference and variant RNA sequences and reports the</w:t>
      </w:r>
      <w:r>
        <w:rPr>
          <w:rFonts w:ascii="Times New Roman" w:hAnsi="Times New Roman" w:eastAsia="Times New Roman" w:cs="Times New Roman"/>
          <w:sz w:val="24"/>
        </w:rPr>
        <w:t xml:space="preserve"> </w:t>
      </w:r>
      <m:oMath>
        <m:r>
          <m:t>Δ</m:t>
        </m:r>
        <m:r>
          <m:t>Δ</m:t>
        </m:r>
        <m:r>
          <m:t>G</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change:</w:t>
      </w:r>
    </w:p>
    <w:p>
      <w:pPr>
        <w:pStyle w:val="BodyText"/>
      </w:pPr>
      <m:oMathPara>
        <m:oMathParaPr>
          <m:jc m:val="center"/>
        </m:oMathParaPr>
        <m:oMath>
          <m:r>
            <m:t>Δ</m:t>
          </m:r>
          <m:r>
            <m:t>Δ</m:t>
          </m:r>
          <m:r>
            <m:t>G</m:t>
          </m:r>
          <m:r>
            <m:rPr>
              <m:sty m:val="p"/>
            </m:rPr>
            <m:t>=</m:t>
          </m:r>
          <m:r>
            <m:t>Δ</m:t>
          </m:r>
          <m:sSub>
            <m:e>
              <m:r>
                <m:t>G</m:t>
              </m:r>
            </m:e>
            <m:sub>
              <m:r>
                <m:rPr>
                  <m:nor/>
                  <m:sty m:val="p"/>
                </m:rPr>
                <m:t>var</m:t>
              </m:r>
            </m:sub>
          </m:sSub>
          <m:r>
            <m:rPr>
              <m:sty m:val="p"/>
            </m:rPr>
            <m:t>−</m:t>
          </m:r>
          <m:r>
            <m:t>Δ</m:t>
          </m:r>
          <m:sSub>
            <m:e>
              <m:r>
                <m:t>G</m:t>
              </m:r>
            </m:e>
            <m:sub>
              <m:r>
                <m:rPr>
                  <m:nor/>
                  <m:sty m:val="p"/>
                </m:rPr>
                <m:t>ref</m:t>
              </m:r>
            </m:sub>
          </m:sSub>
        </m:oMath>
      </m:oMathPara>
    </w:p>
    <w:p>
      <w:pPr>
        <w:pStyle w:val="FirstParagraph"/>
      </w:pPr>
      <w:r>
        <w:rPr>
          <w:rFonts w:ascii="Times New Roman" w:hAnsi="Times New Roman" w:eastAsia="Times New Roman" w:cs="Times New Roman"/>
          <w:sz w:val="24"/>
        </w:rPr>
        <w:t xml:space="preserve">A significant destabilization (</w:t>
      </w:r>
      <m:oMath>
        <m:r>
          <m:t>Δ</m:t>
        </m:r>
        <m:r>
          <m:t>Δ</m:t>
        </m:r>
        <m:r>
          <m:t>G</m:t>
        </m:r>
        <m:r>
          <m:rPr>
            <m:sty m:val="p"/>
          </m:rPr>
          <m:t>&gt;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kcal/mol) or stabilization (</w:t>
      </w:r>
      <m:oMath>
        <m:r>
          <m:t>Δ</m:t>
        </m:r>
        <m:r>
          <m:t>Δ</m:t>
        </m:r>
        <m:r>
          <m:t>G</m:t>
        </m:r>
        <m:r>
          <m:rPr>
            <m:sty m:val="p"/>
          </m:rPr>
          <m:t>&lt;</m:t>
        </m:r>
        <m:r>
          <m:rPr>
            <m:sty m:val="p"/>
          </m:rPr>
          <m: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kcal/mol) of local secondary structure can alter mRNA stability, translation efficiency, or miRNA binding site accessibility, providing a mechanistic basis for pathogenicity of non-coding variants.</w:t>
      </w:r>
    </w:p>
    <w:bookmarkEnd w:id="104"/>
    <w:bookmarkStart w:id="105" w:name="X165522d02a45ef3861781e1d37acd8cf8a10f84"/>
    <w:p>
      <w:pPr>
        <w:pStyle w:val="Heading4"/>
      </w:pPr>
      <w:r>
        <w:rPr>
          <w:rFonts w:ascii="Times New Roman" w:hAnsi="Times New Roman" w:eastAsia="Times New Roman" w:cs="Times New Roman"/>
          <w:sz w:val="24"/>
        </w:rPr>
        <w:t xml:space="preserve">15.2.3 Tier 3: GPU-Accelerated Deep Learning Layer (7 tools, 30–420 s)</w:t>
      </w:r>
    </w:p>
    <w:p>
      <w:pPr>
        <w:pStyle w:val="FirstParagraph"/>
      </w:pPr>
      <w:r>
        <w:rPr>
          <w:rFonts w:ascii="Times New Roman" w:hAnsi="Times New Roman" w:eastAsia="Times New Roman" w:cs="Times New Roman"/>
          <w:sz w:val="24"/>
        </w:rPr>
        <w:t xml:space="preserve">The third computational tier comprises seven GPU-accelerated instruments that execute large protein language models and structure prediction networks on NVIDIA A10g (24 GB) GPUs via the Modal serverless compute platform. Latencies range from 30 seconds to 7 minutes, reflecting the computational cost of processing billion-parameter models on sequences of 200–2,000 residues. These instruments provide the highest-fidelity biological predictions in the pipeline, reserved for analyses where CPU-based methods are insufficient.</w:t>
      </w:r>
    </w:p>
    <w:p>
      <w:pPr>
        <w:pStyle w:val="BodyText"/>
      </w:pPr>
      <w:r>
        <w:rPr>
          <w:rFonts w:ascii="Times New Roman" w:hAnsi="Times New Roman" w:eastAsia="Times New Roman" w:cs="Times New Roman"/>
          <w:b/>
          <w:bCs/>
          <w:sz w:val="24"/>
        </w:rPr>
        <w:t xml:space="preserve">ESMFold: Single-Sequence Structure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run_esmfold_prediction</w:t>
      </w:r>
      <w:r>
        <w:rPr>
          <w:rFonts w:ascii="Times New Roman" w:hAnsi="Times New Roman" w:eastAsia="Times New Roman" w:cs="Times New Roman"/>
          <w:sz w:val="24"/>
        </w:rPr>
        <w:t xml:space="preserve">). ESMFold [25] is a protein language model-based structure prediction method that eliminates the dependence on multiple sequence alignments (MSAs) required by AlphaFold2. Built on the ESM-2 protein language model (15 billion parameters), ESMFold directly predicts inter-residue distances and orientations from the raw amino acid sequence, which are then converted to 3D coordinates through gradient descent on a differentiable structure module. The system deploys ESMFold when no AlphaFold DB structure is available for the query protein — specifically, for novel isoforms, engineered protein constructs, chimeric proteins, or species outside the AlphaFold DB training set. ESMFold inference on a 500-residue protein requires approximately 60 seconds on an H100 GPU, compared to 5–15 minutes for AlphaFold2 with MSA generation. The accuracy tradeoff is well-characterized: ESMFold achieves a median backbone RMSD of 2.9 Å on CASP14 targets (versus 1.6 Å for AlphaFold2) [25], with the largest accuracy gaps occurring for proteins where MSA information provides critical evolutionary constraints. However, for proteins with few homologs (MSA depth</w:t>
      </w:r>
      <w:r>
        <w:rPr>
          <w:rFonts w:ascii="Times New Roman" w:hAnsi="Times New Roman" w:eastAsia="Times New Roman" w:cs="Times New Roman"/>
          <w:sz w:val="24"/>
        </w:rPr>
        <w:t xml:space="preserve"> </w:t>
      </w:r>
      <m:oMath>
        <m:r>
          <m:rPr>
            <m:sty m:val="p"/>
          </m:rPr>
          <m:t>&lt;</m:t>
        </m:r>
        <m:r>
          <m:t>30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effective sequences), ESMFold’s single-sequence approach can match or exceed AlphaFold2 because the MSA-based method’s predictions degrade with sparse evolutionary information while ESMFold’s learned sequence-structure mapping remains robust [25].</w:t>
      </w:r>
    </w:p>
    <w:p>
      <w:pPr>
        <w:pStyle w:val="BodyText"/>
      </w:pPr>
      <w:r>
        <w:rPr>
          <w:rFonts w:ascii="Times New Roman" w:hAnsi="Times New Roman" w:eastAsia="Times New Roman" w:cs="Times New Roman"/>
          <w:b/>
          <w:bCs/>
          <w:sz w:val="24"/>
        </w:rPr>
        <w:t xml:space="preserve">ESM-2 Sequence Scoring: Evolutionary Constraint Quantification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run_esm2_score</w:t>
      </w:r>
      <w:r>
        <w:rPr>
          <w:rFonts w:ascii="Times New Roman" w:hAnsi="Times New Roman" w:eastAsia="Times New Roman" w:cs="Times New Roman"/>
          <w:sz w:val="24"/>
        </w:rPr>
        <w:t xml:space="preserve">). ESM-2 [84] is a protein language model trained on 250 million protein sequences spanning the UniRef database using a masked language modeling objective. The 650-million-parameter variant is deployed for sequence likelihood scoring: the model computes the pseudo-log-likelihood (PLL) of the wild-type and mutant sequences, and the difference quantifies the evolutionary constraint at the variant position. The pseudo-log-likelihood for a sequence</w:t>
      </w:r>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of length</w:t>
      </w:r>
      <w:r>
        <w:rPr>
          <w:rFonts w:ascii="Times New Roman" w:hAnsi="Times New Roman" w:eastAsia="Times New Roman" w:cs="Times New Roman"/>
          <w:sz w:val="24"/>
        </w:rPr>
        <w:t xml:space="preserve"> </w:t>
      </w:r>
      <m:oMath>
        <m:r>
          <m:t>L</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w:t>
      </w:r>
    </w:p>
    <w:p>
      <w:pPr>
        <w:pStyle w:val="BodyText"/>
      </w:pPr>
      <m:oMathPara>
        <m:oMathParaPr>
          <m:jc m:val="center"/>
        </m:oMathParaPr>
        <m:oMath>
          <m:r>
            <m:rPr>
              <m:nor/>
              <m:sty m:val="p"/>
            </m:rPr>
            <m:t>PLL</m:t>
          </m:r>
          <m:d>
            <m:dPr>
              <m:begChr m:val="("/>
              <m:endChr m:val=")"/>
              <m:sepChr m:val=""/>
              <m:grow/>
            </m:dPr>
            <m:e>
              <m:r>
                <m:t>S</m:t>
              </m:r>
            </m:e>
          </m:d>
          <m:r>
            <m:rPr>
              <m:sty m:val="p"/>
            </m:rPr>
            <m:t>=</m:t>
          </m:r>
          <m:nary>
            <m:naryPr>
              <m:chr m:val="∑"/>
              <m:limLoc m:val="undOvr"/>
              <m:subHide m:val="off"/>
              <m:supHide m:val="off"/>
            </m:naryPr>
            <m:sub>
              <m:r>
                <m:t>i</m:t>
              </m:r>
              <m:r>
                <m:rPr>
                  <m:sty m:val="p"/>
                </m:rPr>
                <m:t>=</m:t>
              </m:r>
              <m:r>
                <m:t>1</m:t>
              </m:r>
            </m:sub>
            <m:sup>
              <m:r>
                <m:t>L</m:t>
              </m:r>
            </m:sup>
            <m:e>
              <m:r>
                <m:rPr>
                  <m:sty m:val="p"/>
                </m:rPr>
                <m:t>log</m:t>
              </m:r>
            </m:e>
          </m:nary>
          <m:r>
            <m:t>P</m:t>
          </m:r>
          <m:d>
            <m:dPr>
              <m:begChr m:val="("/>
              <m:endChr m:val=")"/>
              <m:sepChr m:val=""/>
              <m:grow/>
            </m:dPr>
            <m:e>
              <m:sSub>
                <m:e>
                  <m:r>
                    <m:t>s</m:t>
                  </m:r>
                </m:e>
                <m:sub>
                  <m:r>
                    <m:t>i</m:t>
                  </m:r>
                </m:sub>
              </m:sSub>
              <m:r>
                <m:rPr>
                  <m:sty m:val="p"/>
                </m:rPr>
                <m:t>∣</m:t>
              </m:r>
              <m:sSub>
                <m:e>
                  <m:r>
                    <m:t>s</m:t>
                  </m:r>
                </m:e>
                <m:sub>
                  <m:r>
                    <m:rPr>
                      <m:sty m:val="p"/>
                    </m:rPr>
                    <m:t>\</m:t>
                  </m:r>
                  <m:r>
                    <m:t>i</m:t>
                  </m:r>
                </m:sub>
              </m:sSub>
              <m:r>
                <m:rPr>
                  <m:sty m:val="p"/>
                </m:rPr>
                <m:t>,</m:t>
              </m:r>
              <m:r>
                <m:t>θ</m:t>
              </m:r>
            </m:e>
          </m: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
          <m:e>
            <m:r>
              <m:t>s</m:t>
            </m:r>
          </m:e>
          <m:sub>
            <m:r>
              <m:rPr>
                <m:sty m:val="p"/>
              </m:rPr>
              <m:t>\</m:t>
            </m:r>
            <m:r>
              <m:t>i</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denotes all positions except</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residue at position</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masked during scoring), and</w:t>
      </w:r>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the model parameters. The variant effect score is</w:t>
      </w:r>
      <w:r>
        <w:rPr>
          <w:rFonts w:ascii="Times New Roman" w:hAnsi="Times New Roman" w:eastAsia="Times New Roman" w:cs="Times New Roman"/>
          <w:sz w:val="24"/>
        </w:rPr>
        <w:t xml:space="preserve"> </w:t>
      </w:r>
      <m:oMath>
        <m:r>
          <m:t>Δ</m:t>
        </m:r>
        <m:r>
          <m:rPr>
            <m:nor/>
            <m:sty m:val="p"/>
          </m:rPr>
          <m:t>PLL</m:t>
        </m:r>
        <m:r>
          <m:rPr>
            <m:sty m:val="p"/>
          </m:rPr>
          <m:t>=</m:t>
        </m:r>
        <m:r>
          <m:rPr>
            <m:nor/>
            <m:sty m:val="p"/>
          </m:rPr>
          <m:t>PLL</m:t>
        </m:r>
        <m:d>
          <m:dPr>
            <m:begChr m:val="("/>
            <m:endChr m:val=")"/>
            <m:sepChr m:val=""/>
            <m:grow/>
          </m:dPr>
          <m:e>
            <m:sSub>
              <m:e>
                <m:r>
                  <m:t>S</m:t>
                </m:r>
              </m:e>
              <m:sub>
                <m:r>
                  <m:rPr>
                    <m:nor/>
                    <m:sty m:val="p"/>
                  </m:rPr>
                  <m:t>mut</m:t>
                </m:r>
              </m:sub>
            </m:sSub>
          </m:e>
        </m:d>
        <m:r>
          <m:rPr>
            <m:sty m:val="p"/>
          </m:rPr>
          <m:t>−</m:t>
        </m:r>
        <m:r>
          <m:rPr>
            <m:nor/>
            <m:sty m:val="p"/>
          </m:rPr>
          <m:t>PLL</m:t>
        </m:r>
        <m:d>
          <m:dPr>
            <m:begChr m:val="("/>
            <m:endChr m:val=")"/>
            <m:sepChr m:val=""/>
            <m:grow/>
          </m:dPr>
          <m:e>
            <m:sSub>
              <m:e>
                <m:r>
                  <m:t>S</m:t>
                </m:r>
              </m:e>
              <m:sub>
                <m:r>
                  <m:rPr>
                    <m:nor/>
                    <m:sty m:val="p"/>
                  </m:rPr>
                  <m:t>wt</m:t>
                </m:r>
              </m:sub>
            </m:sSub>
          </m:e>
        </m:d>
      </m:oMath>
      <w:r>
        <w:rPr>
          <w:rFonts w:ascii="Times New Roman" w:hAnsi="Times New Roman" w:eastAsia="Times New Roman" w:cs="Times New Roman"/>
          <w:sz w:val="24"/>
        </w:rPr>
        <w:t xml:space="preserve">. A negative</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PLL indicates the mutant sequence is less likely under the model’s learned distribution, implying the substitution violates evolutionary constraints. This scoring paradigm, termed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“zero-shot variant effect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was established by Meier et al. [26] and subsequently validated across thousands of deep mutational scanning experiments. ESM-2 scoring complements AlphaMissense in the evidential fusion framework: AlphaMissense is fine-tuned specifically for pathogenicity prediction and provides calibrated probabilities, while ESM-2 provides an orthogonal measure of evolutionary constraint derived from the general-purpose language model without pathogenicity-specific fine-tuning. Discordance between the two flags variants requiring manual review, as the discordance may indicate an unusual mechanistic context not captured by either model alone.</w:t>
      </w:r>
    </w:p>
    <w:p>
      <w:pPr>
        <w:pStyle w:val="BodyText"/>
      </w:pPr>
      <w:r>
        <w:rPr>
          <w:rFonts w:ascii="Times New Roman" w:hAnsi="Times New Roman" w:eastAsia="Times New Roman" w:cs="Times New Roman"/>
          <w:b/>
          <w:bCs/>
          <w:sz w:val="24"/>
        </w:rPr>
        <w:t xml:space="preserve">Boltz2: Multi-Modal Structure and Affinity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run_boltz2_prediction</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run_boltz2_affinity</w:t>
      </w:r>
      <w:r>
        <w:rPr>
          <w:rFonts w:ascii="Times New Roman" w:hAnsi="Times New Roman" w:eastAsia="Times New Roman" w:cs="Times New Roman"/>
          <w:sz w:val="24"/>
        </w:rPr>
        <w:t xml:space="preserve">). Boltz2 [85] is a unified foundation model for molecular structure prediction that handles proteins, nucleic acids, small molecules, and their complexes within a single architecture. Built on an equivariant diffusion framework, Boltz2 accepts multi-modal inputs (protein sequences + ligand SMILES + optional nucleic acid sequences) and generates all-atom 3D structures with predicted confidence metrics. Two operational modes are deployed.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Structure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protein and ligand inputs and generates a predicted complex structure, used when the system needs to model how a variant affects protein-ligand binding geometry — for example, visualizing how a kinase domain mutation repositions the ATP-binding pocket to reduce inhibitor affinity.</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Affinity prediction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pre-determined protein-ligand complex (or a protein sequence + ligand SMILES) and directly predicts binding affinity as IC</w:t>
      </w:r>
      <m:oMath>
        <m:sSub>
          <m:e>
            <m:r>
              <m:t>​</m:t>
            </m:r>
          </m:e>
          <m:sub>
            <m:r>
              <m:t>50</m:t>
            </m:r>
          </m:sub>
        </m:sSub>
      </m:oMath>
      <w:r>
        <w:rPr>
          <w:rFonts w:ascii="Times New Roman" w:hAnsi="Times New Roman" w:eastAsia="Times New Roman" w:cs="Times New Roman"/>
          <w:sz w:val="24"/>
        </w:rPr>
        <w:t xml:space="preserve">, used when the clinical question concerns drug resistance mechanisms. Boltz2’s unified architecture addresses a fundamental limitation of single-modality structure predictors: protein-ligand binding involves induced fit and conformational selection mechanisms that cannot be captured by separately predicting the protein structure and docking the ligand. By jointly modeling all molecular species, Boltz2 captures the mutual structural accommodation between protein and ligand [85]. Inference requires 2–5 minutes on an H100 GPU, with the diffusion process requiring $</w:t>
      </w:r>
      <w:r>
        <w:rPr>
          <w:rFonts w:ascii="Times New Roman" w:hAnsi="Times New Roman" w:eastAsia="Times New Roman" w:cs="Times New Roman"/>
          <w:sz w:val="24"/>
        </w:rPr>
        <w:t xml:space="preserve">$500 denoising steps.</w:t>
      </w:r>
    </w:p>
    <w:p>
      <w:pPr>
        <w:pStyle w:val="BodyText"/>
      </w:pPr>
      <w:r>
        <w:rPr>
          <w:rFonts w:ascii="Times New Roman" w:hAnsi="Times New Roman" w:eastAsia="Times New Roman" w:cs="Times New Roman"/>
          <w:b/>
          <w:bCs/>
          <w:sz w:val="24"/>
        </w:rPr>
        <w:t xml:space="preserve">ProteinMPNN: Inverse Folding and Sequence Design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run_proteinmpnn_sample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run_proteinmpnn_score</w:t>
      </w:r>
      <w:r>
        <w:rPr>
          <w:rFonts w:ascii="Times New Roman" w:hAnsi="Times New Roman" w:eastAsia="Times New Roman" w:cs="Times New Roman"/>
          <w:sz w:val="24"/>
        </w:rPr>
        <w:t xml:space="preserve">). ProteinMPNN [86] is an equivariant graph neural network that solves the protein inverse folding problem: given a protein backbone structure, predict amino acid sequences that are compatible with that structure. The model processes the backbone coordinates (C</w:t>
      </w:r>
      <m:oMath>
        <m:r>
          <m:t>α</m:t>
        </m:r>
      </m:oMath>
      <w:r>
        <w:rPr>
          <w:rFonts w:ascii="Times New Roman" w:hAnsi="Times New Roman" w:eastAsia="Times New Roman" w:cs="Times New Roman"/>
          <w:sz w:val="24"/>
        </w:rPr>
        <w:t xml:space="preserve">, C, N, O) as a graph with geometric features (distances, angles, dihedrals) and autoregressively generates amino acid identities at each position conditioned on the backbone and previously generated residues. Two modes are deployed.</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Scoring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protein sequence and its corresponding structure, returning the per-residue log-likelihood under ProteinMPNN — a measure of how well the observed sequence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“fits”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observed structure. A low log-likelihood at the variant position indicates the mutant amino acid is structurally incompatible with the wild-type backbone, suggesting the variant induces a local conformational rearrangement.</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Sampling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accepts a backbone structure and generates multiple candidate sequences (default</w:t>
      </w:r>
      <w:r>
        <w:rPr>
          <w:rFonts w:ascii="Times New Roman" w:hAnsi="Times New Roman" w:eastAsia="Times New Roman" w:cs="Times New Roman"/>
          <w:sz w:val="24"/>
        </w:rPr>
        <w:t xml:space="preserve"> </w:t>
      </w:r>
      <m:oMath>
        <m:r>
          <m:t>n</m:t>
        </m:r>
        <m:r>
          <m:rPr>
            <m:sty m:val="p"/>
          </m:rPr>
          <m:t>=</m:t>
        </m:r>
        <m:r>
          <m:t>8</m:t>
        </m:r>
      </m:oMath>
      <w:r>
        <w:rPr>
          <w:rFonts w:ascii="Times New Roman" w:hAnsi="Times New Roman" w:eastAsia="Times New Roman" w:cs="Times New Roman"/>
          <w:sz w:val="24"/>
        </w:rPr>
        <w:t xml:space="preserve">) that are structurally compatible, providing a distribution of</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“allowed”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amino acids at each position that can be compared against the observed variant to assess its novelty. ProteinMPNN scoring provides orthogonal evidence to ESM-2 scoring: ESM-2 evaluates sequence likelihood under an evolutionary distribution (what sequences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exist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nature), while ProteinMPNN evaluates sequence-structure compatibility (what sequences are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physically possible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a given fold). A variant that scores poorly on both metrics has strong evidence for pathogenicity: it is both evolutionarily unprecedented and structurally incompatible.</w:t>
      </w:r>
    </w:p>
    <w:p>
      <w:pPr>
        <w:pStyle w:val="BodyText"/>
      </w:pPr>
      <w:r>
        <w:rPr>
          <w:rFonts w:ascii="Times New Roman" w:hAnsi="Times New Roman" w:eastAsia="Times New Roman" w:cs="Times New Roman"/>
          <w:b/>
          <w:bCs/>
          <w:sz w:val="24"/>
        </w:rPr>
        <w:t xml:space="preserve">PyMOL RMSD Alignment: Structural Comparison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run_pymol_rmsd_alignment</w:t>
      </w:r>
      <w:r>
        <w:rPr>
          <w:rFonts w:ascii="Times New Roman" w:hAnsi="Times New Roman" w:eastAsia="Times New Roman" w:cs="Times New Roman"/>
          <w:sz w:val="24"/>
        </w:rPr>
        <w:t xml:space="preserve">). The system integrates PyMOL’s [87] RMSD (Root Mean Square Deviation) calculation engine for quantitative comparison of two protein structures — typically the wild-type and mutant conformations, or an experimental structure and a predicted structure. The RMSD is computed over C</w:t>
      </w:r>
      <m:oMath>
        <m:r>
          <m:t>α</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atoms after optimal superposition via the Kabsch algorithm [88]:</w:t>
      </w:r>
    </w:p>
    <w:p>
      <w:pPr>
        <w:pStyle w:val="BodyText"/>
      </w:pPr>
      <m:oMathPara>
        <m:oMathParaPr>
          <m:jc m:val="center"/>
        </m:oMathParaPr>
        <m:oMath>
          <m:r>
            <m:rPr>
              <m:nor/>
              <m:sty m:val="p"/>
            </m:rPr>
            <m:t>RMSD</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Sup>
                <m:e>
                  <m:r>
                    <m:rPr>
                      <m:sty m:val="b"/>
                    </m:rPr>
                    <m:t>r</m:t>
                  </m:r>
                </m:e>
                <m:sub>
                  <m:r>
                    <m:t>i</m:t>
                  </m:r>
                </m:sub>
                <m:sup>
                  <m:r>
                    <m:rPr>
                      <m:nor/>
                      <m:sty m:val="p"/>
                    </m:rPr>
                    <m:t>wt</m:t>
                  </m:r>
                </m:sup>
              </m:sSubSup>
              <m:r>
                <m:rPr>
                  <m:sty m:val="p"/>
                </m:rPr>
                <m:t>−</m:t>
              </m:r>
              <m:sSubSup>
                <m:e>
                  <m:r>
                    <m:rPr>
                      <m:sty m:val="b"/>
                    </m:rPr>
                    <m:t>r</m:t>
                  </m:r>
                </m:e>
                <m:sub>
                  <m:r>
                    <m:t>i</m:t>
                  </m:r>
                </m:sub>
                <m:sup>
                  <m:r>
                    <m:rPr>
                      <m:nor/>
                      <m:sty m:val="p"/>
                    </m:rPr>
                    <m:t>mut</m:t>
                  </m:r>
                </m:sup>
              </m:sSubSup>
              <m:sSup>
                <m:e>
                  <m:r>
                    <m:rPr>
                      <m:sty m:val="p"/>
                    </m:rPr>
                    <m:t>∥</m:t>
                  </m:r>
                </m:e>
                <m:sup>
                  <m:r>
                    <m:t>2</m:t>
                  </m:r>
                </m:sup>
              </m:sSup>
            </m:e>
          </m:rad>
        </m:oMath>
      </m:oMathPara>
    </w:p>
    <w:p>
      <w:pPr>
        <w:pStyle w:val="FirstParagraph"/>
      </w:pPr>
      <w:r>
        <w:rPr>
          <w:rFonts w:ascii="Times New Roman" w:hAnsi="Times New Roman" w:eastAsia="Times New Roman" w:cs="Times New Roman"/>
          <w:sz w:val="24"/>
        </w:rPr>
        <w:t xml:space="preserve">where</w:t>
      </w:r>
      <w:r>
        <w:rPr>
          <w:rFonts w:ascii="Times New Roman" w:hAnsi="Times New Roman" w:eastAsia="Times New Roman" w:cs="Times New Roman"/>
          <w:sz w:val="24"/>
        </w:rPr>
        <w:t xml:space="preserve"> </w:t>
      </w:r>
      <m:oMath>
        <m:sSubSup>
          <m:e>
            <m:r>
              <m:rPr>
                <m:sty m:val="b"/>
              </m:rPr>
              <m:t>r</m:t>
            </m:r>
          </m:e>
          <m:sub>
            <m:r>
              <m:t>i</m:t>
            </m:r>
          </m:sub>
          <m:sup>
            <m:r>
              <m:rPr>
                <m:nor/>
                <m:sty m:val="p"/>
              </m:rPr>
              <m:t>wt</m:t>
            </m:r>
          </m:sup>
        </m:sSub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Sup>
          <m:e>
            <m:r>
              <m:rPr>
                <m:sty m:val="b"/>
              </m:rPr>
              <m:t>r</m:t>
            </m:r>
          </m:e>
          <m:sub>
            <m:r>
              <m:t>i</m:t>
            </m:r>
          </m:sub>
          <m:sup>
            <m:r>
              <m:rPr>
                <m:nor/>
                <m:sty m:val="p"/>
              </m:rPr>
              <m:t>mut</m:t>
            </m:r>
          </m:sup>
        </m:sSubSup>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are the C</w:t>
      </w:r>
      <m:oMath>
        <m:r>
          <m:t>α</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coordinates of residue</w:t>
      </w:r>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 the wild-type and mutant structures after superposition, and</w:t>
      </w:r>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number of aligned residues. The RMSD instrument is invoked when both wild-type and mutant structures are available. A global RMSD</w:t>
      </w:r>
      <w:r>
        <w:rPr>
          <w:rFonts w:ascii="Times New Roman" w:hAnsi="Times New Roman" w:eastAsia="Times New Roman" w:cs="Times New Roman"/>
          <w:sz w:val="24"/>
        </w:rPr>
        <w:t xml:space="preserve"> </w:t>
      </w:r>
      <m:oMath>
        <m:r>
          <m:rPr>
            <m:sty m:val="p"/>
          </m:rPr>
          <m:t>&gt;</m:t>
        </m:r>
        <m:r>
          <m:t>2.0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Å over the full protein suggests a domain-level conformational change, while a local RMSD</w:t>
      </w:r>
      <w:r>
        <w:rPr>
          <w:rFonts w:ascii="Times New Roman" w:hAnsi="Times New Roman" w:eastAsia="Times New Roman" w:cs="Times New Roman"/>
          <w:sz w:val="24"/>
        </w:rPr>
        <w:t xml:space="preserve"> </w:t>
      </w:r>
      <m:oMath>
        <m:r>
          <m:rPr>
            <m:sty m:val="p"/>
          </m:rPr>
          <m:t>&gt;</m:t>
        </m:r>
        <m:r>
          <m:t>1.0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Å over a 10-residue window centered on the variant suggests a localized structural perturbation. The system also computes per-residue RMSD to identify the spatial extent of the structural effect, reporting whether the perturbation is confined to the variant site or propagates to distal functional sites.</w:t>
      </w:r>
    </w:p>
    <w:bookmarkEnd w:id="105"/>
    <w:bookmarkEnd w:id="106"/>
    <w:bookmarkStart w:id="107" w:name="X48f8463af506ca16919f4a0b9de4d462681c5b4"/>
    <w:p>
      <w:pPr>
        <w:pStyle w:val="Heading3"/>
      </w:pPr>
      <w:r>
        <w:rPr>
          <w:rFonts w:ascii="Times New Roman" w:hAnsi="Times New Roman" w:eastAsia="Times New Roman" w:cs="Times New Roman"/>
          <w:sz w:val="24"/>
        </w:rPr>
        <w:t xml:space="preserve">15.3 Constrained Execution Loop and Context Management</w:t>
      </w:r>
    </w:p>
    <w:p>
      <w:pPr>
        <w:pStyle w:val="FirstParagraph"/>
      </w:pPr>
      <w:r>
        <w:rPr>
          <w:rFonts w:ascii="Times New Roman" w:hAnsi="Times New Roman" w:eastAsia="Times New Roman" w:cs="Times New Roman"/>
          <w:sz w:val="24"/>
        </w:rPr>
        <w:t xml:space="preserve">The agent operates within a bounded finite-state machine, executing up to 3 tool calls per conversational turn. At each step</w:t>
      </w:r>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the input context comprises the user query</w:t>
      </w:r>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the ordered set of tool schemas</w:t>
      </w:r>
      <w:r>
        <w:rPr>
          <w:rFonts w:ascii="Times New Roman" w:hAnsi="Times New Roman" w:eastAsia="Times New Roman" w:cs="Times New Roman"/>
          <w:sz w:val="24"/>
        </w:rPr>
        <w:t xml:space="preserve"> </w:t>
      </w:r>
      <m:oMath>
        <m:r>
          <m:rPr>
            <m:sty m:val="p"/>
            <m:scr m:val="script"/>
          </m:rPr>
          <m:t>S</m:t>
        </m:r>
      </m:oMath>
      <w:r>
        <w:rPr>
          <w:rFonts w:ascii="Times New Roman" w:hAnsi="Times New Roman" w:eastAsia="Times New Roman" w:cs="Times New Roman"/>
          <w:sz w:val="24"/>
        </w:rPr>
        <w:t xml:space="preserve">, and the sequential history of prior tool inputs and outputs</w:t>
      </w:r>
      <w:r>
        <w:rPr>
          <w:rFonts w:ascii="Times New Roman" w:hAnsi="Times New Roman" w:eastAsia="Times New Roman" w:cs="Times New Roman"/>
          <w:sz w:val="24"/>
        </w:rPr>
        <w:t xml:space="preserve"> </w:t>
      </w:r>
      <m:oMath>
        <m:sSub>
          <m:e>
            <m:r>
              <m:rPr>
                <m:sty m:val="p"/>
                <m:scr m:val="script"/>
              </m:rPr>
              <m:t>H</m:t>
            </m:r>
          </m:e>
          <m:sub>
            <m:r>
              <m:rPr>
                <m:sty m:val="p"/>
              </m:rPr>
              <m:t>&lt;</m:t>
            </m:r>
            <m:r>
              <m:t>t</m:t>
            </m:r>
          </m:sub>
        </m:sSub>
      </m:oMath>
      <w:r>
        <w:rPr>
          <w:rFonts w:ascii="Times New Roman" w:hAnsi="Times New Roman" w:eastAsia="Times New Roman" w:cs="Times New Roman"/>
          <w:sz w:val="24"/>
        </w:rPr>
        <w:t xml:space="preserve">. The LLM yields either a terminal text response or a structured JSON tool invocation.</w:t>
      </w:r>
    </w:p>
    <w:p>
      <w:pPr>
        <w:pStyle w:val="BodyText"/>
      </w:pPr>
      <w:r>
        <w:rPr>
          <w:rFonts w:ascii="Times New Roman" w:hAnsi="Times New Roman" w:eastAsia="Times New Roman" w:cs="Times New Roman"/>
          <w:sz w:val="24"/>
        </w:rPr>
        <w:t xml:space="preserve">To manage the 128K-token context window budget against voluminous tool outputs (e.g., unfiltered AlphaMissense returns or lengthy BLAST alignments), aggressive but biologically informed truncation is applied:</w:t>
      </w:r>
    </w:p>
    <w:p>
      <w:pPr>
        <w:pStyle w:val="Compact"/>
        <w:numPr>
          <w:ilvl w:val="0"/>
          <w:numId w:val="1005"/>
        </w:numPr>
      </w:pPr>
      <w:r>
        <w:rPr>
          <w:rFonts w:ascii="Times New Roman" w:hAnsi="Times New Roman" w:eastAsia="Times New Roman" w:cs="Times New Roman"/>
          <w:b/>
          <w:bCs/>
          <w:sz w:val="24"/>
        </w:rPr>
        <w:t xml:space="preserve">Output Truncation: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 returns are hard-truncated at 50,000 characters, prioritizing the structured JSON payload over free-text metadata.</w:t>
      </w:r>
    </w:p>
    <w:p>
      <w:pPr>
        <w:pStyle w:val="Compact"/>
        <w:numPr>
          <w:ilvl w:val="0"/>
          <w:numId w:val="1005"/>
        </w:numPr>
      </w:pPr>
      <w:r>
        <w:rPr>
          <w:rFonts w:ascii="Times New Roman" w:hAnsi="Times New Roman" w:eastAsia="Times New Roman" w:cs="Times New Roman"/>
          <w:b/>
          <w:bCs/>
          <w:sz w:val="24"/>
        </w:rPr>
        <w:t xml:space="preserve">Pre-filtering: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AlphaMissense outputs are pre-filtered to return only the top 50 pathogenic variants (</w:t>
      </w:r>
      <m:oMath>
        <m:r>
          <m:t>A</m:t>
        </m:r>
        <m:r>
          <m:t>M</m:t>
        </m:r>
        <m:r>
          <m:rPr>
            <m:sty m:val="p"/>
          </m:rPr>
          <m:t>&gt;</m:t>
        </m:r>
        <m:r>
          <m:t>0.34</m:t>
        </m:r>
      </m:oMath>
      <w:r>
        <w:rPr>
          <w:rFonts w:ascii="Times New Roman" w:hAnsi="Times New Roman" w:eastAsia="Times New Roman" w:cs="Times New Roman"/>
          <w:sz w:val="24"/>
        </w:rPr>
        <w:t xml:space="preserve">), reducing the token footprint by $</w:t>
      </w:r>
      <w:r>
        <w:rPr>
          <w:rFonts w:ascii="Times New Roman" w:hAnsi="Times New Roman" w:eastAsia="Times New Roman" w:cs="Times New Roman"/>
          <w:sz w:val="24"/>
        </w:rPr>
        <w:t xml:space="preserve">$90% while retaining all clinically actionable signals.</w:t>
      </w:r>
    </w:p>
    <w:bookmarkEnd w:id="107"/>
    <w:bookmarkStart w:id="108" w:name="Xdc779eba701888a1e5273b4a1481325b1e723d1"/>
    <w:p>
      <w:pPr>
        <w:pStyle w:val="Heading3"/>
      </w:pPr>
      <w:r>
        <w:rPr>
          <w:rFonts w:ascii="Times New Roman" w:hAnsi="Times New Roman" w:eastAsia="Times New Roman" w:cs="Times New Roman"/>
          <w:sz w:val="24"/>
        </w:rPr>
        <w:t xml:space="preserve">15.4 Mitigating Attention Sink Degradation via Schema Routing</w:t>
      </w:r>
    </w:p>
    <w:p>
      <w:pPr>
        <w:pStyle w:val="FirstParagraph"/>
      </w:pPr>
      <w:r>
        <w:rPr>
          <w:rFonts w:ascii="Times New Roman" w:hAnsi="Times New Roman" w:eastAsia="Times New Roman" w:cs="Times New Roman"/>
          <w:sz w:val="24"/>
        </w:rPr>
        <w:t xml:space="preserve">Transformer-based LLMs exhibit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“lost in the middle”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attention degradation, where information located in the center of long contexts is systematically ignored [14]. Because the agent must select precisely among 31 distinct JSON schemas (totaling $</w:t>
      </w:r>
      <w:r>
        <w:rPr>
          <w:rFonts w:ascii="Times New Roman" w:hAnsi="Times New Roman" w:eastAsia="Times New Roman" w:cs="Times New Roman"/>
          <w:sz w:val="24"/>
        </w:rPr>
        <w:t xml:space="preserve">$15,000 tokens), naive schema ordering leads to tool-selection hallucinations.</w:t>
      </w:r>
    </w:p>
    <w:p>
      <w:pPr>
        <w:pStyle w:val="BodyText"/>
      </w:pPr>
      <w:r>
        <w:rPr>
          <w:rFonts w:ascii="Times New Roman" w:hAnsi="Times New Roman" w:eastAsia="Times New Roman" w:cs="Times New Roman"/>
          <w:sz w:val="24"/>
        </w:rPr>
        <w:t xml:space="preserve">The system implements two mitigations:</w:t>
      </w:r>
    </w:p>
    <w:p>
      <w:pPr>
        <w:pStyle w:val="Compact"/>
        <w:numPr>
          <w:ilvl w:val="0"/>
          <w:numId w:val="1006"/>
        </w:numPr>
      </w:pPr>
      <w:r>
        <w:rPr>
          <w:rFonts w:ascii="Times New Roman" w:hAnsi="Times New Roman" w:eastAsia="Times New Roman" w:cs="Times New Roman"/>
          <w:b/>
          <w:bCs/>
          <w:sz w:val="24"/>
        </w:rPr>
        <w:t xml:space="preserve">Directive Prompting: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 descriptions employ a strict conditional logic pattern: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“USE THIS when [specific biological condition]. Do NOT use for [overlapping exclusion condition].”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This explicit delineation reduces ambiguity in the latent routing space, minimizing cross-tool hallucination.</w:t>
      </w:r>
    </w:p>
    <w:p>
      <w:pPr>
        <w:pStyle w:val="Compact"/>
        <w:numPr>
          <w:ilvl w:val="0"/>
          <w:numId w:val="1006"/>
        </w:numPr>
      </w:pPr>
      <w:r>
        <w:rPr>
          <w:rFonts w:ascii="Times New Roman" w:hAnsi="Times New Roman" w:eastAsia="Times New Roman" w:cs="Times New Roman"/>
          <w:b/>
          <w:bCs/>
          <w:sz w:val="24"/>
        </w:rPr>
        <w:t xml:space="preserve">Strategic Positioning: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tool schema array is reordered dynamically, placing high-frequency, high-utility tools (VEP, AlphaMissense, UniProt) at the absolute beginning and end of the context window. This exploits the known attention bias of LLMs toward primacy and recency, ensuring the most critical bioinformatics utilities receive maximal representational fidelity.</w:t>
      </w:r>
    </w:p>
    <w:bookmarkEnd w:id="108"/>
    <w:bookmarkStart w:id="109" w:name="Xa0b9b11ff8d870bb01a979b3cd3725d0f71eac9"/>
    <w:p>
      <w:pPr>
        <w:pStyle w:val="Heading3"/>
      </w:pPr>
      <w:r>
        <w:rPr>
          <w:rFonts w:ascii="Times New Roman" w:hAnsi="Times New Roman" w:eastAsia="Times New Roman" w:cs="Times New Roman"/>
          <w:sz w:val="24"/>
        </w:rPr>
        <w:t xml:space="preserve">15.5 Emergent Fault Tolerance via Reflective Self-Healing</w:t>
      </w:r>
    </w:p>
    <w:p>
      <w:pPr>
        <w:pStyle w:val="FirstParagraph"/>
      </w:pPr>
      <w:r>
        <w:rPr>
          <w:rFonts w:ascii="Times New Roman" w:hAnsi="Times New Roman" w:eastAsia="Times New Roman" w:cs="Times New Roman"/>
          <w:sz w:val="24"/>
        </w:rPr>
        <w:t xml:space="preserve">Distributed bioinformatics APIs are inherently unreliable; GPU cold starts on Tier 3 tools frequently yield HTTP 500 or 504 timeouts. Rather than implementing hard-coded retry logic, the system exploits the generative nature of the LLM for emergent fault tolerance.</w:t>
      </w:r>
    </w:p>
    <w:p>
      <w:pPr>
        <w:pStyle w:val="BodyText"/>
      </w:pPr>
      <w:r>
        <w:rPr>
          <w:rFonts w:ascii="Times New Roman" w:hAnsi="Times New Roman" w:eastAsia="Times New Roman" w:cs="Times New Roman"/>
          <w:sz w:val="24"/>
        </w:rPr>
        <w:t xml:space="preserve">When a tool execution fails, the error trace (e.g.,</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Serverless container cold start timeout</w:t>
      </w:r>
      <w:r>
        <w:rPr>
          <w:rFonts w:ascii="Times New Roman" w:hAnsi="Times New Roman" w:eastAsia="Times New Roman" w:cs="Times New Roman"/>
          <w:sz w:val="24"/>
        </w:rPr>
        <w:t xml:space="preserve">) is injected back into the conversational context</w:t>
      </w:r>
      <w:r>
        <w:rPr>
          <w:rFonts w:ascii="Times New Roman" w:hAnsi="Times New Roman" w:eastAsia="Times New Roman" w:cs="Times New Roman"/>
          <w:sz w:val="24"/>
        </w:rPr>
        <w:t xml:space="preserve"> </w:t>
      </w:r>
      <m:oMath>
        <m:sSub>
          <m:e>
            <m:r>
              <m:rPr>
                <m:sty m:val="p"/>
                <m:scr m:val="script"/>
              </m:rPr>
              <m:t>H</m:t>
            </m:r>
          </m:e>
          <m:sub>
            <m:r>
              <m:t>t</m:t>
            </m:r>
          </m:sub>
        </m:sSub>
      </m:oMath>
      <w:r>
        <w:rPr>
          <w:rFonts w:ascii="Times New Roman" w:hAnsi="Times New Roman" w:eastAsia="Times New Roman" w:cs="Times New Roman"/>
          <w:sz w:val="24"/>
        </w:rPr>
        <w:t xml:space="preserve">. The Nemotron-3 model diagnoses the latent cause and autonomously generates a corrective action — such as reducing the input sequence length for ESMFold, substituting a Tier 3 tool with a faster Tier 2 approximation (e.g., substituting Foldseek for MMseqs2), or simply retrying. This reflective self-healing loop converts brittle API dependencies into a resilient, probabilistically driven adaptation system.</w:t>
      </w:r>
    </w:p>
    <w:bookmarkEnd w:id="109"/>
    <w:bookmarkStart w:id="110" w:name="Xc86e58a9cefa4c66adab744a17770ce27ca759c"/>
    <w:p>
      <w:pPr>
        <w:pStyle w:val="Heading3"/>
      </w:pPr>
      <w:r>
        <w:rPr>
          <w:rFonts w:ascii="Times New Roman" w:hAnsi="Times New Roman" w:eastAsia="Times New Roman" w:cs="Times New Roman"/>
          <w:sz w:val="24"/>
        </w:rPr>
        <w:t xml:space="preserve">15.6 Architectural Integration: The Agent-Tool Interface</w:t>
      </w:r>
    </w:p>
    <w:p>
      <w:pPr>
        <w:pStyle w:val="FirstParagraph"/>
      </w:pPr>
      <w:r>
        <w:rPr>
          <w:rFonts w:ascii="Times New Roman" w:hAnsi="Times New Roman" w:eastAsia="Times New Roman" w:cs="Times New Roman"/>
          <w:sz w:val="24"/>
        </w:rPr>
        <w:t xml:space="preserve">The 31 instruments described above are not invoked in a fixed pipeline but are selected dynamically by the autonomous tool-calling agent based on the user’s query and the accumulated evidence state. This design reflects a fundamental principle: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the computational tools deployed should be determined by the biological question, not prescribed a priori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[89,90].</w:t>
      </w:r>
    </w:p>
    <w:p>
      <w:pPr>
        <w:pStyle w:val="BodyText"/>
      </w:pPr>
      <w:r>
        <w:rPr>
          <w:rFonts w:ascii="Times New Roman" w:hAnsi="Times New Roman" w:eastAsia="Times New Roman" w:cs="Times New Roman"/>
          <w:sz w:val="24"/>
        </w:rPr>
        <w:t xml:space="preserve">The agent receives the user’s query, constructs an initial plan, executes tool calls sequentially or in parallel (when no dependencies exist), observes the results, and revises its plan — following the ReAct (Reasoning + Acting) paradigm [91]. Tool selection is governed by implicit rules learned during training and explicit heuristics: for example, if the query involves a missense variant, the agent always retrieves UniProt (for domain context) and AlphaMissense (for protein-level pathogenicity) before considering GPU-intensive tools; if the user asks about splicing effects, SpliceAI is invoked immediately; if the variant falls in a protein with no AlphaFold DB structure, ESMFold is triggered.</w:t>
      </w:r>
    </w:p>
    <w:p>
      <w:pPr>
        <w:pStyle w:val="BodyText"/>
      </w:pPr>
      <w:r>
        <w:rPr>
          <w:rFonts w:ascii="Times New Roman" w:hAnsi="Times New Roman" w:eastAsia="Times New Roman" w:cs="Times New Roman"/>
          <w:sz w:val="24"/>
        </w:rPr>
        <w:t xml:space="preserve">This architecture achieves two objectives simultaneously. First, it minimizes computational cost by avoiding unnecessary tool calls — a benign common variant resolved by gnomAD frequency (BA1) never triggers GPU allocation. Second, it maximizes evidence depth for ambiguous variants by iteratively enriching the evidence state until a confident classification is reached or all relevant tools have been exhausted. The compute-aware short-circuiting implemented for gnomAD BA1 filtering is the canonical example: a 2-second database lookup prevents a 60-second GPU inference, reducing both latency and cost by</w:t>
      </w:r>
      <w:r>
        <w:rPr>
          <w:rFonts w:ascii="Times New Roman" w:hAnsi="Times New Roman" w:eastAsia="Times New Roman" w:cs="Times New Roman"/>
          <w:sz w:val="24"/>
        </w:rPr>
        <w:t xml:space="preserve"> </w:t>
      </w:r>
      <m:oMath>
        <m:r>
          <m:rPr>
            <m:sty m:val="p"/>
          </m:rPr>
          <m:t>&gt;</m:t>
        </m:r>
        <m:r>
          <m:t>95</m:t>
        </m:r>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 common variants.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backend/paper/figure_nemotron_architecture.png</w:t>
      </w:r>
    </w:p>
    <w:p>
      <w:pPr>
        <w:pStyle w:val="Caption"/>
      </w:pPr>
      <w:bookmarkStart w:id="19829" w:name="_Fig2"/>
      <w:r>
        <w:rPr>
          <w:rFonts w:ascii="Times New Roman" w:hAnsi="Times New Roman" w:eastAsia="Times New Roman" w:cs="Times New Roman"/>
          <w:b/>
          <w:bCs/>
          <w:sz w:val="24"/>
        </w:rPr>
        <w:t xml:space="preserve">Figure 2: Architecture of the Nemotron-3 Ultra 550B Agentic Orchestrator.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Hybrid Mamba-Transformer block interleaving linear-complexity SSM layers [60] for long-context genomic history with quadratic-attention layers [61] for precise tool-schema retrieval.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Latent Mixture-of-Experts routing [62], utilizing compressed latent representations for sparse expert activation, enabling domain-specific bioinformatics reasoning without dense-model compute penalties.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Multi-Token Prediction head [63] enabling parallel draft token generation for accelerated JSON tool-call synthesis.</w:t>
      </w:r>
      <w:bookmarkEnd w:id="19829"/>
    </w:p>
    <w:p>
      <w:pPr>
        <w:pStyle w:val="FirstParagraph"/>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backend/paper/figure_agentic_loop.png</w:t>
      </w:r>
    </w:p>
    <w:p>
      <w:pPr>
        <w:pStyle w:val="Caption"/>
      </w:pPr>
      <w:bookmarkStart w:id="32407" w:name="_Fig3"/>
      <w:r>
        <w:rPr>
          <w:rFonts w:ascii="Times New Roman" w:hAnsi="Times New Roman" w:eastAsia="Times New Roman" w:cs="Times New Roman"/>
          <w:b/>
          <w:bCs/>
          <w:sz w:val="24"/>
        </w:rPr>
        <w:t xml:space="preserve">Figure 3: Autonomous Tool-Calling Execution Loop with Emergent Self-Healing.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agent processes queries within a 128K-token context window utilizing strategic schema positioning to mitigate attention degradation [14]. Failed API calls are reflected upon by the LLM, autonomously generating parameter adjustments or tool substitutions to ensure pipeline completion.</w:t>
      </w:r>
      <w:bookmarkEnd w:id="32407"/>
    </w:p>
    <w:p>
      <w:r>
        <w:rPr>
          <w:rFonts w:ascii="Times New Roman" w:hAnsi="Times New Roman" w:eastAsia="Times New Roman" w:cs="Times New Roman"/>
          <w:sz w:val="24"/>
        </w:rPr>
        <w:pict>
          <v:rect style="width:0;height:1.5pt" o:hralign="center" o:hrstd="t" o:hr="t"/>
        </w:pict>
      </w:r>
    </w:p>
    <w:bookmarkEnd w:id="110"/>
    <w:bookmarkEnd w:id="111"/>
    <w:bookmarkStart w:id="116" w:name="crispr-off-target-prediction-1"/>
    <w:p>
      <w:pPr>
        <w:pStyle w:val="Heading2"/>
      </w:pPr>
      <w:r>
        <w:rPr>
          <w:rFonts w:ascii="Times New Roman" w:hAnsi="Times New Roman" w:eastAsia="Times New Roman" w:cs="Times New Roman"/>
          <w:sz w:val="24"/>
        </w:rPr>
        <w:t xml:space="preserve">16. CRISPR Off-Target Prediction</w:t>
      </w:r>
    </w:p>
    <w:bookmarkStart w:id="112" w:name="method"/>
    <w:p>
      <w:pPr>
        <w:pStyle w:val="Heading3"/>
      </w:pPr>
      <w:r>
        <w:rPr>
          <w:rFonts w:ascii="Times New Roman" w:hAnsi="Times New Roman" w:eastAsia="Times New Roman" w:cs="Times New Roman"/>
          <w:sz w:val="24"/>
        </w:rPr>
        <w:t xml:space="preserve">16.1 Method</w:t>
      </w:r>
    </w:p>
    <w:p>
      <w:pPr>
        <w:pStyle w:val="FirstParagraph"/>
      </w:pPr>
      <w:r>
        <w:rPr>
          <w:rFonts w:ascii="Times New Roman" w:hAnsi="Times New Roman" w:eastAsia="Times New Roman" w:cs="Times New Roman"/>
          <w:sz w:val="24"/>
        </w:rPr>
        <w:t xml:space="preserve">As an extended application, Evo2’s likelihood scoring is applied to CRISPR off-target prediction. For a guide RNA (gRNA) of length 20 nt, the system enumerates all genomic sites with</w:t>
      </w:r>
      <w:r>
        <w:rPr>
          <w:rFonts w:ascii="Times New Roman" w:hAnsi="Times New Roman" w:eastAsia="Times New Roman" w:cs="Times New Roman"/>
          <w:sz w:val="24"/>
        </w:rPr>
        <w:t xml:space="preserve"> </w:t>
      </w:r>
      <m:oMath>
        <m:r>
          <m:rPr>
            <m:sty m:val="p"/>
          </m:rPr>
          <m:t>≤</m:t>
        </m:r>
        <m:r>
          <m:t>4</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mismatches to the gRNA. Each site is scored:</w:t>
      </w:r>
    </w:p>
    <w:p>
      <w:pPr>
        <w:pStyle w:val="BodyText"/>
      </w:pPr>
      <m:oMathPara>
        <m:oMathParaPr>
          <m:jc m:val="center"/>
        </m:oMathParaPr>
        <m:oMath>
          <m:sSub>
            <m:e>
              <m:r>
                <m:t>Δ</m:t>
              </m:r>
            </m:e>
            <m:sub>
              <m:r>
                <m:rPr>
                  <m:nor/>
                  <m:sty m:val="p"/>
                </m:rPr>
                <m:t>off</m:t>
              </m:r>
            </m:sub>
          </m:sSub>
          <m:r>
            <m:rPr>
              <m:sty m:val="p"/>
            </m:rPr>
            <m:t>=</m:t>
          </m:r>
          <m:r>
            <m:rPr>
              <m:sty m:val="p"/>
            </m:rPr>
            <m:t>log</m:t>
          </m:r>
          <m:r>
            <m:t>P</m:t>
          </m:r>
          <m:d>
            <m:dPr>
              <m:begChr m:val="("/>
              <m:endChr m:val=")"/>
              <m:sepChr m:val=""/>
              <m:grow/>
            </m:dPr>
            <m:e>
              <m:sSub>
                <m:e>
                  <m:r>
                    <m:t>S</m:t>
                  </m:r>
                </m:e>
                <m:sub>
                  <m:r>
                    <m:rPr>
                      <m:nor/>
                      <m:sty m:val="p"/>
                    </m:rPr>
                    <m:t>off-target</m:t>
                  </m:r>
                </m:sub>
              </m:sSub>
              <m:r>
                <m:rPr>
                  <m:sty m:val="p"/>
                </m:rPr>
                <m:t>∣</m:t>
              </m:r>
              <m:r>
                <m:t>θ</m:t>
              </m:r>
            </m:e>
          </m:d>
          <m:r>
            <m:rPr>
              <m:sty m:val="p"/>
            </m:rPr>
            <m:t>−</m:t>
          </m:r>
          <m:r>
            <m:rPr>
              <m:sty m:val="p"/>
            </m:rPr>
            <m:t>log</m:t>
          </m:r>
          <m:r>
            <m:t>P</m:t>
          </m:r>
          <m:d>
            <m:dPr>
              <m:begChr m:val="("/>
              <m:endChr m:val=")"/>
              <m:sepChr m:val=""/>
              <m:grow/>
            </m:dPr>
            <m:e>
              <m:sSub>
                <m:e>
                  <m:r>
                    <m:t>S</m:t>
                  </m:r>
                </m:e>
                <m:sub>
                  <m:r>
                    <m:rPr>
                      <m:nor/>
                      <m:sty m:val="p"/>
                    </m:rPr>
                    <m:t>gRNA</m:t>
                  </m:r>
                </m:sub>
              </m:sSub>
              <m:r>
                <m:rPr>
                  <m:sty m:val="p"/>
                </m:rPr>
                <m:t>∣</m:t>
              </m:r>
              <m:r>
                <m:t>θ</m:t>
              </m:r>
            </m:e>
          </m:d>
        </m:oMath>
      </m:oMathPara>
    </w:p>
    <w:bookmarkEnd w:id="112"/>
    <w:bookmarkStart w:id="113" w:name="biological-basis"/>
    <w:p>
      <w:pPr>
        <w:pStyle w:val="Heading3"/>
      </w:pPr>
      <w:r>
        <w:rPr>
          <w:rFonts w:ascii="Times New Roman" w:hAnsi="Times New Roman" w:eastAsia="Times New Roman" w:cs="Times New Roman"/>
          <w:sz w:val="24"/>
        </w:rPr>
        <w:t xml:space="preserve">16.2 Biological Basis</w:t>
      </w:r>
    </w:p>
    <w:p>
      <w:pPr>
        <w:pStyle w:val="FirstParagraph"/>
      </w:pPr>
      <w:r>
        <w:rPr>
          <w:rFonts w:ascii="Times New Roman" w:hAnsi="Times New Roman" w:eastAsia="Times New Roman" w:cs="Times New Roman"/>
          <w:sz w:val="24"/>
        </w:rPr>
        <w:t xml:space="preserve">CRISPR-Cas9 cleavage specificity is determined by the seed region (PAM-proximal 8–12 nt) [37]. Mismatches in the seed region strongly reduce cleavage, while distal mismatches are tolerated. If Evo2 has learned evolutionary conservation patterns, positions under stronger constraint (seed region) should produce larger</w:t>
      </w:r>
      <w:r>
        <w:rPr>
          <w:rFonts w:ascii="Times New Roman" w:hAnsi="Times New Roman" w:eastAsia="Times New Roman" w:cs="Times New Roman"/>
          <w:sz w:val="24"/>
        </w:rPr>
        <w:t xml:space="preserve"> </w:t>
      </w:r>
      <m:oMath>
        <m:d>
          <m:dPr>
            <m:begChr m:val="|"/>
            <m:endChr m:val="|"/>
            <m:sepChr m:val=""/>
            <m:grow/>
          </m:dPr>
          <m:e>
            <m:r>
              <m:t>Δ</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w:t>
      </w:r>
    </w:p>
    <w:bookmarkEnd w:id="113"/>
    <w:bookmarkStart w:id="114" w:name="results-2"/>
    <w:p>
      <w:pPr>
        <w:pStyle w:val="Heading3"/>
      </w:pPr>
      <w:r>
        <w:rPr>
          <w:rFonts w:ascii="Times New Roman" w:hAnsi="Times New Roman" w:eastAsia="Times New Roman" w:cs="Times New Roman"/>
          <w:sz w:val="24"/>
        </w:rPr>
        <w:t xml:space="preserve">16.3 Results</w:t>
      </w:r>
    </w:p>
    <w:p>
      <w:pPr>
        <w:pStyle w:val="Caption"/>
      </w:pPr>
      <w:bookmarkStart w:id="55574" w:name="_Tbl19"/>
      <w:r>
        <w:rPr>
          <w:rFonts w:ascii="Times New Roman" w:hAnsi="Times New Roman" w:eastAsia="Times New Roman" w:cs="Times New Roman"/>
          <w:b/>
          <w:bCs/>
          <w:sz w:val="24"/>
        </w:rPr>
        <w:t xml:space="preserve">Table 19: CRISPR Off-Target Prediction Metrics.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Zero-shot CRISPR off-target prediction results using Evo2 delta scores on 428 validated cleavage sites. The seed region produces significantly more negative delta scores than the non-seed region, confirming that Evo2 captures the biological asymmetry of CRISPR specificity.</w:t>
      </w:r>
      <w:bookmarkEnd w:id="5557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0"/>
              </w:rPr>
              <w:t xml:space="preserve">Metric</w:t>
            </w:r>
          </w:p>
        </w:tc>
        <w:tc>
          <w:tcPr/>
          <w:p>
            <w:pPr>
              <w:pStyle w:val="Compact"/>
            </w:pPr>
            <w:r>
              <w:rPr>
                <w:rFonts w:ascii="Times New Roman" w:hAnsi="Times New Roman" w:eastAsia="Times New Roman" w:cs="Times New Roman"/>
                <w:sz w:val="20"/>
              </w:rPr>
              <w:t xml:space="preserve">Value</w:t>
            </w:r>
          </w:p>
        </w:tc>
      </w:tr>
      <w:tr>
        <w:tc>
          <w:tcPr/>
          <w:p>
            <w:pPr>
              <w:pStyle w:val="Compact"/>
            </w:pPr>
            <m:oMath>
              <m:r>
                <m:t>n</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(validated)</w:t>
            </w:r>
          </w:p>
        </w:tc>
        <w:tc>
          <w:tcPr/>
          <w:p>
            <w:pPr>
              <w:pStyle w:val="Compact"/>
            </w:pPr>
            <w:r>
              <w:rPr>
                <w:rFonts w:ascii="Times New Roman" w:hAnsi="Times New Roman" w:eastAsia="Times New Roman" w:cs="Times New Roman"/>
                <w:sz w:val="20"/>
              </w:rPr>
              <w:t xml:space="preserve">428</w:t>
            </w:r>
          </w:p>
        </w:tc>
      </w:tr>
      <w:tr>
        <w:tc>
          <w:tcPr/>
          <w:p>
            <w:pPr>
              <w:pStyle w:val="Compact"/>
            </w:pPr>
            <w:r>
              <w:rPr>
                <w:rFonts w:ascii="Times New Roman" w:hAnsi="Times New Roman" w:eastAsia="Times New Roman" w:cs="Times New Roman"/>
                <w:sz w:val="20"/>
              </w:rPr>
              <w:t xml:space="preserve">Seed</w:t>
            </w:r>
            <w:r>
              <w:rPr>
                <w:rFonts w:ascii="Times New Roman" w:hAnsi="Times New Roman" w:eastAsia="Times New Roman" w:cs="Times New Roman"/>
                <w:sz w:val="20"/>
              </w:rPr>
              <w:t xml:space="preserve"> </w:t>
            </w:r>
            <m:oMath>
              <m:acc>
                <m:accPr>
                  <m:chr m:val="‾"/>
                </m:accPr>
                <m:e>
                  <m:r>
                    <m:t>Δ</m:t>
                  </m:r>
                </m:e>
              </m:acc>
            </m:oMath>
          </w:p>
        </w:tc>
        <w:tc>
          <w:tcPr/>
          <w:p>
            <w:pPr>
              <w:pStyle w:val="Compact"/>
            </w:pPr>
            <m:oMath>
              <m:r>
                <m:rPr>
                  <m:sty m:val="p"/>
                </m:rPr>
                <m:t>−</m:t>
              </m:r>
              <m:r>
                <m:t>0.040</m:t>
              </m:r>
            </m:oMath>
          </w:p>
        </w:tc>
      </w:tr>
      <w:tr>
        <w:tc>
          <w:tcPr/>
          <w:p>
            <w:pPr>
              <w:pStyle w:val="Compact"/>
            </w:pPr>
            <w:r>
              <w:rPr>
                <w:rFonts w:ascii="Times New Roman" w:hAnsi="Times New Roman" w:eastAsia="Times New Roman" w:cs="Times New Roman"/>
                <w:sz w:val="20"/>
              </w:rPr>
              <w:t xml:space="preserve">Non-seed</w:t>
            </w:r>
            <w:r>
              <w:rPr>
                <w:rFonts w:ascii="Times New Roman" w:hAnsi="Times New Roman" w:eastAsia="Times New Roman" w:cs="Times New Roman"/>
                <w:sz w:val="20"/>
              </w:rPr>
              <w:t xml:space="preserve"> </w:t>
            </w:r>
            <m:oMath>
              <m:acc>
                <m:accPr>
                  <m:chr m:val="‾"/>
                </m:accPr>
                <m:e>
                  <m:r>
                    <m:t>Δ</m:t>
                  </m:r>
                </m:e>
              </m:acc>
            </m:oMath>
          </w:p>
        </w:tc>
        <w:tc>
          <w:tcPr/>
          <w:p>
            <w:pPr>
              <w:pStyle w:val="Compact"/>
            </w:pPr>
            <m:oMath>
              <m:r>
                <m:rPr>
                  <m:sty m:val="p"/>
                </m:rPr>
                <m:t>−</m:t>
              </m:r>
              <m:r>
                <m:t>0.018</m:t>
              </m:r>
            </m:oMath>
          </w:p>
        </w:tc>
      </w:tr>
      <w:tr>
        <w:tc>
          <w:tcPr/>
          <w:p>
            <w:pPr>
              <w:pStyle w:val="Compact"/>
            </w:pPr>
            <m:oMath>
              <m:r>
                <m:t>t</m:t>
              </m:r>
            </m:oMath>
            <w:r>
              <w:rPr>
                <w:rFonts w:ascii="Times New Roman" w:hAnsi="Times New Roman" w:eastAsia="Times New Roman" w:cs="Times New Roman"/>
                <w:sz w:val="20"/>
              </w:rPr>
              <w:t xml:space="preserve">-test</w:t>
            </w:r>
            <w:r>
              <w:rPr>
                <w:rFonts w:ascii="Times New Roman" w:hAnsi="Times New Roman" w:eastAsia="Times New Roman" w:cs="Times New Roman"/>
                <w:sz w:val="20"/>
              </w:rPr>
              <w:t xml:space="preserve"> </w:t>
            </w:r>
            <m:oMath>
              <m:r>
                <m:t>p</m:t>
              </m:r>
            </m:oMath>
          </w:p>
        </w:tc>
        <w:tc>
          <w:tcPr/>
          <w:p>
            <w:pPr>
              <w:pStyle w:val="Compact"/>
            </w:pPr>
            <m:oMath>
              <m:r>
                <m:t>3.6</m:t>
              </m:r>
              <m:r>
                <m:rPr>
                  <m:sty m:val="p"/>
                </m:rPr>
                <m:t>×</m:t>
              </m:r>
              <m:sSup>
                <m:e>
                  <m:r>
                    <m:t>10</m:t>
                  </m:r>
                </m:e>
                <m:sup>
                  <m:r>
                    <m:rPr>
                      <m:sty m:val="p"/>
                    </m:rPr>
                    <m:t>−</m:t>
                  </m:r>
                  <m:r>
                    <m:t>58</m:t>
                  </m:r>
                </m:sup>
              </m:sSup>
            </m:oMath>
          </w:p>
        </w:tc>
      </w:tr>
      <w:tr>
        <w:tc>
          <w:tcPr/>
          <w:p>
            <w:pPr>
              <w:pStyle w:val="Compact"/>
            </w:pPr>
            <w:r>
              <w:rPr>
                <w:rFonts w:ascii="Times New Roman" w:hAnsi="Times New Roman" w:eastAsia="Times New Roman" w:cs="Times New Roman"/>
                <w:sz w:val="20"/>
              </w:rPr>
              <w:t xml:space="preserve">AUPRC</w:t>
            </w:r>
          </w:p>
        </w:tc>
        <w:tc>
          <w:tcPr/>
          <w:p>
            <w:pPr>
              <w:pStyle w:val="Compact"/>
            </w:pPr>
            <w:r>
              <w:rPr>
                <w:rFonts w:ascii="Times New Roman" w:hAnsi="Times New Roman" w:eastAsia="Times New Roman" w:cs="Times New Roman"/>
                <w:sz w:val="20"/>
              </w:rPr>
              <w:t xml:space="preserve">0.818</w:t>
            </w:r>
          </w:p>
        </w:tc>
      </w:tr>
    </w:tbl>
    <w:p>
      <w:pPr>
        <w:pStyle w:val="BodyText"/>
      </w:pPr>
      <w:r>
        <w:rPr>
          <w:rFonts w:ascii="Times New Roman" w:hAnsi="Times New Roman" w:eastAsia="Times New Roman" w:cs="Times New Roman"/>
          <w:sz w:val="24"/>
        </w:rPr>
        <w:t xml:space="preserve">The seed region produces significantly more negative delta scores (</w:t>
      </w:r>
      <m:oMath>
        <m:r>
          <m:t>p</m:t>
        </m:r>
        <m:r>
          <m:rPr>
            <m:sty m:val="p"/>
          </m:rPr>
          <m:t>&lt;</m:t>
        </m:r>
        <m:sSup>
          <m:e>
            <m:r>
              <m:t>10</m:t>
            </m:r>
          </m:e>
          <m:sup>
            <m:r>
              <m:rPr>
                <m:sty m:val="p"/>
              </m:rPr>
              <m:t>−</m:t>
            </m:r>
            <m:r>
              <m:t>57</m:t>
            </m:r>
          </m:sup>
        </m:sSup>
      </m:oMath>
      <w:r>
        <w:rPr>
          <w:rFonts w:ascii="Times New Roman" w:hAnsi="Times New Roman" w:eastAsia="Times New Roman" w:cs="Times New Roman"/>
          <w:sz w:val="24"/>
        </w:rPr>
        <w:t xml:space="preserve">), confirming that Evo2 captures the biological asymmetry of CRISPR specificity. Confidence stratification (high/moderate/low based on</w:t>
      </w:r>
      <w:r>
        <w:rPr>
          <w:rFonts w:ascii="Times New Roman" w:hAnsi="Times New Roman" w:eastAsia="Times New Roman" w:cs="Times New Roman"/>
          <w:sz w:val="24"/>
        </w:rPr>
        <w:t xml:space="preserve"> </w:t>
      </w:r>
      <m:oMath>
        <m:d>
          <m:dPr>
            <m:begChr m:val="|"/>
            <m:endChr m:val="|"/>
            <m:sepChr m:val=""/>
            <m:grow/>
          </m:dPr>
          <m:e>
            <m:r>
              <m:t>Δ</m:t>
            </m:r>
          </m:e>
        </m:d>
      </m:oMath>
      <w:r>
        <w:rPr>
          <w:rFonts w:ascii="Times New Roman" w:hAnsi="Times New Roman" w:eastAsia="Times New Roman" w:cs="Times New Roman"/>
          <w:sz w:val="24"/>
        </w:rPr>
        <w:t xml:space="preserve">) achieves 100% precision on the high-confidence tier, enabling 66.2% reduction in experimental validation costs.</w:t>
      </w:r>
    </w:p>
    <w:bookmarkEnd w:id="114"/>
    <w:bookmarkStart w:id="115" w:name="population-aware-analysis"/>
    <w:p>
      <w:pPr>
        <w:pStyle w:val="Heading3"/>
      </w:pPr>
      <w:r>
        <w:rPr>
          <w:rFonts w:ascii="Times New Roman" w:hAnsi="Times New Roman" w:eastAsia="Times New Roman" w:cs="Times New Roman"/>
          <w:sz w:val="24"/>
        </w:rPr>
        <w:t xml:space="preserve">16.4 Population-Aware Analysis</w:t>
      </w:r>
    </w:p>
    <w:p>
      <w:pPr>
        <w:pStyle w:val="FirstParagraph"/>
      </w:pPr>
      <w:r>
        <w:rPr>
          <w:rFonts w:ascii="Times New Roman" w:hAnsi="Times New Roman" w:eastAsia="Times New Roman" w:cs="Times New Roman"/>
          <w:sz w:val="24"/>
        </w:rPr>
        <w:t xml:space="preserve">Off-target risk was assessed across six continental populations:</w:t>
      </w:r>
    </w:p>
    <w:p>
      <w:pPr>
        <w:pStyle w:val="Caption"/>
      </w:pPr>
      <w:bookmarkStart w:id="3635" w:name="_Tbl20"/>
      <w:r>
        <w:rPr>
          <w:rFonts w:ascii="Times New Roman" w:hAnsi="Times New Roman" w:eastAsia="Times New Roman" w:cs="Times New Roman"/>
          <w:b/>
          <w:bCs/>
          <w:sz w:val="24"/>
        </w:rPr>
        <w:t xml:space="preserve">Table 20: Population-Aware CRISPR Off-Target AUROC.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Per-population AUROC for CRISPR off-target prediction across six continental groups. The low variance (</w:t>
      </w:r>
      <m:oMath>
        <m:r>
          <m:t>1.006</m:t>
        </m:r>
        <m:r>
          <m:rPr>
            <m:sty m:val="p"/>
          </m:rPr>
          <m:t>×</m:t>
        </m:r>
        <m:sSup>
          <m:e>
            <m:r>
              <m:t>10</m:t>
            </m:r>
          </m:e>
          <m:sup>
            <m:r>
              <m:rPr>
                <m:sty m:val="p"/>
              </m:rPr>
              <m:t>−</m:t>
            </m:r>
            <m:r>
              <m:t>3</m:t>
            </m:r>
          </m:sup>
        </m:sSup>
      </m:oMath>
      <w:r>
        <w:rPr>
          <w:rFonts w:ascii="Times New Roman" w:hAnsi="Times New Roman" w:eastAsia="Times New Roman" w:cs="Times New Roman"/>
          <w:sz w:val="24"/>
        </w:rPr>
        <w:t xml:space="preserve">) demonstrates stable performance across ancestries, though ancestry-conditional off-target risks exist for 75 gRNAs.</w:t>
      </w:r>
      <w:bookmarkEnd w:id="363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0"/>
              </w:rPr>
              <w:t xml:space="preserve">Population</w:t>
            </w:r>
          </w:p>
        </w:tc>
        <w:tc>
          <w:tcPr/>
          <w:p>
            <w:pPr>
              <w:pStyle w:val="Compact"/>
            </w:pPr>
            <w:r>
              <w:rPr>
                <w:rFonts w:ascii="Times New Roman" w:hAnsi="Times New Roman" w:eastAsia="Times New Roman" w:cs="Times New Roman"/>
                <w:sz w:val="20"/>
              </w:rPr>
              <w:t xml:space="preserve">AUROC</w:t>
            </w:r>
          </w:p>
        </w:tc>
      </w:tr>
      <w:tr>
        <w:tc>
          <w:tcPr/>
          <w:p>
            <w:pPr>
              <w:pStyle w:val="Compact"/>
            </w:pPr>
            <w:r>
              <w:rPr>
                <w:rFonts w:ascii="Times New Roman" w:hAnsi="Times New Roman" w:eastAsia="Times New Roman" w:cs="Times New Roman"/>
                <w:sz w:val="20"/>
              </w:rPr>
              <w:t xml:space="preserve">AFR</w:t>
            </w:r>
          </w:p>
        </w:tc>
        <w:tc>
          <w:tcPr/>
          <w:p>
            <w:pPr>
              <w:pStyle w:val="Compact"/>
            </w:pPr>
            <w:r>
              <w:rPr>
                <w:rFonts w:ascii="Times New Roman" w:hAnsi="Times New Roman" w:eastAsia="Times New Roman" w:cs="Times New Roman"/>
                <w:sz w:val="20"/>
              </w:rPr>
              <w:t xml:space="preserve">0.752</w:t>
            </w:r>
          </w:p>
        </w:tc>
      </w:tr>
      <w:tr>
        <w:tc>
          <w:tcPr/>
          <w:p>
            <w:pPr>
              <w:pStyle w:val="Compact"/>
            </w:pPr>
            <w:r>
              <w:rPr>
                <w:rFonts w:ascii="Times New Roman" w:hAnsi="Times New Roman" w:eastAsia="Times New Roman" w:cs="Times New Roman"/>
                <w:sz w:val="20"/>
              </w:rPr>
              <w:t xml:space="preserve">AMR</w:t>
            </w:r>
          </w:p>
        </w:tc>
        <w:tc>
          <w:tcPr/>
          <w:p>
            <w:pPr>
              <w:pStyle w:val="Compact"/>
            </w:pPr>
            <w:r>
              <w:rPr>
                <w:rFonts w:ascii="Times New Roman" w:hAnsi="Times New Roman" w:eastAsia="Times New Roman" w:cs="Times New Roman"/>
                <w:sz w:val="20"/>
              </w:rPr>
              <w:t xml:space="preserve">0.748</w:t>
            </w:r>
          </w:p>
        </w:tc>
      </w:tr>
      <w:tr>
        <w:tc>
          <w:tcPr/>
          <w:p>
            <w:pPr>
              <w:pStyle w:val="Compact"/>
            </w:pPr>
            <w:r>
              <w:rPr>
                <w:rFonts w:ascii="Times New Roman" w:hAnsi="Times New Roman" w:eastAsia="Times New Roman" w:cs="Times New Roman"/>
                <w:sz w:val="20"/>
              </w:rPr>
              <w:t xml:space="preserve">SAS</w:t>
            </w:r>
          </w:p>
        </w:tc>
        <w:tc>
          <w:tcPr/>
          <w:p>
            <w:pPr>
              <w:pStyle w:val="Compact"/>
            </w:pPr>
            <w:r>
              <w:rPr>
                <w:rFonts w:ascii="Times New Roman" w:hAnsi="Times New Roman" w:eastAsia="Times New Roman" w:cs="Times New Roman"/>
                <w:sz w:val="20"/>
              </w:rPr>
              <w:t xml:space="preserve">0.749</w:t>
            </w:r>
          </w:p>
        </w:tc>
      </w:tr>
      <w:tr>
        <w:tc>
          <w:tcPr/>
          <w:p>
            <w:pPr>
              <w:pStyle w:val="Compact"/>
            </w:pPr>
            <w:r>
              <w:rPr>
                <w:rFonts w:ascii="Times New Roman" w:hAnsi="Times New Roman" w:eastAsia="Times New Roman" w:cs="Times New Roman"/>
                <w:sz w:val="20"/>
              </w:rPr>
              <w:t xml:space="preserve">EAS</w:t>
            </w:r>
          </w:p>
        </w:tc>
        <w:tc>
          <w:tcPr/>
          <w:p>
            <w:pPr>
              <w:pStyle w:val="Compact"/>
            </w:pPr>
            <w:r>
              <w:rPr>
                <w:rFonts w:ascii="Times New Roman" w:hAnsi="Times New Roman" w:eastAsia="Times New Roman" w:cs="Times New Roman"/>
                <w:sz w:val="20"/>
              </w:rPr>
              <w:t xml:space="preserve">0.748</w:t>
            </w:r>
          </w:p>
        </w:tc>
      </w:tr>
      <w:tr>
        <w:tc>
          <w:tcPr/>
          <w:p>
            <w:pPr>
              <w:pStyle w:val="Compact"/>
            </w:pPr>
            <w:r>
              <w:rPr>
                <w:rFonts w:ascii="Times New Roman" w:hAnsi="Times New Roman" w:eastAsia="Times New Roman" w:cs="Times New Roman"/>
                <w:sz w:val="20"/>
              </w:rPr>
              <w:t xml:space="preserve">FIN</w:t>
            </w:r>
          </w:p>
        </w:tc>
        <w:tc>
          <w:tcPr/>
          <w:p>
            <w:pPr>
              <w:pStyle w:val="Compact"/>
            </w:pPr>
            <w:r>
              <w:rPr>
                <w:rFonts w:ascii="Times New Roman" w:hAnsi="Times New Roman" w:eastAsia="Times New Roman" w:cs="Times New Roman"/>
                <w:sz w:val="20"/>
              </w:rPr>
              <w:t xml:space="preserve">0.749</w:t>
            </w:r>
          </w:p>
        </w:tc>
      </w:tr>
      <w:tr>
        <w:tc>
          <w:tcPr/>
          <w:p>
            <w:pPr>
              <w:pStyle w:val="Compact"/>
            </w:pPr>
            <w:r>
              <w:rPr>
                <w:rFonts w:ascii="Times New Roman" w:hAnsi="Times New Roman" w:eastAsia="Times New Roman" w:cs="Times New Roman"/>
                <w:sz w:val="20"/>
              </w:rPr>
              <w:t xml:space="preserve">EUR</w:t>
            </w:r>
          </w:p>
        </w:tc>
        <w:tc>
          <w:tcPr/>
          <w:p>
            <w:pPr>
              <w:pStyle w:val="Compact"/>
            </w:pPr>
            <w:r>
              <w:rPr>
                <w:rFonts w:ascii="Times New Roman" w:hAnsi="Times New Roman" w:eastAsia="Times New Roman" w:cs="Times New Roman"/>
                <w:sz w:val="20"/>
              </w:rPr>
              <w:t xml:space="preserve">0.749</w:t>
            </w:r>
          </w:p>
        </w:tc>
      </w:tr>
    </w:tbl>
    <w:p>
      <w:pPr>
        <w:pStyle w:val="BodyText"/>
      </w:pPr>
      <w:r>
        <w:rPr>
          <w:rFonts w:ascii="Times New Roman" w:hAnsi="Times New Roman" w:eastAsia="Times New Roman" w:cs="Times New Roman"/>
          <w:sz w:val="24"/>
        </w:rPr>
        <w:t xml:space="preserve">AUROC variance across populations: 1.006 (</w:t>
      </w:r>
      <m:oMath>
        <m:r>
          <m:rPr>
            <m:sty m:val="p"/>
          </m:rPr>
          <m:t>×</m:t>
        </m:r>
        <m:sSup>
          <m:e>
            <m:r>
              <m:t>10</m:t>
            </m:r>
          </m:e>
          <m:sup>
            <m:r>
              <m:rPr>
                <m:sty m:val="p"/>
              </m:rPr>
              <m:t>−</m:t>
            </m:r>
            <m:r>
              <m:t>3</m:t>
            </m:r>
          </m:sup>
        </m:sSup>
      </m:oMath>
      <w:r>
        <w:rPr>
          <w:rFonts w:ascii="Times New Roman" w:hAnsi="Times New Roman" w:eastAsia="Times New Roman" w:cs="Times New Roman"/>
          <w:sz w:val="24"/>
        </w:rPr>
        <w:t xml:space="preserve">), indicating stable performance. 75 gRNAs with population-specific off-target sites were identified.</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backend/crispr_offtarget/results/figures/publication/figure1_roc.png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ROC curve for seed vs. non-seed discrimination.</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backend/crispr_offtarget/results/figures/publication/figure2_population_heatmap.png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Off-target risk heatmap across six populations.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backend/crispr_offtarget/results/figures/publication/figure3_uncertainty.png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Confidence stratification and cost savings.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backend/crispr_offtarget/results/figures/publication/figure4_clinical.png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Clinical utility: confidence vs. validation cost.</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backend/population_aware/production/results/publication_figures/figure1a_multigene_threshold_variation.png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Threshold variation across genes and populations.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backend/population_aware/production/results/publication_figures/figure1b_honest_confidence.png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Predicted vs. observed off-target rate calibration.</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backend/population_aware/production/results/publication_figures/figure3_bayes_factor_analysis.png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Bayes factor analysis for population-specific risk.</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backend/population_aware/production/results/publication_figures/FINAL_global_hero_variants.png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Population-specific variant risk across genes.</w:t>
      </w:r>
    </w:p>
    <w:p>
      <w:r>
        <w:rPr>
          <w:rFonts w:ascii="Times New Roman" w:hAnsi="Times New Roman" w:eastAsia="Times New Roman" w:cs="Times New Roman"/>
          <w:sz w:val="24"/>
        </w:rPr>
        <w:pict>
          <v:rect style="width:0;height:1.5pt" o:hralign="center" o:hrstd="t" o:hr="t"/>
        </w:pict>
      </w:r>
    </w:p>
    <w:bookmarkEnd w:id="115"/>
    <w:bookmarkEnd w:id="116"/>
    <w:bookmarkStart w:id="119" w:name="supplementary-methods"/>
    <w:p>
      <w:pPr>
        <w:pStyle w:val="Heading2"/>
      </w:pPr>
      <w:r>
        <w:rPr>
          <w:rFonts w:ascii="Times New Roman" w:hAnsi="Times New Roman" w:eastAsia="Times New Roman" w:cs="Times New Roman"/>
          <w:sz w:val="24"/>
        </w:rPr>
        <w:t xml:space="preserve">17. Supplementary Methods</w:t>
      </w:r>
    </w:p>
    <w:bookmarkStart w:id="117" w:name="s1.-infrastructure-and-deployment"/>
    <w:p>
      <w:pPr>
        <w:pStyle w:val="Heading3"/>
      </w:pPr>
      <w:r>
        <w:rPr>
          <w:rFonts w:ascii="Times New Roman" w:hAnsi="Times New Roman" w:eastAsia="Times New Roman" w:cs="Times New Roman"/>
          <w:sz w:val="24"/>
        </w:rPr>
        <w:t xml:space="preserve">S1. Infrastructure and Deployment</w:t>
      </w:r>
    </w:p>
    <w:p>
      <w:pPr>
        <w:pStyle w:val="FirstParagraph"/>
      </w:pPr>
      <w:r>
        <w:rPr>
          <w:rFonts w:ascii="Times New Roman" w:hAnsi="Times New Roman" w:eastAsia="Times New Roman" w:cs="Times New Roman"/>
          <w:sz w:val="24"/>
        </w:rPr>
        <w:t xml:space="preserve">All compute is deployed on Modal.com serverless infrastructure. Containers scale to zero when idle, minimizing cost for intermittent clinical workloads.</w:t>
      </w:r>
    </w:p>
    <w:p>
      <w:pPr>
        <w:pStyle w:val="Caption"/>
      </w:pPr>
      <w:bookmarkStart w:id="83492" w:name="_Tbl21"/>
      <w:r>
        <w:rPr>
          <w:rFonts w:ascii="Times New Roman" w:hAnsi="Times New Roman" w:eastAsia="Times New Roman" w:cs="Times New Roman"/>
          <w:b/>
          <w:bCs/>
          <w:sz w:val="24"/>
        </w:rPr>
        <w:t xml:space="preserve">Table 21: Infrastructure and Hardware Configuration.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Hardware allocation for each system component deployed on Modal.com serverless infrastructure. GPU tools use NVIDIA A10g (24 GB) for structure prediction, while Evo2 inference runs on NVIDIA H100 (80 GB).</w:t>
      </w:r>
      <w:bookmarkEnd w:id="83492"/>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0"/>
              </w:rPr>
              <w:t xml:space="preserve">Component</w:t>
            </w:r>
          </w:p>
        </w:tc>
        <w:tc>
          <w:tcPr/>
          <w:p>
            <w:pPr>
              <w:pStyle w:val="Compact"/>
            </w:pPr>
            <w:r>
              <w:rPr>
                <w:rFonts w:ascii="Times New Roman" w:hAnsi="Times New Roman" w:eastAsia="Times New Roman" w:cs="Times New Roman"/>
                <w:sz w:val="20"/>
              </w:rPr>
              <w:t xml:space="preserve">Hardware</w:t>
            </w:r>
          </w:p>
        </w:tc>
        <w:tc>
          <w:tcPr/>
          <w:p>
            <w:pPr>
              <w:pStyle w:val="Compact"/>
            </w:pPr>
            <w:r>
              <w:rPr>
                <w:rFonts w:ascii="Times New Roman" w:hAnsi="Times New Roman" w:eastAsia="Times New Roman" w:cs="Times New Roman"/>
                <w:sz w:val="20"/>
              </w:rPr>
              <w:t xml:space="preserve">Function</w:t>
            </w:r>
          </w:p>
        </w:tc>
      </w:tr>
      <w:tr>
        <w:tc>
          <w:tcPr/>
          <w:p>
            <w:pPr>
              <w:pStyle w:val="Compact"/>
            </w:pPr>
            <w:r>
              <w:rPr>
                <w:rFonts w:ascii="Times New Roman" w:hAnsi="Times New Roman" w:eastAsia="Times New Roman" w:cs="Times New Roman"/>
                <w:sz w:val="20"/>
              </w:rPr>
              <w:t xml:space="preserve">Evo2 7B</w:t>
            </w:r>
          </w:p>
        </w:tc>
        <w:tc>
          <w:tcPr/>
          <w:p>
            <w:pPr>
              <w:pStyle w:val="Compact"/>
            </w:pPr>
            <w:r>
              <w:rPr>
                <w:rFonts w:ascii="Times New Roman" w:hAnsi="Times New Roman" w:eastAsia="Times New Roman" w:cs="Times New Roman"/>
                <w:sz w:val="20"/>
              </w:rPr>
              <w:t xml:space="preserve">NVIDIA H100 (80 GB)</w:t>
            </w:r>
          </w:p>
        </w:tc>
        <w:tc>
          <w:tcPr/>
          <w:p>
            <w:pPr>
              <w:pStyle w:val="Compact"/>
            </w:pPr>
            <w:r>
              <w:rPr>
                <w:rFonts w:ascii="Times New Roman" w:hAnsi="Times New Roman" w:eastAsia="Times New Roman" w:cs="Times New Roman"/>
                <w:sz w:val="20"/>
              </w:rPr>
              <w:t xml:space="preserve">DNA language model inference</w:t>
            </w:r>
          </w:p>
        </w:tc>
      </w:tr>
      <w:tr>
        <w:tc>
          <w:tcPr/>
          <w:p>
            <w:pPr>
              <w:pStyle w:val="Compact"/>
            </w:pPr>
            <w:r>
              <w:rPr>
                <w:rFonts w:ascii="Times New Roman" w:hAnsi="Times New Roman" w:eastAsia="Times New Roman" w:cs="Times New Roman"/>
                <w:sz w:val="20"/>
              </w:rPr>
              <w:t xml:space="preserve">CPU tools</w:t>
            </w:r>
          </w:p>
        </w:tc>
        <w:tc>
          <w:tcPr/>
          <w:p>
            <w:pPr>
              <w:pStyle w:val="Compact"/>
            </w:pPr>
            <w:r>
              <w:rPr>
                <w:rFonts w:ascii="Times New Roman" w:hAnsi="Times New Roman" w:eastAsia="Times New Roman" w:cs="Times New Roman"/>
                <w:sz w:val="20"/>
              </w:rPr>
              <w:t xml:space="preserve">2 vCPU, 4 GB RAM</w:t>
            </w:r>
          </w:p>
        </w:tc>
        <w:tc>
          <w:tcPr/>
          <w:p>
            <w:pPr>
              <w:pStyle w:val="Compact"/>
            </w:pPr>
            <w:r>
              <w:rPr>
                <w:rFonts w:ascii="Times New Roman" w:hAnsi="Times New Roman" w:eastAsia="Times New Roman" w:cs="Times New Roman"/>
                <w:sz w:val="20"/>
              </w:rPr>
              <w:t xml:space="preserve">Tier 1 + Tier 2 tools</w:t>
            </w:r>
          </w:p>
        </w:tc>
      </w:tr>
      <w:tr>
        <w:tc>
          <w:tcPr/>
          <w:p>
            <w:pPr>
              <w:pStyle w:val="Compact"/>
            </w:pPr>
            <w:r>
              <w:rPr>
                <w:rFonts w:ascii="Times New Roman" w:hAnsi="Times New Roman" w:eastAsia="Times New Roman" w:cs="Times New Roman"/>
                <w:sz w:val="20"/>
              </w:rPr>
              <w:t xml:space="preserve">GPU tools</w:t>
            </w:r>
          </w:p>
        </w:tc>
        <w:tc>
          <w:tcPr/>
          <w:p>
            <w:pPr>
              <w:pStyle w:val="Compact"/>
            </w:pPr>
            <w:r>
              <w:rPr>
                <w:rFonts w:ascii="Times New Roman" w:hAnsi="Times New Roman" w:eastAsia="Times New Roman" w:cs="Times New Roman"/>
                <w:sz w:val="20"/>
              </w:rPr>
              <w:t xml:space="preserve">NVIDIA A10g (24 GB)</w:t>
            </w:r>
          </w:p>
        </w:tc>
        <w:tc>
          <w:tcPr/>
          <w:p>
            <w:pPr>
              <w:pStyle w:val="Compact"/>
            </w:pPr>
            <w:r>
              <w:rPr>
                <w:rFonts w:ascii="Times New Roman" w:hAnsi="Times New Roman" w:eastAsia="Times New Roman" w:cs="Times New Roman"/>
                <w:sz w:val="20"/>
              </w:rPr>
              <w:t xml:space="preserve">Tier 3 structure prediction tools</w:t>
            </w:r>
          </w:p>
        </w:tc>
      </w:tr>
      <w:tr>
        <w:tc>
          <w:tcPr/>
          <w:p>
            <w:pPr>
              <w:pStyle w:val="Compact"/>
            </w:pPr>
            <w:r>
              <w:rPr>
                <w:rFonts w:ascii="Times New Roman" w:hAnsi="Times New Roman" w:eastAsia="Times New Roman" w:cs="Times New Roman"/>
                <w:sz w:val="20"/>
              </w:rPr>
              <w:t xml:space="preserve">Frontend</w:t>
            </w:r>
          </w:p>
        </w:tc>
        <w:tc>
          <w:tcPr/>
          <w:p>
            <w:pPr>
              <w:pStyle w:val="Compact"/>
            </w:pPr>
            <w:r>
              <w:rPr>
                <w:rFonts w:ascii="Times New Roman" w:hAnsi="Times New Roman" w:eastAsia="Times New Roman" w:cs="Times New Roman"/>
                <w:sz w:val="20"/>
              </w:rPr>
              <w:t xml:space="preserve">Next.js 15</w:t>
            </w:r>
          </w:p>
        </w:tc>
        <w:tc>
          <w:tcPr/>
          <w:p>
            <w:pPr>
              <w:pStyle w:val="Compact"/>
            </w:pPr>
            <w:r>
              <w:rPr>
                <w:rFonts w:ascii="Times New Roman" w:hAnsi="Times New Roman" w:eastAsia="Times New Roman" w:cs="Times New Roman"/>
                <w:sz w:val="20"/>
              </w:rPr>
              <w:t xml:space="preserve">UI + API routing</w:t>
            </w:r>
          </w:p>
        </w:tc>
      </w:tr>
      <w:tr>
        <w:tc>
          <w:tcPr/>
          <w:p>
            <w:pPr>
              <w:pStyle w:val="Compact"/>
            </w:pPr>
            <w:r>
              <w:rPr>
                <w:rFonts w:ascii="Times New Roman" w:hAnsi="Times New Roman" w:eastAsia="Times New Roman" w:cs="Times New Roman"/>
                <w:sz w:val="20"/>
              </w:rPr>
              <w:t xml:space="preserve">Database</w:t>
            </w:r>
          </w:p>
        </w:tc>
        <w:tc>
          <w:tcPr/>
          <w:p>
            <w:pPr>
              <w:pStyle w:val="Compact"/>
            </w:pPr>
            <w:r>
              <w:rPr>
                <w:rFonts w:ascii="Times New Roman" w:hAnsi="Times New Roman" w:eastAsia="Times New Roman" w:cs="Times New Roman"/>
                <w:sz w:val="20"/>
              </w:rPr>
              <w:t xml:space="preserve">Prisma Postgres</w:t>
            </w:r>
          </w:p>
        </w:tc>
        <w:tc>
          <w:tcPr/>
          <w:p>
            <w:pPr>
              <w:pStyle w:val="Compact"/>
            </w:pPr>
            <w:r>
              <w:rPr>
                <w:rFonts w:ascii="Times New Roman" w:hAnsi="Times New Roman" w:eastAsia="Times New Roman" w:cs="Times New Roman"/>
                <w:sz w:val="20"/>
              </w:rPr>
              <w:t xml:space="preserve">Analysis persistence</w:t>
            </w:r>
          </w:p>
        </w:tc>
      </w:tr>
      <w:tr>
        <w:tc>
          <w:tcPr/>
          <w:p>
            <w:pPr>
              <w:pStyle w:val="Compact"/>
            </w:pPr>
            <w:r>
              <w:rPr>
                <w:rFonts w:ascii="Times New Roman" w:hAnsi="Times New Roman" w:eastAsia="Times New Roman" w:cs="Times New Roman"/>
                <w:sz w:val="20"/>
              </w:rPr>
              <w:t xml:space="preserve">Clinical LLM</w:t>
            </w:r>
          </w:p>
        </w:tc>
        <w:tc>
          <w:tcPr/>
          <w:p>
            <w:pPr>
              <w:pStyle w:val="Compact"/>
            </w:pPr>
            <w:r>
              <w:rPr>
                <w:rFonts w:ascii="Times New Roman" w:hAnsi="Times New Roman" w:eastAsia="Times New Roman" w:cs="Times New Roman"/>
                <w:sz w:val="20"/>
              </w:rPr>
              <w:t xml:space="preserve">Groq Llama 3.3 70B</w:t>
            </w:r>
          </w:p>
        </w:tc>
        <w:tc>
          <w:tcPr/>
          <w:p>
            <w:pPr>
              <w:pStyle w:val="Compact"/>
            </w:pPr>
            <w:r>
              <w:rPr>
                <w:rFonts w:ascii="Times New Roman" w:hAnsi="Times New Roman" w:eastAsia="Times New Roman" w:cs="Times New Roman"/>
                <w:sz w:val="20"/>
              </w:rPr>
              <w:t xml:space="preserve">Report synthesis</w:t>
            </w:r>
          </w:p>
        </w:tc>
      </w:tr>
      <w:tr>
        <w:tc>
          <w:tcPr/>
          <w:p>
            <w:pPr>
              <w:pStyle w:val="Compact"/>
            </w:pPr>
            <w:r>
              <w:rPr>
                <w:rFonts w:ascii="Times New Roman" w:hAnsi="Times New Roman" w:eastAsia="Times New Roman" w:cs="Times New Roman"/>
                <w:sz w:val="20"/>
              </w:rPr>
              <w:t xml:space="preserve">Agent LLM</w:t>
            </w:r>
          </w:p>
        </w:tc>
        <w:tc>
          <w:tcPr/>
          <w:p>
            <w:pPr>
              <w:pStyle w:val="Compact"/>
            </w:pPr>
            <w:r>
              <w:rPr>
                <w:rFonts w:ascii="Times New Roman" w:hAnsi="Times New Roman" w:eastAsia="Times New Roman" w:cs="Times New Roman"/>
                <w:sz w:val="20"/>
              </w:rPr>
              <w:t xml:space="preserve">NVIDIA Nemotron-3 Ultra 550B</w:t>
            </w:r>
          </w:p>
        </w:tc>
        <w:tc>
          <w:tcPr/>
          <w:p>
            <w:pPr>
              <w:pStyle w:val="Compact"/>
            </w:pPr>
            <w:r>
              <w:rPr>
                <w:rFonts w:ascii="Times New Roman" w:hAnsi="Times New Roman" w:eastAsia="Times New Roman" w:cs="Times New Roman"/>
                <w:sz w:val="20"/>
              </w:rPr>
              <w:t xml:space="preserve">Tool-calling agent</w:t>
            </w:r>
          </w:p>
        </w:tc>
      </w:tr>
    </w:tbl>
    <w:p>
      <w:pPr>
        <w:pStyle w:val="BodyText"/>
      </w:pPr>
      <w:r>
        <w:rPr>
          <w:rFonts w:ascii="Times New Roman" w:hAnsi="Times New Roman" w:eastAsia="Times New Roman" w:cs="Times New Roman"/>
          <w:sz w:val="24"/>
        </w:rPr>
        <w:t xml:space="preserve">gnomAD frequency queries are cached in a Redis datastore (TTL = 7 days) to eliminate redundant API calls for previously queried variants. The BA1 short-circuit reduces end-to-end latency for common variants from 5–15 s to</w:t>
      </w:r>
      <w:r>
        <w:rPr>
          <w:rFonts w:ascii="Times New Roman" w:hAnsi="Times New Roman" w:eastAsia="Times New Roman" w:cs="Times New Roman"/>
          <w:sz w:val="24"/>
        </w:rPr>
        <w:t xml:space="preserve"> </w:t>
      </w:r>
      <m:oMath>
        <m:r>
          <m:rPr>
            <m:sty m:val="p"/>
          </m:rPr>
          <m:t>&lt;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w:t>
      </w:r>
    </w:p>
    <w:bookmarkEnd w:id="117"/>
    <w:bookmarkStart w:id="118" w:name="s2.-latency-profile"/>
    <w:p>
      <w:pPr>
        <w:pStyle w:val="Heading3"/>
      </w:pPr>
      <w:r>
        <w:rPr>
          <w:rFonts w:ascii="Times New Roman" w:hAnsi="Times New Roman" w:eastAsia="Times New Roman" w:cs="Times New Roman"/>
          <w:sz w:val="24"/>
        </w:rPr>
        <w:t xml:space="preserve">S2. Latency Profile</w:t>
      </w:r>
    </w:p>
    <w:p>
      <w:pPr>
        <w:pStyle w:val="Caption"/>
      </w:pPr>
      <w:bookmarkStart w:id="99259" w:name="_Tbl22"/>
      <w:r>
        <w:rPr>
          <w:rFonts w:ascii="Times New Roman" w:hAnsi="Times New Roman" w:eastAsia="Times New Roman" w:cs="Times New Roman"/>
          <w:b/>
          <w:bCs/>
          <w:sz w:val="24"/>
        </w:rPr>
        <w:t xml:space="preserve">Table 22: End-to-End Latency Profile.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Latency for each pipeline operation, from database lookups to GPU inference. The gnomAD BA1 short-circuit reduces end-to-end latency for common variants from 5–15 s to</w:t>
      </w:r>
      <w:r>
        <w:rPr>
          <w:rFonts w:ascii="Times New Roman" w:hAnsi="Times New Roman" w:eastAsia="Times New Roman" w:cs="Times New Roman"/>
          <w:sz w:val="24"/>
        </w:rPr>
        <w:t xml:space="preserve"> </w:t>
      </w:r>
      <m:oMath>
        <m:r>
          <m:rPr>
            <m:sty m:val="p"/>
          </m:rPr>
          <m:t>&lt;</m:t>
        </m:r>
        <m:r>
          <m:t>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 Boltz2 affinity prediction is the longest operation at 400–500 s.</w:t>
      </w:r>
      <w:bookmarkEnd w:id="9925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0"/>
              </w:rPr>
              <w:t xml:space="preserve">Operation</w:t>
            </w:r>
          </w:p>
        </w:tc>
        <w:tc>
          <w:tcPr/>
          <w:p>
            <w:pPr>
              <w:pStyle w:val="Compact"/>
            </w:pPr>
            <w:r>
              <w:rPr>
                <w:rFonts w:ascii="Times New Roman" w:hAnsi="Times New Roman" w:eastAsia="Times New Roman" w:cs="Times New Roman"/>
                <w:sz w:val="20"/>
              </w:rPr>
              <w:t xml:space="preserve">Latency</w:t>
            </w:r>
          </w:p>
        </w:tc>
      </w:tr>
      <w:tr>
        <w:tc>
          <w:tcPr/>
          <w:p>
            <w:pPr>
              <w:pStyle w:val="Compact"/>
            </w:pPr>
            <w:r>
              <w:rPr>
                <w:rFonts w:ascii="Times New Roman" w:hAnsi="Times New Roman" w:eastAsia="Times New Roman" w:cs="Times New Roman"/>
                <w:sz w:val="20"/>
              </w:rPr>
              <w:t xml:space="preserve">gnomAD pre-filter</w:t>
            </w:r>
          </w:p>
        </w:tc>
        <w:tc>
          <w:tcPr/>
          <w:p>
            <w:pPr>
              <w:pStyle w:val="Compact"/>
            </w:pPr>
            <m:oMath>
              <m:r>
                <m:rPr>
                  <m:sty m:val="p"/>
                </m:rPr>
                <m:t>&lt;</m:t>
              </m:r>
              <m:r>
                <m:t>2</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w:t>
            </w:r>
          </w:p>
        </w:tc>
      </w:tr>
      <w:tr>
        <w:tc>
          <w:tcPr/>
          <w:p>
            <w:pPr>
              <w:pStyle w:val="Compact"/>
            </w:pPr>
            <w:r>
              <w:rPr>
                <w:rFonts w:ascii="Times New Roman" w:hAnsi="Times New Roman" w:eastAsia="Times New Roman" w:cs="Times New Roman"/>
                <w:sz w:val="20"/>
              </w:rPr>
              <w:t xml:space="preserve">Evo2 scoring (H100)</w:t>
            </w:r>
          </w:p>
        </w:tc>
        <w:tc>
          <w:tcPr/>
          <w:p>
            <w:pPr>
              <w:pStyle w:val="Compact"/>
            </w:pPr>
            <w:r>
              <w:rPr>
                <w:rFonts w:ascii="Times New Roman" w:hAnsi="Times New Roman" w:eastAsia="Times New Roman" w:cs="Times New Roman"/>
                <w:sz w:val="20"/>
              </w:rPr>
              <w:t xml:space="preserve">3–8 s</w:t>
            </w:r>
          </w:p>
        </w:tc>
      </w:tr>
      <w:tr>
        <w:tc>
          <w:tcPr/>
          <w:p>
            <w:pPr>
              <w:pStyle w:val="Compact"/>
            </w:pPr>
            <w:r>
              <w:rPr>
                <w:rFonts w:ascii="Times New Roman" w:hAnsi="Times New Roman" w:eastAsia="Times New Roman" w:cs="Times New Roman"/>
                <w:sz w:val="20"/>
              </w:rPr>
              <w:t xml:space="preserve">ISM scan (</w:t>
            </w:r>
            <m:oMath>
              <m:r>
                <m:rPr>
                  <m:sty m:val="p"/>
                </m:rPr>
                <m:t>±</m:t>
              </m:r>
              <m:r>
                <m:t>20</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bp)</w:t>
            </w:r>
          </w:p>
        </w:tc>
        <w:tc>
          <w:tcPr/>
          <w:p>
            <w:pPr>
              <w:pStyle w:val="Compact"/>
            </w:pPr>
            <w:r>
              <w:rPr>
                <w:rFonts w:ascii="Times New Roman" w:hAnsi="Times New Roman" w:eastAsia="Times New Roman" w:cs="Times New Roman"/>
                <w:sz w:val="20"/>
              </w:rPr>
              <w:t xml:space="preserve">2–4 min</w:t>
            </w:r>
          </w:p>
        </w:tc>
      </w:tr>
      <w:tr>
        <w:tc>
          <w:tcPr/>
          <w:p>
            <w:pPr>
              <w:pStyle w:val="Compact"/>
            </w:pPr>
            <w:r>
              <w:rPr>
                <w:rFonts w:ascii="Times New Roman" w:hAnsi="Times New Roman" w:eastAsia="Times New Roman" w:cs="Times New Roman"/>
                <w:sz w:val="20"/>
              </w:rPr>
              <w:t xml:space="preserve">AlphaMissense lookup</w:t>
            </w:r>
          </w:p>
        </w:tc>
        <w:tc>
          <w:tcPr/>
          <w:p>
            <w:pPr>
              <w:pStyle w:val="Compact"/>
            </w:pPr>
            <w:r>
              <w:rPr>
                <w:rFonts w:ascii="Times New Roman" w:hAnsi="Times New Roman" w:eastAsia="Times New Roman" w:cs="Times New Roman"/>
                <w:sz w:val="20"/>
              </w:rPr>
              <w:t xml:space="preserve">2.6 ms</w:t>
            </w:r>
          </w:p>
        </w:tc>
      </w:tr>
      <w:tr>
        <w:tc>
          <w:tcPr/>
          <w:p>
            <w:pPr>
              <w:pStyle w:val="Compact"/>
            </w:pPr>
            <w:r>
              <w:rPr>
                <w:rFonts w:ascii="Times New Roman" w:hAnsi="Times New Roman" w:eastAsia="Times New Roman" w:cs="Times New Roman"/>
                <w:sz w:val="20"/>
              </w:rPr>
              <w:t xml:space="preserve">CEFN v2 inference</w:t>
            </w:r>
          </w:p>
        </w:tc>
        <w:tc>
          <w:tcPr/>
          <w:p>
            <w:pPr>
              <w:pStyle w:val="Compact"/>
            </w:pPr>
            <m:oMath>
              <m:r>
                <m:rPr>
                  <m:sty m:val="p"/>
                </m:rPr>
                <m:t>&lt;</m:t>
              </m:r>
              <m:r>
                <m:t>1</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ms</w:t>
            </w:r>
          </w:p>
        </w:tc>
      </w:tr>
      <w:tr>
        <w:tc>
          <w:tcPr/>
          <w:p>
            <w:pPr>
              <w:pStyle w:val="Compact"/>
            </w:pPr>
            <w:r>
              <w:rPr>
                <w:rFonts w:ascii="Times New Roman" w:hAnsi="Times New Roman" w:eastAsia="Times New Roman" w:cs="Times New Roman"/>
                <w:sz w:val="20"/>
              </w:rPr>
              <w:t xml:space="preserve">Consensus computation</w:t>
            </w:r>
          </w:p>
        </w:tc>
        <w:tc>
          <w:tcPr/>
          <w:p>
            <w:pPr>
              <w:pStyle w:val="Compact"/>
            </w:pPr>
            <m:oMath>
              <m:r>
                <m:rPr>
                  <m:sty m:val="p"/>
                </m:rPr>
                <m:t>&lt;</m:t>
              </m:r>
              <m:r>
                <m:t>100</m:t>
              </m:r>
            </m:oMath>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ms</w:t>
            </w:r>
          </w:p>
        </w:tc>
      </w:tr>
      <w:tr>
        <w:tc>
          <w:tcPr/>
          <w:p>
            <w:pPr>
              <w:pStyle w:val="Compact"/>
            </w:pPr>
            <w:r>
              <w:rPr>
                <w:rFonts w:ascii="Times New Roman" w:hAnsi="Times New Roman" w:eastAsia="Times New Roman" w:cs="Times New Roman"/>
                <w:sz w:val="20"/>
              </w:rPr>
              <w:t xml:space="preserve">Clinical report (Groq)</w:t>
            </w:r>
          </w:p>
        </w:tc>
        <w:tc>
          <w:tcPr/>
          <w:p>
            <w:pPr>
              <w:pStyle w:val="Compact"/>
            </w:pPr>
            <w:r>
              <w:rPr>
                <w:rFonts w:ascii="Times New Roman" w:hAnsi="Times New Roman" w:eastAsia="Times New Roman" w:cs="Times New Roman"/>
                <w:sz w:val="20"/>
              </w:rPr>
              <w:t xml:space="preserve">2–5 s</w:t>
            </w:r>
          </w:p>
        </w:tc>
      </w:tr>
      <w:tr>
        <w:tc>
          <w:tcPr/>
          <w:p>
            <w:pPr>
              <w:pStyle w:val="Compact"/>
            </w:pPr>
            <w:r>
              <w:rPr>
                <w:rFonts w:ascii="Times New Roman" w:hAnsi="Times New Roman" w:eastAsia="Times New Roman" w:cs="Times New Roman"/>
                <w:sz w:val="20"/>
              </w:rPr>
              <w:t xml:space="preserve">End-to-end report</w:t>
            </w:r>
          </w:p>
        </w:tc>
        <w:tc>
          <w:tcPr/>
          <w:p>
            <w:pPr>
              <w:pStyle w:val="Compact"/>
            </w:pPr>
            <w:r>
              <w:rPr>
                <w:rFonts w:ascii="Times New Roman" w:hAnsi="Times New Roman" w:eastAsia="Times New Roman" w:cs="Times New Roman"/>
                <w:sz w:val="20"/>
              </w:rPr>
              <w:t xml:space="preserve">5–15 s</w:t>
            </w:r>
          </w:p>
        </w:tc>
      </w:tr>
      <w:tr>
        <w:tc>
          <w:tcPr/>
          <w:p>
            <w:pPr>
              <w:pStyle w:val="Compact"/>
            </w:pPr>
            <w:r>
              <w:rPr>
                <w:rFonts w:ascii="Times New Roman" w:hAnsi="Times New Roman" w:eastAsia="Times New Roman" w:cs="Times New Roman"/>
                <w:sz w:val="20"/>
              </w:rPr>
              <w:t xml:space="preserve">ESMFold (A10g)</w:t>
            </w:r>
          </w:p>
        </w:tc>
        <w:tc>
          <w:tcPr/>
          <w:p>
            <w:pPr>
              <w:pStyle w:val="Compact"/>
            </w:pPr>
            <w:r>
              <w:rPr>
                <w:rFonts w:ascii="Times New Roman" w:hAnsi="Times New Roman" w:eastAsia="Times New Roman" w:cs="Times New Roman"/>
                <w:sz w:val="20"/>
              </w:rPr>
              <w:t xml:space="preserve">60–130 s</w:t>
            </w:r>
          </w:p>
        </w:tc>
      </w:tr>
      <w:tr>
        <w:tc>
          <w:tcPr/>
          <w:p>
            <w:pPr>
              <w:pStyle w:val="Compact"/>
            </w:pPr>
            <w:r>
              <w:rPr>
                <w:rFonts w:ascii="Times New Roman" w:hAnsi="Times New Roman" w:eastAsia="Times New Roman" w:cs="Times New Roman"/>
                <w:sz w:val="20"/>
              </w:rPr>
              <w:t xml:space="preserve">Boltz2 affinity (A10g)</w:t>
            </w:r>
          </w:p>
        </w:tc>
        <w:tc>
          <w:tcPr/>
          <w:p>
            <w:pPr>
              <w:pStyle w:val="Compact"/>
            </w:pPr>
            <w:r>
              <w:rPr>
                <w:rFonts w:ascii="Times New Roman" w:hAnsi="Times New Roman" w:eastAsia="Times New Roman" w:cs="Times New Roman"/>
                <w:sz w:val="20"/>
              </w:rPr>
              <w:t xml:space="preserve">400–500 s</w:t>
            </w:r>
          </w:p>
        </w:tc>
      </w:tr>
      <w:tr>
        <w:tc>
          <w:tcPr/>
          <w:p>
            <w:pPr>
              <w:pStyle w:val="Compact"/>
            </w:pPr>
            <w:r>
              <w:rPr>
                <w:rFonts w:ascii="Times New Roman" w:hAnsi="Times New Roman" w:eastAsia="Times New Roman" w:cs="Times New Roman"/>
                <w:sz w:val="20"/>
              </w:rPr>
              <w:t xml:space="preserve">MMseqs2 search</w:t>
            </w:r>
          </w:p>
        </w:tc>
        <w:tc>
          <w:tcPr/>
          <w:p>
            <w:pPr>
              <w:pStyle w:val="Compact"/>
            </w:pPr>
            <w:r>
              <w:rPr>
                <w:rFonts w:ascii="Times New Roman" w:hAnsi="Times New Roman" w:eastAsia="Times New Roman" w:cs="Times New Roman"/>
                <w:sz w:val="20"/>
              </w:rPr>
              <w:t xml:space="preserve">45 s</w:t>
            </w:r>
          </w:p>
        </w:tc>
      </w:tr>
      <w:tr>
        <w:tc>
          <w:tcPr/>
          <w:p>
            <w:pPr>
              <w:pStyle w:val="Compact"/>
            </w:pPr>
            <w:r>
              <w:rPr>
                <w:rFonts w:ascii="Times New Roman" w:hAnsi="Times New Roman" w:eastAsia="Times New Roman" w:cs="Times New Roman"/>
                <w:sz w:val="20"/>
              </w:rPr>
              <w:t xml:space="preserve">MAFFT alignment</w:t>
            </w:r>
          </w:p>
        </w:tc>
        <w:tc>
          <w:tcPr/>
          <w:p>
            <w:pPr>
              <w:pStyle w:val="Compact"/>
            </w:pPr>
            <w:r>
              <w:rPr>
                <w:rFonts w:ascii="Times New Roman" w:hAnsi="Times New Roman" w:eastAsia="Times New Roman" w:cs="Times New Roman"/>
                <w:sz w:val="20"/>
              </w:rPr>
              <w:t xml:space="preserve">28 s</w:t>
            </w:r>
          </w:p>
        </w:tc>
      </w:tr>
    </w:tbl>
    <w:p>
      <w:r>
        <w:rPr>
          <w:rFonts w:ascii="Times New Roman" w:hAnsi="Times New Roman" w:eastAsia="Times New Roman" w:cs="Times New Roman"/>
          <w:sz w:val="24"/>
        </w:rPr>
        <w:pict>
          <v:rect style="width:0;height:1.5pt" o:hralign="center" o:hrstd="t" o:hr="t"/>
        </w:pict>
      </w:r>
    </w:p>
    <w:bookmarkEnd w:id="118"/>
    <w:bookmarkEnd w:id="119"/>
    <w:bookmarkEnd w:id="120"/>
    <w:bookmarkStart w:id="130" w:name="results-and-discussion"/>
    <w:p>
      <w:pPr>
        <w:pStyle w:val="Heading1"/>
      </w:pPr>
      <w:r>
        <w:rPr>
          <w:rFonts w:ascii="Times New Roman" w:hAnsi="Times New Roman" w:eastAsia="Times New Roman" w:cs="Times New Roman"/>
          <w:sz w:val="24"/>
        </w:rPr>
        <w:t xml:space="preserve">Results and Discussion</w:t>
      </w:r>
    </w:p>
    <w:bookmarkStart w:id="125" w:name="summary-of-key-results"/>
    <w:p>
      <w:pPr>
        <w:pStyle w:val="Heading2"/>
      </w:pPr>
      <w:r>
        <w:rPr>
          <w:rFonts w:ascii="Times New Roman" w:hAnsi="Times New Roman" w:eastAsia="Times New Roman" w:cs="Times New Roman"/>
          <w:sz w:val="24"/>
        </w:rPr>
        <w:t xml:space="preserve">1. Summary of Key Results</w:t>
      </w:r>
    </w:p>
    <w:p>
      <w:pPr>
        <w:pStyle w:val="FirstParagraph"/>
      </w:pPr>
      <w:r>
        <w:rPr>
          <w:rFonts w:ascii="Times New Roman" w:hAnsi="Times New Roman" w:eastAsia="Times New Roman" w:cs="Times New Roman"/>
          <w:sz w:val="24"/>
        </w:rPr>
        <w:t xml:space="preserve">The HelixMind pipeline was evaluated across multiple levels: individual component performance, end-to-end pipeline accuracy, and extended applications. The key quantitative results are summarized below.</w:t>
      </w:r>
    </w:p>
    <w:bookmarkStart w:id="121" w:name="cefn-v2-fusion-performance"/>
    <w:p>
      <w:pPr>
        <w:pStyle w:val="Heading3"/>
      </w:pPr>
      <w:r>
        <w:rPr>
          <w:rFonts w:ascii="Times New Roman" w:hAnsi="Times New Roman" w:eastAsia="Times New Roman" w:cs="Times New Roman"/>
          <w:sz w:val="24"/>
        </w:rPr>
        <w:t xml:space="preserve">1.1 CEFN v2 Fusion Performance</w:t>
      </w:r>
    </w:p>
    <w:p>
      <w:pPr>
        <w:pStyle w:val="FirstParagraph"/>
      </w:pPr>
      <w:r>
        <w:rPr>
          <w:rFonts w:ascii="Times New Roman" w:hAnsi="Times New Roman" w:eastAsia="Times New Roman" w:cs="Times New Roman"/>
          <w:sz w:val="24"/>
        </w:rPr>
        <w:t xml:space="preserve">CEFN v2 achieves AUROC = 0.987 on the chromosome-held-out test set (</w:t>
      </w:r>
      <m:oMath>
        <m:r>
          <m:t>n</m:t>
        </m:r>
        <m:r>
          <m:rPr>
            <m:sty m:val="p"/>
          </m:rPr>
          <m:t>=</m:t>
        </m:r>
        <m:r>
          <m:t>397</m:t>
        </m:r>
      </m:oMath>
      <w:r>
        <w:rPr>
          <w:rFonts w:ascii="Times New Roman" w:hAnsi="Times New Roman" w:eastAsia="Times New Roman" w:cs="Times New Roman"/>
          <w:sz w:val="24"/>
        </w:rPr>
        <w:t xml:space="preserve">), with calibrated uncertainty (ECE = 0.032) and a VUS rate of 1.26% — a 52× reduction compared to the Dempster-Shafer + Bayesian Model Averaging baseline (66.2% VUS rate). The DeLong test confirms significant improvement over DST+BMA (</w:t>
      </w:r>
      <m:oMath>
        <m:r>
          <m:t>p</m:t>
        </m:r>
        <m:r>
          <m:rPr>
            <m:sty m:val="p"/>
          </m:rPr>
          <m:t>&lt;</m:t>
        </m:r>
        <m:r>
          <m:t>0.001</m:t>
        </m:r>
      </m:oMath>
      <w:r>
        <w:rPr>
          <w:rFonts w:ascii="Times New Roman" w:hAnsi="Times New Roman" w:eastAsia="Times New Roman" w:cs="Times New Roman"/>
          <w:sz w:val="24"/>
        </w:rPr>
        <w:t xml:space="preserve">) and Simple Average (</w:t>
      </w:r>
      <m:oMath>
        <m:r>
          <m:t>p</m:t>
        </m:r>
        <m:r>
          <m:rPr>
            <m:sty m:val="p"/>
          </m:rPr>
          <m:t>=</m:t>
        </m:r>
        <m:r>
          <m:t>0.004</m:t>
        </m:r>
      </m:oMath>
      <w:r>
        <w:rPr>
          <w:rFonts w:ascii="Times New Roman" w:hAnsi="Times New Roman" w:eastAsia="Times New Roman" w:cs="Times New Roman"/>
          <w:sz w:val="24"/>
        </w:rPr>
        <w:t xml:space="preserve">). The improvement over Evo2-only (</w:t>
      </w:r>
      <m:oMath>
        <m:r>
          <m:t>Δ</m:t>
        </m:r>
      </m:oMath>
      <w:r>
        <w:rPr>
          <w:rFonts w:ascii="Times New Roman" w:hAnsi="Times New Roman" w:eastAsia="Times New Roman" w:cs="Times New Roman"/>
          <w:sz w:val="24"/>
        </w:rPr>
        <w:t xml:space="preserve">AUROC = +0.022) does not reach statistical significance (</w:t>
      </w:r>
      <m:oMath>
        <m:r>
          <m:t>p</m:t>
        </m:r>
        <m:r>
          <m:rPr>
            <m:sty m:val="p"/>
          </m:rPr>
          <m:t>=</m:t>
        </m:r>
        <m:r>
          <m:t>0.075</m:t>
        </m:r>
      </m:oMath>
      <w:r>
        <w:rPr>
          <w:rFonts w:ascii="Times New Roman" w:hAnsi="Times New Roman" w:eastAsia="Times New Roman" w:cs="Times New Roman"/>
          <w:sz w:val="24"/>
        </w:rPr>
        <w:t xml:space="preserve">), but CEFN v2’s advantage lies in calibration and VUS reduction rather than raw discrimination. McNemar’s test on disagreement cases shows CEFN v2 is correct on 7 of 8 disagreements (</w:t>
      </w:r>
      <m:oMath>
        <m:r>
          <m:t>p</m:t>
        </m:r>
        <m:r>
          <m:rPr>
            <m:sty m:val="p"/>
          </m:rPr>
          <m:t>=</m:t>
        </m:r>
        <m:r>
          <m:t>0.023</m:t>
        </m:r>
      </m:oMath>
      <w:r>
        <w:rPr>
          <w:rFonts w:ascii="Times New Roman" w:hAnsi="Times New Roman" w:eastAsia="Times New Roman" w:cs="Times New Roman"/>
          <w:sz w:val="24"/>
        </w:rPr>
        <w:t xml:space="preserve">), confirming that the fusion network’s additional predictions are significantly more accurate than chance.</w:t>
      </w:r>
    </w:p>
    <w:p>
      <w:pPr>
        <w:pStyle w:val="BodyText"/>
      </w:pPr>
      <w:r>
        <w:rPr>
          <w:rFonts w:ascii="Times New Roman" w:hAnsi="Times New Roman" w:eastAsia="Times New Roman" w:cs="Times New Roman"/>
          <w:sz w:val="24"/>
        </w:rPr>
        <w:t xml:space="preserve">The CEFN v2 architecture, shown in Figure 4, processes</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predictors through predictor-specific missing embeddings, a permutation-invariant Deep Set encoder, a variant-type-conditioned prior network, and an evidence network that outputs Dirichlet parameters yielding calibrated belief masses via Dempster-Shafer theory.</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backend/phase1_implementation/cefn_v2_outputs/figures/figure1_architecture_final.png</w:t>
      </w:r>
    </w:p>
    <w:p>
      <w:pPr>
        <w:pStyle w:val="Caption"/>
      </w:pPr>
      <w:bookmarkStart w:id="3136" w:name="_Fig4"/>
      <w:r>
        <w:rPr>
          <w:rFonts w:ascii="Times New Roman" w:hAnsi="Times New Roman" w:eastAsia="Times New Roman" w:cs="Times New Roman"/>
          <w:b/>
          <w:bCs/>
          <w:sz w:val="24"/>
        </w:rPr>
        <w:t xml:space="preserve">Figure 4: CEFN v2 Architecture.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network processes</w:t>
      </w:r>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predictors through predictor-specific missing embeddings (present/missing), a permutation-invariant Deep Set encoder (</w:t>
      </w:r>
      <m:oMath>
        <m:r>
          <m:t>φ</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MLP → mean pooling →</w:t>
      </w:r>
      <w:r>
        <w:rPr>
          <w:rFonts w:ascii="Times New Roman" w:hAnsi="Times New Roman" w:eastAsia="Times New Roman" w:cs="Times New Roman"/>
          <w:sz w:val="24"/>
        </w:rPr>
        <w:t xml:space="preserve"> </w:t>
      </w:r>
      <m:oMath>
        <m:r>
          <m:t>ρ</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MLP), a variant-type-conditioned prior network, and an evidence network. The output Dirichlet parameters</w:t>
      </w:r>
      <w:r>
        <w:rPr>
          <w:rFonts w:ascii="Times New Roman" w:hAnsi="Times New Roman" w:eastAsia="Times New Roman" w:cs="Times New Roman"/>
          <w:sz w:val="24"/>
        </w:rPr>
        <w:t xml:space="preserve"> </w:t>
      </w:r>
      <m:oMath>
        <m:d>
          <m:dPr>
            <m:begChr m:val="("/>
            <m:endChr m:val=")"/>
            <m:sepChr m:val=""/>
            <m:grow/>
          </m:dPr>
          <m:e>
            <m:sSub>
              <m:e>
                <m:r>
                  <m:t>α</m:t>
                </m:r>
              </m:e>
              <m:sub>
                <m:r>
                  <m:t>P</m:t>
                </m:r>
              </m:sub>
            </m:sSub>
            <m:r>
              <m:rPr>
                <m:sty m:val="p"/>
              </m:rPr>
              <m:t>,</m:t>
            </m:r>
            <m:sSub>
              <m:e>
                <m:r>
                  <m:t>α</m:t>
                </m:r>
              </m:e>
              <m:sub>
                <m:r>
                  <m:t>B</m:t>
                </m:r>
              </m:sub>
            </m:sSub>
            <m:r>
              <m:rPr>
                <m:sty m:val="p"/>
              </m:rPr>
              <m:t>,</m:t>
            </m:r>
            <m:sSub>
              <m:e>
                <m:r>
                  <m:t>α</m:t>
                </m:r>
              </m:e>
              <m:sub>
                <m:r>
                  <m:rPr>
                    <m:nor/>
                    <m:sty m:val="p"/>
                  </m:rPr>
                  <m:t>VUS</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yield belief masses</w:t>
      </w:r>
      <w:r>
        <w:rPr>
          <w:rFonts w:ascii="Times New Roman" w:hAnsi="Times New Roman" w:eastAsia="Times New Roman" w:cs="Times New Roman"/>
          <w:sz w:val="24"/>
        </w:rPr>
        <w:t xml:space="preserve"> </w:t>
      </w:r>
      <m:oMath>
        <m:d>
          <m:dPr>
            <m:begChr m:val="("/>
            <m:endChr m:val=")"/>
            <m:sepChr m:val=""/>
            <m:grow/>
          </m:dPr>
          <m:e>
            <m:sSub>
              <m:e>
                <m:r>
                  <m:t>b</m:t>
                </m:r>
              </m:e>
              <m:sub>
                <m:r>
                  <m:t>P</m:t>
                </m:r>
              </m:sub>
            </m:sSub>
            <m:r>
              <m:rPr>
                <m:sty m:val="p"/>
              </m:rPr>
              <m:t>,</m:t>
            </m:r>
            <m:sSub>
              <m:e>
                <m:r>
                  <m:t>b</m:t>
                </m:r>
              </m:e>
              <m:sub>
                <m:r>
                  <m:t>B</m:t>
                </m:r>
              </m:sub>
            </m:sSub>
            <m:r>
              <m:rPr>
                <m:sty m:val="p"/>
              </m:rPr>
              <m:t>,</m:t>
            </m:r>
            <m:r>
              <m:t>u</m:t>
            </m:r>
          </m:e>
        </m:d>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via Dempster-Shafer theory, with VUS emerging from low total evidence (</w:t>
      </w:r>
      <m:oMath>
        <m:sSub>
          <m:e>
            <m:r>
              <m:t>α</m:t>
            </m:r>
          </m:e>
          <m:sub>
            <m:r>
              <m:rPr>
                <m:nor/>
                <m:sty m:val="p"/>
              </m:rPr>
              <m:t>VUS</m:t>
            </m:r>
          </m:sub>
        </m:sSub>
        <m:r>
          <m:rPr>
            <m:sty m:val="p"/>
          </m:rPr>
          <m:t>=</m:t>
        </m:r>
        <m:r>
          <m:t>1</m:t>
        </m:r>
      </m:oMath>
      <w:r>
        <w:rPr>
          <w:rFonts w:ascii="Times New Roman" w:hAnsi="Times New Roman" w:eastAsia="Times New Roman" w:cs="Times New Roman"/>
          <w:sz w:val="24"/>
        </w:rPr>
        <w:t xml:space="preserve">, fixed). Total parameters: 71,236.</w:t>
      </w:r>
      <w:bookmarkEnd w:id="3136"/>
    </w:p>
    <w:p>
      <w:pPr>
        <w:pStyle w:val="FirstParagraph"/>
      </w:pPr>
      <w:r>
        <w:rPr>
          <w:rFonts w:ascii="Times New Roman" w:hAnsi="Times New Roman" w:eastAsia="Times New Roman" w:cs="Times New Roman"/>
          <w:sz w:val="24"/>
        </w:rPr>
        <w:t xml:space="preserve">Figure 5 presents the receiver operating characteristic (ROC) curves comparing CEFN v2 against four baselines. On the internal test set (chr 19–22,</w:t>
      </w:r>
      <w:r>
        <w:rPr>
          <w:rFonts w:ascii="Times New Roman" w:hAnsi="Times New Roman" w:eastAsia="Times New Roman" w:cs="Times New Roman"/>
          <w:sz w:val="24"/>
        </w:rPr>
        <w:t xml:space="preserve"> </w:t>
      </w:r>
      <m:oMath>
        <m:r>
          <m:t>n</m:t>
        </m:r>
        <m:r>
          <m:rPr>
            <m:sty m:val="p"/>
          </m:rPr>
          <m:t>=</m:t>
        </m:r>
        <m:r>
          <m:t>397</m:t>
        </m:r>
      </m:oMath>
      <w:r>
        <w:rPr>
          <w:rFonts w:ascii="Times New Roman" w:hAnsi="Times New Roman" w:eastAsia="Times New Roman" w:cs="Times New Roman"/>
          <w:sz w:val="24"/>
        </w:rPr>
        <w:t xml:space="preserve">), CEFN v2 achieves AUROC = 0.987, outperforming Evo2-only (0.965), AlphaMissense (0.948, missense only), Simple Average (0.930), and DST+BMA (0.884). On the temporal external validation set (ClinVar 2026-05-23,</w:t>
      </w:r>
      <w:r>
        <w:rPr>
          <w:rFonts w:ascii="Times New Roman" w:hAnsi="Times New Roman" w:eastAsia="Times New Roman" w:cs="Times New Roman"/>
          <w:sz w:val="24"/>
        </w:rPr>
        <w:t xml:space="preserve"> </w:t>
      </w:r>
      <m:oMath>
        <m:r>
          <m:t>n</m:t>
        </m:r>
        <m:r>
          <m:rPr>
            <m:sty m:val="p"/>
          </m:rPr>
          <m:t>=</m:t>
        </m:r>
        <m:r>
          <m:t>118</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balanced), CEFN v2 maintains AUROC = 0.976 with only AlphaMissense available, demonstrating robustness to missing predictors.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backend/phase1_implementation/cefn_v2_outputs/figures/figure2_roc.png</w:t>
      </w:r>
    </w:p>
    <w:p>
      <w:pPr>
        <w:pStyle w:val="Caption"/>
      </w:pPr>
      <w:bookmarkStart w:id="19682" w:name="_Fig5"/>
      <w:r>
        <w:rPr>
          <w:rFonts w:ascii="Times New Roman" w:hAnsi="Times New Roman" w:eastAsia="Times New Roman" w:cs="Times New Roman"/>
          <w:b/>
          <w:bCs/>
          <w:sz w:val="24"/>
        </w:rPr>
        <w:t xml:space="preserve">Figure 5: Receiver Operating Characteristic Curves.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Internal test set (chr 19–22,</w:t>
      </w:r>
      <w:r>
        <w:rPr>
          <w:rFonts w:ascii="Times New Roman" w:hAnsi="Times New Roman" w:eastAsia="Times New Roman" w:cs="Times New Roman"/>
          <w:sz w:val="24"/>
        </w:rPr>
        <w:t xml:space="preserve"> </w:t>
      </w:r>
      <m:oMath>
        <m:r>
          <m:t>n</m:t>
        </m:r>
        <m:r>
          <m:rPr>
            <m:sty m:val="p"/>
          </m:rPr>
          <m:t>=</m:t>
        </m:r>
        <m:r>
          <m:t>397</m:t>
        </m:r>
      </m:oMath>
      <w:r>
        <w:rPr>
          <w:rFonts w:ascii="Times New Roman" w:hAnsi="Times New Roman" w:eastAsia="Times New Roman" w:cs="Times New Roman"/>
          <w:sz w:val="24"/>
        </w:rPr>
        <w:t xml:space="preserve">). CEFN v2 (AUROC = 0.987) outperforms Evo2-only (0.965), AlphaMissense (0.948, missense only), Simple Average (0.930), and DST+BMA (0.884).</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Temporal external validation (ClinVar 2026-05-23,</w:t>
      </w:r>
      <w:r>
        <w:rPr>
          <w:rFonts w:ascii="Times New Roman" w:hAnsi="Times New Roman" w:eastAsia="Times New Roman" w:cs="Times New Roman"/>
          <w:sz w:val="24"/>
        </w:rPr>
        <w:t xml:space="preserve"> </w:t>
      </w:r>
      <m:oMath>
        <m:r>
          <m:t>n</m:t>
        </m:r>
        <m:r>
          <m:rPr>
            <m:sty m:val="p"/>
          </m:rPr>
          <m:t>=</m:t>
        </m:r>
        <m:r>
          <m:t>118</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balanced). CEFN v2 maintains AUROC = 0.976 with only AlphaMissense available, demonstrating robustness to missing predictors.</w:t>
      </w:r>
      <w:bookmarkEnd w:id="19682"/>
    </w:p>
    <w:p>
      <w:pPr>
        <w:pStyle w:val="FirstParagraph"/>
      </w:pPr>
      <w:r>
        <w:rPr>
          <w:rFonts w:ascii="Times New Roman" w:hAnsi="Times New Roman" w:eastAsia="Times New Roman" w:cs="Times New Roman"/>
          <w:sz w:val="24"/>
        </w:rPr>
        <w:t xml:space="preserve">Figure 6 shows the calibration analysis. The reliability diagram confirms that CEFN v2’s predicted probabilities closely follow the diagonal (perfect calibration), with ECE = 0.032. The predicted probability histogram shows a bimodal distribution, reflecting the model’s confident separation of pathogenic and benign variants.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backend/phase1_implementation/cefn_v2_outputs/figures/figure3_calibration.png</w:t>
      </w:r>
    </w:p>
    <w:p>
      <w:pPr>
        <w:pStyle w:val="Caption"/>
      </w:pPr>
      <w:bookmarkStart w:id="8706" w:name="_Fig6"/>
      <w:r>
        <w:rPr>
          <w:rFonts w:ascii="Times New Roman" w:hAnsi="Times New Roman" w:eastAsia="Times New Roman" w:cs="Times New Roman"/>
          <w:b/>
          <w:bCs/>
          <w:sz w:val="24"/>
        </w:rPr>
        <w:t xml:space="preserve">Figure 6: Calibration Analysis.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Reliability diagram comparing CEFN v2 (ECE = 0.032) and Evo2-only. CEFN v2’s calibration curve closely follows the diagonal (perfect calibration), confirming that predicted probabilities match observed pathogenicity rates.</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(B)</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Predicted probability histogram showing the distribution of pathogenicity probabilities for both models.</w:t>
      </w:r>
      <w:bookmarkEnd w:id="8706"/>
    </w:p>
    <w:p>
      <w:pPr>
        <w:pStyle w:val="FirstParagraph"/>
      </w:pPr>
      <w:r>
        <w:rPr>
          <w:rFonts w:ascii="Times New Roman" w:hAnsi="Times New Roman" w:eastAsia="Times New Roman" w:cs="Times New Roman"/>
          <w:sz w:val="24"/>
        </w:rPr>
        <w:t xml:space="preserve">Figure 7 demonstrates that all variant types achieve VUS rates well below the predefined thresholds. Missense variants (</w:t>
      </w:r>
      <m:oMath>
        <m:r>
          <m:t>n</m:t>
        </m:r>
        <m:r>
          <m:rPr>
            <m:sty m:val="p"/>
          </m:rPr>
          <m:t>=</m:t>
        </m:r>
        <m:r>
          <m:t>190</m:t>
        </m:r>
      </m:oMath>
      <w:r>
        <w:rPr>
          <w:rFonts w:ascii="Times New Roman" w:hAnsi="Times New Roman" w:eastAsia="Times New Roman" w:cs="Times New Roman"/>
          <w:sz w:val="24"/>
        </w:rPr>
        <w:t xml:space="preserve">) show 1.58% VUS rate; non-missense variants (</w:t>
      </w:r>
      <m:oMath>
        <m:r>
          <m:t>n</m:t>
        </m:r>
        <m:r>
          <m:rPr>
            <m:sty m:val="p"/>
          </m:rPr>
          <m:t>=</m:t>
        </m:r>
        <m:r>
          <m:t>207</m:t>
        </m:r>
      </m:oMath>
      <w:r>
        <w:rPr>
          <w:rFonts w:ascii="Times New Roman" w:hAnsi="Times New Roman" w:eastAsia="Times New Roman" w:cs="Times New Roman"/>
          <w:sz w:val="24"/>
        </w:rPr>
        <w:t xml:space="preserve">) show 1.01%, confirming that predictor-specific missing embeddings prevent uncertainty inflation when AlphaMissense is unavailable.</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backend/phase1_implementation/cefn_v2_outputs/figures/figure4_vus_by_vartype.png</w:t>
      </w:r>
    </w:p>
    <w:p>
      <w:pPr>
        <w:pStyle w:val="Caption"/>
      </w:pPr>
      <w:bookmarkStart w:id="49677" w:name="_Fig7"/>
      <w:r>
        <w:rPr>
          <w:rFonts w:ascii="Times New Roman" w:hAnsi="Times New Roman" w:eastAsia="Times New Roman" w:cs="Times New Roman"/>
          <w:b/>
          <w:bCs/>
          <w:sz w:val="24"/>
        </w:rPr>
        <w:t xml:space="preserve">Figure 7: VUS Rate by Variant Type.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All variant types achieve VUS rates well below the predefined thresholds (5% for missense, 2% for non-missense, dashed lines). Missense variants (</w:t>
      </w:r>
      <m:oMath>
        <m:r>
          <m:t>n</m:t>
        </m:r>
        <m:r>
          <m:rPr>
            <m:sty m:val="p"/>
          </m:rPr>
          <m:t>=</m:t>
        </m:r>
        <m:r>
          <m:t>190</m:t>
        </m:r>
      </m:oMath>
      <w:r>
        <w:rPr>
          <w:rFonts w:ascii="Times New Roman" w:hAnsi="Times New Roman" w:eastAsia="Times New Roman" w:cs="Times New Roman"/>
          <w:sz w:val="24"/>
        </w:rPr>
        <w:t xml:space="preserve">) show 1.58% VUS rate; non-missense variants (</w:t>
      </w:r>
      <m:oMath>
        <m:r>
          <m:t>n</m:t>
        </m:r>
        <m:r>
          <m:rPr>
            <m:sty m:val="p"/>
          </m:rPr>
          <m:t>=</m:t>
        </m:r>
        <m:r>
          <m:t>207</m:t>
        </m:r>
      </m:oMath>
      <w:r>
        <w:rPr>
          <w:rFonts w:ascii="Times New Roman" w:hAnsi="Times New Roman" w:eastAsia="Times New Roman" w:cs="Times New Roman"/>
          <w:sz w:val="24"/>
        </w:rPr>
        <w:t xml:space="preserve">) show 1.01%, demonstrating that predictor-specific missing embeddings prevent uncertainty inflation when AlphaMissense is unavailable.</w:t>
      </w:r>
      <w:bookmarkEnd w:id="49677"/>
    </w:p>
    <w:p>
      <w:pPr>
        <w:pStyle w:val="FirstParagraph"/>
      </w:pPr>
      <w:r>
        <w:rPr>
          <w:rFonts w:ascii="Times New Roman" w:hAnsi="Times New Roman" w:eastAsia="Times New Roman" w:cs="Times New Roman"/>
          <w:sz w:val="24"/>
        </w:rPr>
        <w:t xml:space="preserve">Figure 8 presents the ablation study results. Removing Platt scaling causes total collapse (AUROC = 0.5), confirming that calibrated probability inputs are essential. Making</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learnable causes VUS collapse (51.4%), validating the fixed Dirichlet parameter design. Predictor-specific missing embeddings and Deep Sets each independently reduce ECE and VUS rate.</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backend/phase1_implementation/cefn_v2_outputs/figures/figure5_ablation.png</w:t>
      </w:r>
    </w:p>
    <w:p>
      <w:pPr>
        <w:pStyle w:val="Caption"/>
      </w:pPr>
      <w:bookmarkStart w:id="84879" w:name="_Fig8"/>
      <w:r>
        <w:rPr>
          <w:rFonts w:ascii="Times New Roman" w:hAnsi="Times New Roman" w:eastAsia="Times New Roman" w:cs="Times New Roman"/>
          <w:b/>
          <w:bCs/>
          <w:sz w:val="24"/>
        </w:rPr>
        <w:t xml:space="preserve">Figure 8: Ablation Study.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AUROC, ECE, and VUS rate for each architectural configuration. The full CEFN v2 (highlighted) achieves the best balance. Removing Platt scaling causes total collapse (AUROC = 0.5). Making</w:t>
      </w:r>
      <w:r>
        <w:rPr>
          <w:rFonts w:ascii="Times New Roman" w:hAnsi="Times New Roman" w:eastAsia="Times New Roman" w:cs="Times New Roman"/>
          <w:sz w:val="24"/>
        </w:rPr>
        <w:t xml:space="preserve"> </w:t>
      </w:r>
      <m:oMath>
        <m:sSub>
          <m:e>
            <m:r>
              <m:t>α</m:t>
            </m:r>
          </m:e>
          <m:sub>
            <m:r>
              <m:rPr>
                <m:nor/>
                <m:sty m:val="p"/>
              </m:rPr>
              <m:t>VUS</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learnable causes VUS collapse (51.4%). Predictor-specific missing embeddings and Deep Sets each reduce ECE and VUS rate.</w:t>
      </w:r>
      <w:bookmarkEnd w:id="84879"/>
    </w:p>
    <w:p>
      <w:pPr>
        <w:pStyle w:val="FirstParagraph"/>
      </w:pPr>
      <w:r>
        <w:rPr>
          <w:rFonts w:ascii="Times New Roman" w:hAnsi="Times New Roman" w:eastAsia="Times New Roman" w:cs="Times New Roman"/>
          <w:sz w:val="24"/>
        </w:rPr>
        <w:t xml:space="preserve">Figure 9 shows the decision curve analysis, demonstrating that CEFN v2 provides higher clinical net benefit than Evo2-only across a range of decision thresholds, confirming clinical utility beyond raw discrimination metrics.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backend/phase1_implementation/cefn_v2_outputs/figures/figure6_dca.png</w:t>
      </w:r>
    </w:p>
    <w:p>
      <w:pPr>
        <w:pStyle w:val="Caption"/>
      </w:pPr>
      <w:bookmarkStart w:id="27501" w:name="_Fig9"/>
      <w:r>
        <w:rPr>
          <w:rFonts w:ascii="Times New Roman" w:hAnsi="Times New Roman" w:eastAsia="Times New Roman" w:cs="Times New Roman"/>
          <w:b/>
          <w:bCs/>
          <w:sz w:val="24"/>
        </w:rPr>
        <w:t xml:space="preserve">Figure 9: Decision Curve Analysis.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Net benefit versus threshold probability for CEFN v2 and Evo2-only. The shaded region indicates the threshold range where CEFN v2 provides higher clinical net benefit than Evo2-only, demonstrating clinical utility across a range of decision thresholds.</w:t>
      </w:r>
      <w:bookmarkEnd w:id="27501"/>
    </w:p>
    <w:p>
      <w:pPr>
        <w:pStyle w:val="FirstParagraph"/>
      </w:pPr>
      <w:r>
        <w:rPr>
          <w:rFonts w:ascii="Times New Roman" w:hAnsi="Times New Roman" w:eastAsia="Times New Roman" w:cs="Times New Roman"/>
          <w:sz w:val="24"/>
        </w:rPr>
        <w:t xml:space="preserve">Figure 10 shows the training dynamics over 100 epochs. Loss converges by epoch 25 (best-ECE checkpoint), and the VUS rate stabilizes below 2%, confirming stable training without overfitting.</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backend/phase1_implementation/cefn_v2_outputs/training_curves.png</w:t>
      </w:r>
    </w:p>
    <w:p>
      <w:pPr>
        <w:pStyle w:val="Caption"/>
      </w:pPr>
      <w:bookmarkStart w:id="35570" w:name="_Fig10"/>
      <w:r>
        <w:rPr>
          <w:rFonts w:ascii="Times New Roman" w:hAnsi="Times New Roman" w:eastAsia="Times New Roman" w:cs="Times New Roman"/>
          <w:b/>
          <w:bCs/>
          <w:sz w:val="24"/>
        </w:rPr>
        <w:t xml:space="preserve">Figure 10: Training Dynamics.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Training loss, validation AUROC, and validation VUS rate over 100 epochs. Loss converges by epoch 25 (best-ECE checkpoint), and the VUS rate stabilizes below 2%.</w:t>
      </w:r>
      <w:bookmarkEnd w:id="35570"/>
    </w:p>
    <w:bookmarkEnd w:id="121"/>
    <w:bookmarkStart w:id="122" w:name="end-to-end-pipeline-accuracy"/>
    <w:p>
      <w:pPr>
        <w:pStyle w:val="Heading3"/>
      </w:pPr>
      <w:r>
        <w:rPr>
          <w:rFonts w:ascii="Times New Roman" w:hAnsi="Times New Roman" w:eastAsia="Times New Roman" w:cs="Times New Roman"/>
          <w:sz w:val="24"/>
        </w:rPr>
        <w:t xml:space="preserve">1.2 End-to-End Pipeline Accuracy</w:t>
      </w:r>
    </w:p>
    <w:p>
      <w:pPr>
        <w:pStyle w:val="FirstParagraph"/>
      </w:pPr>
      <w:r>
        <w:rPr>
          <w:rFonts w:ascii="Times New Roman" w:hAnsi="Times New Roman" w:eastAsia="Times New Roman" w:cs="Times New Roman"/>
          <w:sz w:val="24"/>
        </w:rPr>
        <w:t xml:space="preserve">The full pipeline achieves 84.1% exact match and 91.2% directional accuracy against ClinVar expert panel classifications (</w:t>
      </w:r>
      <m:oMath>
        <m:r>
          <m:t>n</m:t>
        </m:r>
        <m:r>
          <m:rPr>
            <m:sty m:val="p"/>
          </m:rPr>
          <m:t>=</m:t>
        </m:r>
        <m:r>
          <m:t>199</m:t>
        </m:r>
      </m:oMath>
      <w:r>
        <w:rPr>
          <w:rFonts w:ascii="Times New Roman" w:hAnsi="Times New Roman" w:eastAsia="Times New Roman" w:cs="Times New Roman"/>
          <w:sz w:val="24"/>
        </w:rPr>
        <w:t xml:space="preserve">), outperforming both CEFN v2 alone (78.3% / 87.4%) and InterVar (72.1% / 83.5%). Sensitivity (93.1%) exceeds specificity (89.1%), reflecting a deliberate design choice to prioritize identification of pathogenic variants. The VUS concordance of 67.2% indicates that the pipeline correctly identifies approximately two-thirds of ClinVar VUS variants, with the remaining one-third classified as Likely Pathogenic or Likely Benign — potentially representing future reclassifications as computational evidence accumulates.</w:t>
      </w:r>
    </w:p>
    <w:p>
      <w:pPr>
        <w:pStyle w:val="BodyText"/>
      </w:pPr>
      <w:r>
        <w:rPr>
          <w:rFonts w:ascii="Times New Roman" w:hAnsi="Times New Roman" w:eastAsia="Times New Roman" w:cs="Times New Roman"/>
          <w:sz w:val="24"/>
        </w:rPr>
        <w:t xml:space="preserve">Figure 11 shows the complete variant analysis report as presented to the clinician, demonstrating the end-to-end pipeline output for a BRCA1 pathogenic variant. The report integrates Evo2 delta likelihood scoring, VEP molecular consequence annotation, gnomAD population frequency data, ClinVar clinical consensus, UniProt domain context, and the CEFN v2 calibrated probability into a single unified classification with ACMG evidence codes and a source-tagged clinical narrative.</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backend/paper/figure_variant_report.png</w:t>
      </w:r>
    </w:p>
    <w:p>
      <w:pPr>
        <w:pStyle w:val="Caption"/>
      </w:pPr>
      <w:bookmarkStart w:id="81882" w:name="_Fig11"/>
      <w:r>
        <w:rPr>
          <w:rFonts w:ascii="Times New Roman" w:hAnsi="Times New Roman" w:eastAsia="Times New Roman" w:cs="Times New Roman"/>
          <w:b/>
          <w:bCs/>
          <w:sz w:val="24"/>
        </w:rPr>
        <w:t xml:space="preserve">Figure 11: End-to-End Variant Analysis Report.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complete pipeline output for a BRCA1 pathogenic variant, showing: (A) Evo2 delta likelihood score with gene-specific threshold and classification confidence; (B) VEP molecular consequence annotation with HGVS notation; (C) gnomAD population frequency with ancestry-stratified breakdown; (D) ClinVar clinical consensus with review status; (E) CEFN v2 calibrated pathogenicity probability and belief masses; (F) ACMG evidence codes with strengths; (G) RAG-generated clinical summary with source-tagged claims. The report demonstrates the integration of computational prediction, clinical evidence, and explainable narrative into a single clinically actionable output.</w:t>
      </w:r>
      <w:bookmarkEnd w:id="81882"/>
    </w:p>
    <w:bookmarkEnd w:id="122"/>
    <w:bookmarkStart w:id="123" w:name="ism-integrated-classification"/>
    <w:p>
      <w:pPr>
        <w:pStyle w:val="Heading3"/>
      </w:pPr>
      <w:r>
        <w:rPr>
          <w:rFonts w:ascii="Times New Roman" w:hAnsi="Times New Roman" w:eastAsia="Times New Roman" w:cs="Times New Roman"/>
          <w:sz w:val="24"/>
        </w:rPr>
        <w:t xml:space="preserve">1.3 ISM-Integrated Classification</w:t>
      </w:r>
    </w:p>
    <w:p>
      <w:pPr>
        <w:pStyle w:val="FirstParagraph"/>
      </w:pPr>
      <w:r>
        <w:rPr>
          <w:rFonts w:ascii="Times New Roman" w:hAnsi="Times New Roman" w:eastAsia="Times New Roman" w:cs="Times New Roman"/>
          <w:sz w:val="24"/>
        </w:rPr>
        <w:t xml:space="preserve">The ISM scan’s constraint ratio</w:t>
      </w:r>
      <w:r>
        <w:rPr>
          <w:rFonts w:ascii="Times New Roman" w:hAnsi="Times New Roman" w:eastAsia="Times New Roman" w:cs="Times New Roman"/>
          <w:sz w:val="24"/>
        </w:rPr>
        <w:t xml:space="preserve"> </w:t>
      </w:r>
      <m:oMath>
        <m:sSub>
          <m:e>
            <m:r>
              <m:t>f</m:t>
            </m:r>
          </m:e>
          <m:sub>
            <m:r>
              <m:t>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actively modifies ACMG evidence strength: variants in high-constraint zones (</w:t>
      </w:r>
      <m:oMath>
        <m:sSub>
          <m:e>
            <m:r>
              <m:t>f</m:t>
            </m:r>
          </m:e>
          <m:sub>
            <m:r>
              <m:t>c</m:t>
            </m:r>
          </m:sub>
        </m:sSub>
        <m:r>
          <m:rPr>
            <m:sty m:val="p"/>
          </m:rPr>
          <m:t>&gt;</m:t>
        </m:r>
        <m:r>
          <m:t>0.5</m:t>
        </m:r>
      </m:oMath>
      <w:r>
        <w:rPr>
          <w:rFonts w:ascii="Times New Roman" w:hAnsi="Times New Roman" w:eastAsia="Times New Roman" w:cs="Times New Roman"/>
          <w:sz w:val="24"/>
        </w:rPr>
        <w:t xml:space="preserve">) receive upgraded PP3 evidence (Supporting → Moderate), while variants in low-constraint zones (</w:t>
      </w:r>
      <m:oMath>
        <m:sSub>
          <m:e>
            <m:r>
              <m:t>f</m:t>
            </m:r>
          </m:e>
          <m:sub>
            <m:r>
              <m:t>c</m:t>
            </m:r>
          </m:sub>
        </m:sSub>
        <m:r>
          <m:rPr>
            <m:sty m:val="p"/>
          </m:rPr>
          <m:t>≤</m:t>
        </m:r>
        <m:r>
          <m:t>0.2</m:t>
        </m:r>
      </m:oMath>
      <w:r>
        <w:rPr>
          <w:rFonts w:ascii="Times New Roman" w:hAnsi="Times New Roman" w:eastAsia="Times New Roman" w:cs="Times New Roman"/>
          <w:sz w:val="24"/>
        </w:rPr>
        <w:t xml:space="preserve">) have PP3 downgraded. The XAI concordance factor adjusts confidence by ±10% based on Evo2-ISM agreement, providing an interpretable signal for the clinical report. This integration transforms the ISM scan from a standalone visualization into an active evidence contributor — a capability absent from all existing variant effect predictors.</w:t>
      </w:r>
    </w:p>
    <w:p>
      <w:pPr>
        <w:pStyle w:val="BodyText"/>
      </w:pPr>
      <w:r>
        <w:rPr>
          <w:rFonts w:ascii="Times New Roman" w:hAnsi="Times New Roman" w:eastAsia="Times New Roman" w:cs="Times New Roman"/>
          <w:sz w:val="24"/>
        </w:rPr>
        <w:t xml:space="preserve">Figure 12 shows the ISM constraint map for a BRCA1 variant, demonstrating the single-nucleotide resolution heatmap of evolutionary constraint. The variant (C&gt;T at position 0) falls within a highly constrained region, validating the pathogenic computational signal. The heatmap reveals that the surrounding 20 bp window is broadly intolerant to mutation, with most positions showing negative delta scores across all three alternative nucleotides.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backend/paper/figure_ism_scan.png</w:t>
      </w:r>
    </w:p>
    <w:p>
      <w:pPr>
        <w:pStyle w:val="Caption"/>
      </w:pPr>
      <w:bookmarkStart w:id="26321" w:name="_Fig12"/>
      <w:r>
        <w:rPr>
          <w:rFonts w:ascii="Times New Roman" w:hAnsi="Times New Roman" w:eastAsia="Times New Roman" w:cs="Times New Roman"/>
          <w:b/>
          <w:bCs/>
          <w:sz w:val="24"/>
        </w:rPr>
        <w:t xml:space="preserve">Figure 12: Evo2-7B In-Silico Mutagenesis (ISM) Constraint Map for BRCA1.</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(Top)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positional constraint profile across a</w:t>
      </w:r>
      <w:r>
        <w:rPr>
          <w:rFonts w:ascii="Times New Roman" w:hAnsi="Times New Roman" w:eastAsia="Times New Roman" w:cs="Times New Roman"/>
          <w:sz w:val="24"/>
        </w:rPr>
        <w:t xml:space="preserve"> </w:t>
      </w:r>
      <m:oMath>
        <m:r>
          <m:rPr>
            <m:sty m:val="p"/>
          </m:rPr>
          <m:t>±</m:t>
        </m:r>
        <m:r>
          <m:t>20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bp genomic window centered on the variant. The red shaded region indicates loci where the most negative</w:t>
      </w:r>
      <w:r>
        <w:rPr>
          <w:rFonts w:ascii="Times New Roman" w:hAnsi="Times New Roman" w:eastAsia="Times New Roman" w:cs="Times New Roman"/>
          <w:sz w:val="24"/>
        </w:rPr>
        <w:t xml:space="preserve"> </w:t>
      </w:r>
      <m:oMath>
        <m:r>
          <m:t>δ</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log-likelihood shift exceeds the constraint threshold (</w:t>
      </w:r>
      <m:oMath>
        <m:sSub>
          <m:e>
            <m:r>
              <m:t>Δ</m:t>
            </m:r>
          </m:e>
          <m:sub>
            <m:r>
              <m:rPr>
                <m:sty m:val="p"/>
              </m:rPr>
              <m:t>max</m:t>
            </m:r>
          </m:sub>
        </m:sSub>
        <m:d>
          <m:dPr>
            <m:begChr m:val="("/>
            <m:endChr m:val=")"/>
            <m:sepChr m:val=""/>
            <m:grow/>
          </m:dPr>
          <m:e>
            <m:r>
              <m:t>i</m:t>
            </m:r>
          </m:e>
        </m:d>
        <m:r>
          <m:rPr>
            <m:sty m:val="p"/>
          </m:rPr>
          <m:t>&gt;</m:t>
        </m:r>
        <m:r>
          <m:t>0.001</m:t>
        </m:r>
      </m:oMath>
      <w:r>
        <w:rPr>
          <w:rFonts w:ascii="Times New Roman" w:hAnsi="Times New Roman" w:eastAsia="Times New Roman" w:cs="Times New Roman"/>
          <w:sz w:val="24"/>
        </w:rPr>
        <w:t xml:space="preserve">), identifying a highly constrained evolutionary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“valley”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driven by purifying selection.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(Bottom)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single-nucleotide resolution heatmap displaying the</w:t>
      </w:r>
      <w:r>
        <w:rPr>
          <w:rFonts w:ascii="Times New Roman" w:hAnsi="Times New Roman" w:eastAsia="Times New Roman" w:cs="Times New Roman"/>
          <w:sz w:val="24"/>
        </w:rPr>
        <w:t xml:space="preserve"> </w:t>
      </w:r>
      <m:oMath>
        <m:sSub>
          <m:e>
            <m:r>
              <m:t>δ</m:t>
            </m:r>
          </m:e>
          <m:sub>
            <m:r>
              <m:t>i</m:t>
            </m:r>
            <m:r>
              <m:rPr>
                <m:sty m:val="p"/>
              </m:rPr>
              <m:t>,</m:t>
            </m:r>
            <m:r>
              <m:t>a</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score for all possible base substitutions. Reference (wild-type) alleles are indicated by grey boxes (</w:t>
      </w:r>
      <m:oMath>
        <m:r>
          <m:t>δ</m:t>
        </m:r>
        <m:r>
          <m:rPr>
            <m:sty m:val="p"/>
          </m:rPr>
          <m:t>=</m:t>
        </m:r>
        <m:r>
          <m:t>0</m:t>
        </m:r>
      </m:oMath>
      <w:r>
        <w:rPr>
          <w:rFonts w:ascii="Times New Roman" w:hAnsi="Times New Roman" w:eastAsia="Times New Roman" w:cs="Times New Roman"/>
          <w:sz w:val="24"/>
        </w:rPr>
        <w:t xml:space="preserve">). The patient’s specific variant (C&gt;T at position 0) is highlighted, demonstrating that the substitution falls within a region highly intolerant to mutation, thereby validating the pathogenic computational signal derived from the deep language model.</w:t>
      </w:r>
      <w:bookmarkEnd w:id="26321"/>
    </w:p>
    <w:bookmarkEnd w:id="123"/>
    <w:bookmarkStart w:id="124" w:name="crispr-off-target-prediction-2"/>
    <w:p>
      <w:pPr>
        <w:pStyle w:val="Heading3"/>
      </w:pPr>
      <w:r>
        <w:rPr>
          <w:rFonts w:ascii="Times New Roman" w:hAnsi="Times New Roman" w:eastAsia="Times New Roman" w:cs="Times New Roman"/>
          <w:sz w:val="24"/>
        </w:rPr>
        <w:t xml:space="preserve">1.4 CRISPR Off-Target Prediction</w:t>
      </w:r>
    </w:p>
    <w:p>
      <w:pPr>
        <w:pStyle w:val="FirstParagraph"/>
      </w:pPr>
      <w:r>
        <w:rPr>
          <w:rFonts w:ascii="Times New Roman" w:hAnsi="Times New Roman" w:eastAsia="Times New Roman" w:cs="Times New Roman"/>
          <w:sz w:val="24"/>
        </w:rPr>
        <w:t xml:space="preserve">Zero-shot application of Evo2 to CRISPR off-target prediction confirms that evolutionary constraint signals capture cleavage specificity asymmetry. The seed region produces significantly more negative delta scores than the non-seed region (</w:t>
      </w:r>
      <m:oMath>
        <m:sSub>
          <m:e>
            <m:acc>
              <m:accPr>
                <m:chr m:val="‾"/>
              </m:accPr>
              <m:e>
                <m:r>
                  <m:t>Δ</m:t>
                </m:r>
              </m:e>
            </m:acc>
          </m:e>
          <m:sub>
            <m:r>
              <m:rPr>
                <m:nor/>
                <m:sty m:val="p"/>
              </m:rPr>
              <m:t>seed</m:t>
            </m:r>
          </m:sub>
        </m:sSub>
        <m:r>
          <m:rPr>
            <m:sty m:val="p"/>
          </m:rPr>
          <m:t>=</m:t>
        </m:r>
        <m:r>
          <m:rPr>
            <m:sty m:val="p"/>
          </m:rPr>
          <m:t>−</m:t>
        </m:r>
        <m:r>
          <m:t>0.040</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vs. </w:t>
      </w:r>
      <m:oMath>
        <m:sSub>
          <m:e>
            <m:acc>
              <m:accPr>
                <m:chr m:val="‾"/>
              </m:accPr>
              <m:e>
                <m:r>
                  <m:t>Δ</m:t>
                </m:r>
              </m:e>
            </m:acc>
          </m:e>
          <m:sub>
            <m:r>
              <m:rPr>
                <m:nor/>
                <m:sty m:val="p"/>
              </m:rPr>
              <m:t>non-seed</m:t>
            </m:r>
          </m:sub>
        </m:sSub>
        <m:r>
          <m:rPr>
            <m:sty m:val="p"/>
          </m:rPr>
          <m:t>=</m:t>
        </m:r>
        <m:r>
          <m:rPr>
            <m:sty m:val="p"/>
          </m:rPr>
          <m:t>−</m:t>
        </m:r>
        <m:r>
          <m:t>0.018</m:t>
        </m:r>
      </m:oMath>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m:oMath>
        <m:r>
          <m:t>p</m:t>
        </m:r>
        <m:r>
          <m:rPr>
            <m:sty m:val="p"/>
          </m:rPr>
          <m:t>&lt;</m:t>
        </m:r>
        <m:sSup>
          <m:e>
            <m:r>
              <m:t>10</m:t>
            </m:r>
          </m:e>
          <m:sup>
            <m:r>
              <m:rPr>
                <m:sty m:val="p"/>
              </m:rPr>
              <m:t>−</m:t>
            </m:r>
            <m:r>
              <m:t>57</m:t>
            </m:r>
          </m:sup>
        </m:sSup>
      </m:oMath>
      <w:r>
        <w:rPr>
          <w:rFonts w:ascii="Times New Roman" w:hAnsi="Times New Roman" w:eastAsia="Times New Roman" w:cs="Times New Roman"/>
          <w:sz w:val="24"/>
        </w:rPr>
        <w:t xml:space="preserve">), with AUPRC = 0.818. Population-aware analysis across six continental populations reveals stable performance (AUROC variance =</w:t>
      </w:r>
      <w:r>
        <w:rPr>
          <w:rFonts w:ascii="Times New Roman" w:hAnsi="Times New Roman" w:eastAsia="Times New Roman" w:cs="Times New Roman"/>
          <w:sz w:val="24"/>
        </w:rPr>
        <w:t xml:space="preserve"> </w:t>
      </w:r>
      <m:oMath>
        <m:r>
          <m:t>1.006</m:t>
        </m:r>
        <m:r>
          <m:rPr>
            <m:sty m:val="p"/>
          </m:rPr>
          <m:t>×</m:t>
        </m:r>
        <m:sSup>
          <m:e>
            <m:r>
              <m:t>10</m:t>
            </m:r>
          </m:e>
          <m:sup>
            <m:r>
              <m:rPr>
                <m:sty m:val="p"/>
              </m:rPr>
              <m:t>−</m:t>
            </m:r>
            <m:r>
              <m:t>3</m:t>
            </m:r>
          </m:sup>
        </m:sSup>
      </m:oMath>
      <w:r>
        <w:rPr>
          <w:rFonts w:ascii="Times New Roman" w:hAnsi="Times New Roman" w:eastAsia="Times New Roman" w:cs="Times New Roman"/>
          <w:sz w:val="24"/>
        </w:rPr>
        <w:t xml:space="preserve">) and identifies 75 gRNAs with ancestry-conditional off-target risks.</w:t>
      </w:r>
    </w:p>
    <w:p>
      <w:pPr>
        <w:pStyle w:val="BodyText"/>
      </w:pPr>
      <w:r>
        <w:rPr>
          <w:rFonts w:ascii="Times New Roman" w:hAnsi="Times New Roman" w:eastAsia="Times New Roman" w:cs="Times New Roman"/>
          <w:sz w:val="24"/>
        </w:rPr>
        <w:t xml:space="preserve">Figure 13 shows the multi-gene threshold variation across genes and populations, demonstrating the 11.5× threshold variation that necessitates</w:t>
      </w:r>
      <w:r>
        <w:rPr>
          <w:rFonts w:ascii="Times New Roman" w:hAnsi="Times New Roman" w:eastAsia="Times New Roman" w:cs="Times New Roman"/>
          <w:sz w:val="24"/>
        </w:rPr>
        <w:t xml:space="preserve"> </w:t>
      </w:r>
      <m:oMath>
        <m:sSub>
          <m:e>
            <m:r>
              <m:rPr>
                <m:nor/>
                <m:sty m:val="p"/>
              </m:rPr>
              <m:t>AF</m:t>
            </m:r>
          </m:e>
          <m:sub>
            <m:r>
              <m:rPr>
                <m:nor/>
                <m:sty m:val="p"/>
              </m:rPr>
              <m:t>popmax</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calibration. Figure 14 shows population-specific variant risk across all analyzed genes, highlighting variants that are pathogenic in one ancestry group but benign in another due to differential allele frequencies.</w:t>
      </w:r>
    </w:p>
    <w:p>
      <w:pPr>
        <w:pStyle w:val="BodyText"/>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backend/population_aware/production/results/publication_figures/figure1a_multigene_threshold_variation.png</w:t>
      </w:r>
    </w:p>
    <w:p>
      <w:pPr>
        <w:pStyle w:val="Caption"/>
      </w:pPr>
      <w:bookmarkStart w:id="63017" w:name="_Fig13"/>
      <w:r>
        <w:rPr>
          <w:rFonts w:ascii="Times New Roman" w:hAnsi="Times New Roman" w:eastAsia="Times New Roman" w:cs="Times New Roman"/>
          <w:b/>
          <w:bCs/>
          <w:sz w:val="24"/>
        </w:rPr>
        <w:t xml:space="preserve">Figure 13: Global and Population-Specific Variant Risk Profiles.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Multi-gene threshold variation showing how Evo2 delta score thresholds vary across genes and populations. The 11.5</w:t>
      </w:r>
      <m:oMath>
        <m:r>
          <m:rPr>
            <m:sty m:val="p"/>
          </m:rPr>
          <m:t>×</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threshold variation demonstrates the necessity of</w:t>
      </w:r>
      <w:r>
        <w:rPr>
          <w:rFonts w:ascii="Times New Roman" w:hAnsi="Times New Roman" w:eastAsia="Times New Roman" w:cs="Times New Roman"/>
          <w:sz w:val="24"/>
        </w:rPr>
        <w:t xml:space="preserve"> </w:t>
      </w:r>
      <m:oMath>
        <m:sSub>
          <m:e>
            <m:r>
              <m:rPr>
                <m:nor/>
                <m:sty m:val="p"/>
              </m:rPr>
              <m:t>AF</m:t>
            </m:r>
          </m:e>
          <m:sub>
            <m:r>
              <m:rPr>
                <m:nor/>
                <m:sty m:val="p"/>
              </m:rPr>
              <m:t>popmax</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calibration to prevent false-pathogenic classifications in underrepresented ancestral groups.</w:t>
      </w:r>
      <w:bookmarkEnd w:id="63017"/>
    </w:p>
    <w:p>
      <w:pPr>
        <w:pStyle w:val="FirstParagraph"/>
      </w:pPr>
      <w:r>
        <w:rPr>
          <w:rFonts w:ascii="Times New Roman" w:hAnsi="Times New Roman" w:eastAsia="Times New Roman" w:cs="Times New Roman"/>
          <w:b/>
          <w:bCs/>
          <w:sz w:val="24"/>
        </w:rPr>
        <w:t xml:space="preserve">📷 Figure: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backend/population_aware/production/results/publication_figures/FINAL_global_hero_variants.png</w:t>
      </w:r>
    </w:p>
    <w:p>
      <w:pPr>
        <w:pStyle w:val="Caption"/>
      </w:pPr>
      <w:bookmarkStart w:id="56487" w:name="_Fig14"/>
      <w:r>
        <w:rPr>
          <w:rFonts w:ascii="Times New Roman" w:hAnsi="Times New Roman" w:eastAsia="Times New Roman" w:cs="Times New Roman"/>
          <w:b/>
          <w:bCs/>
          <w:sz w:val="24"/>
        </w:rPr>
        <w:t xml:space="preserve">Figure 14: Population-Specific Variant Risk Across Genes.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Population-specific variant risk across all analyzed genes, highlighting variants that are pathogenic in one ancestry group but benign in another due to differential allele frequencies.</w:t>
      </w:r>
      <w:bookmarkEnd w:id="56487"/>
    </w:p>
    <w:bookmarkEnd w:id="124"/>
    <w:bookmarkEnd w:id="125"/>
    <w:bookmarkStart w:id="129" w:name="discussion"/>
    <w:p>
      <w:pPr>
        <w:pStyle w:val="Heading2"/>
      </w:pPr>
      <w:r>
        <w:rPr>
          <w:rFonts w:ascii="Times New Roman" w:hAnsi="Times New Roman" w:eastAsia="Times New Roman" w:cs="Times New Roman"/>
          <w:sz w:val="24"/>
        </w:rPr>
        <w:t xml:space="preserve">2. Discussion</w:t>
      </w:r>
    </w:p>
    <w:bookmarkStart w:id="126" w:name="X2a7a85bbce28ac94e5ba844d9dade85d8332ecc"/>
    <w:p>
      <w:pPr>
        <w:pStyle w:val="Heading3"/>
      </w:pPr>
      <w:r>
        <w:rPr>
          <w:rFonts w:ascii="Times New Roman" w:hAnsi="Times New Roman" w:eastAsia="Times New Roman" w:cs="Times New Roman"/>
          <w:sz w:val="24"/>
        </w:rPr>
        <w:t xml:space="preserve">2.1 Calibrated Uncertainty as a Clinical Requirement</w:t>
      </w:r>
    </w:p>
    <w:p>
      <w:pPr>
        <w:pStyle w:val="FirstParagraph"/>
      </w:pPr>
      <w:r>
        <w:rPr>
          <w:rFonts w:ascii="Times New Roman" w:hAnsi="Times New Roman" w:eastAsia="Times New Roman" w:cs="Times New Roman"/>
          <w:sz w:val="24"/>
        </w:rPr>
        <w:t xml:space="preserve">The most significant finding of this work is that calibrated uncertainty — not raw discriminative accuracy — is the critical missing component in computational variant interpretation. CEFN v2’s AUROC improvement over Evo2-only is modest (0.022) and not statistically significant on the available test set. However, the VUS rate reduction from 66.2% to 1.26% transforms the system from clinically impractical (two-thirds of variants unclassifiable) to clinically useful (98.7% of variants receive a confident classification). This suggests that the field’s focus on AUROC as the primary metric for variant effect prediction may be misplaced: a predictor with AUROC = 0.965 and no uncertainty quantification is less clinically useful than a fused predictor with AUROC = 0.987, ECE = 0.032, and VUS rate = 1.26%.</w:t>
      </w:r>
    </w:p>
    <w:bookmarkEnd w:id="126"/>
    <w:bookmarkStart w:id="127" w:name="the-value-of-architectural-integration"/>
    <w:p>
      <w:pPr>
        <w:pStyle w:val="Heading3"/>
      </w:pPr>
      <w:r>
        <w:rPr>
          <w:rFonts w:ascii="Times New Roman" w:hAnsi="Times New Roman" w:eastAsia="Times New Roman" w:cs="Times New Roman"/>
          <w:sz w:val="24"/>
        </w:rPr>
        <w:t xml:space="preserve">2.2 The Value of Architectural Integration</w:t>
      </w:r>
    </w:p>
    <w:p>
      <w:pPr>
        <w:pStyle w:val="FirstParagraph"/>
      </w:pPr>
      <w:r>
        <w:rPr>
          <w:rFonts w:ascii="Times New Roman" w:hAnsi="Times New Roman" w:eastAsia="Times New Roman" w:cs="Times New Roman"/>
          <w:sz w:val="24"/>
        </w:rPr>
        <w:t xml:space="preserve">The end-to-end evaluation demonstrates that the full pipeline (91.2% directional accuracy) substantially outperforms CEFN v2 alone (87.4%). The 3.8 percentage point improvement is attributable to the upstream components (VEP override with NMD safeguards, gnomAD BA1 short-circuit, MANE Select transcript prioritization) and downstream components (ACMG combining rules, LLM refinement, ISM evidence modification). No single component achieves clinical-grade performance in isolation; the value lies in the integration.</w:t>
      </w:r>
    </w:p>
    <w:bookmarkEnd w:id="127"/>
    <w:bookmarkStart w:id="128" w:name="limitations"/>
    <w:p>
      <w:pPr>
        <w:pStyle w:val="Heading3"/>
      </w:pPr>
      <w:r>
        <w:rPr>
          <w:rFonts w:ascii="Times New Roman" w:hAnsi="Times New Roman" w:eastAsia="Times New Roman" w:cs="Times New Roman"/>
          <w:sz w:val="24"/>
        </w:rPr>
        <w:t xml:space="preserve">2.3 Limitations</w:t>
      </w:r>
    </w:p>
    <w:p>
      <w:pPr>
        <w:pStyle w:val="FirstParagraph"/>
      </w:pPr>
      <w:r>
        <w:rPr>
          <w:rFonts w:ascii="Times New Roman" w:hAnsi="Times New Roman" w:eastAsia="Times New Roman" w:cs="Times New Roman"/>
          <w:sz w:val="24"/>
        </w:rPr>
        <w:t xml:space="preserve">Several limitations should be acknowledged:</w:t>
      </w:r>
    </w:p>
    <w:p>
      <w:pPr>
        <w:numPr>
          <w:ilvl w:val="0"/>
          <w:numId w:val="1007"/>
        </w:numPr>
      </w:pPr>
      <w:r>
        <w:rPr>
          <w:rFonts w:ascii="Times New Roman" w:hAnsi="Times New Roman" w:eastAsia="Times New Roman" w:cs="Times New Roman"/>
          <w:b/>
          <w:bCs/>
          <w:sz w:val="24"/>
        </w:rPr>
        <w:t xml:space="preserve">Gene panel scope.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Gene-specific thresholds are calibrated for five clinically actionable genes (TP53, BRCA1, BRCA2, MSH2, PTEN). Extension to the full ClinVar gene panel requires functional assay data that is currently unavailable for most genes.</w:t>
      </w:r>
    </w:p>
    <w:p>
      <w:pPr>
        <w:numPr>
          <w:ilvl w:val="0"/>
          <w:numId w:val="1007"/>
        </w:numPr>
      </w:pPr>
      <w:r>
        <w:rPr>
          <w:rFonts w:ascii="Times New Roman" w:hAnsi="Times New Roman" w:eastAsia="Times New Roman" w:cs="Times New Roman"/>
          <w:b/>
          <w:bCs/>
          <w:sz w:val="24"/>
        </w:rPr>
        <w:t xml:space="preserve">Shared variance parameters.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z w:val="24"/>
        </w:rPr>
        <w:t xml:space="preserve"> </w:t>
      </w:r>
      <m:oMath>
        <m:sSub>
          <m:e>
            <m:r>
              <m:t>σ</m:t>
            </m:r>
          </m:e>
          <m:sub>
            <m:r>
              <m:rPr>
                <m:nor/>
                <m:sty m:val="p"/>
              </m:rPr>
              <m:t>LOF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σ</m:t>
            </m:r>
          </m:e>
          <m:sub>
            <m:r>
              <m:rPr>
                <m:nor/>
                <m:sty m:val="p"/>
              </m:rPr>
              <m:t>func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parameters are shared across all five genes due to insufficient functional assay data for gene-specific calibration. This introduces a small bias in confidence calibration for non-BRCA1 genes.</w:t>
      </w:r>
    </w:p>
    <w:p>
      <w:pPr>
        <w:numPr>
          <w:ilvl w:val="0"/>
          <w:numId w:val="1007"/>
        </w:numPr>
      </w:pPr>
      <w:r>
        <w:rPr>
          <w:rFonts w:ascii="Times New Roman" w:hAnsi="Times New Roman" w:eastAsia="Times New Roman" w:cs="Times New Roman"/>
          <w:b/>
          <w:bCs/>
          <w:sz w:val="24"/>
        </w:rPr>
        <w:t xml:space="preserve">LLM failure modes.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LLM-in-the-loop components (PubMed synthesis, ACMG adjustment) have a 16% failure rate on edge cases, including over-upgrading PP3 based on domain overlap and introducing new evidence codes despite instructions not to.</w:t>
      </w:r>
    </w:p>
    <w:p>
      <w:pPr>
        <w:numPr>
          <w:ilvl w:val="0"/>
          <w:numId w:val="1007"/>
        </w:numPr>
      </w:pPr>
      <w:r>
        <w:rPr>
          <w:rFonts w:ascii="Times New Roman" w:hAnsi="Times New Roman" w:eastAsia="Times New Roman" w:cs="Times New Roman"/>
          <w:b/>
          <w:bCs/>
          <w:sz w:val="24"/>
        </w:rPr>
        <w:t xml:space="preserve">Non-coding variant coverage.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pipeline is optimized for coding variants. Deep intronic, UTR, and promoter variants lack a classification pathway, though the ISM infrastructure is architecturally ready for this extension.</w:t>
      </w:r>
    </w:p>
    <w:p>
      <w:pPr>
        <w:numPr>
          <w:ilvl w:val="0"/>
          <w:numId w:val="1007"/>
        </w:numPr>
      </w:pPr>
      <w:r>
        <w:rPr>
          <w:rFonts w:ascii="Times New Roman" w:hAnsi="Times New Roman" w:eastAsia="Times New Roman" w:cs="Times New Roman"/>
          <w:b/>
          <w:bCs/>
          <w:sz w:val="24"/>
        </w:rPr>
        <w:t xml:space="preserve">Test set size.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binary test set (</w:t>
      </w:r>
      <m:oMath>
        <m:r>
          <m:t>n</m:t>
        </m:r>
        <m:r>
          <m:rPr>
            <m:sty m:val="p"/>
          </m:rPr>
          <m:t>=</m:t>
        </m:r>
        <m:r>
          <m:t>199</m:t>
        </m:r>
      </m:oMath>
      <w:r>
        <w:rPr>
          <w:rFonts w:ascii="Times New Roman" w:hAnsi="Times New Roman" w:eastAsia="Times New Roman" w:cs="Times New Roman"/>
          <w:sz w:val="24"/>
        </w:rPr>
        <w:t xml:space="preserve">) limits statistical power for detecting small AUROC differences. The 95% DeLong confidence intervals for CEFN v2 and Evo2-only overlap substantially, and the 2.2 percentage point improvement is not statistically significant at</w:t>
      </w:r>
      <w:r>
        <w:rPr>
          <w:rFonts w:ascii="Times New Roman" w:hAnsi="Times New Roman" w:eastAsia="Times New Roman" w:cs="Times New Roman"/>
          <w:sz w:val="24"/>
        </w:rPr>
        <w:t xml:space="preserve"> </w:t>
      </w:r>
      <m:oMath>
        <m:r>
          <m:t>α</m:t>
        </m:r>
        <m:r>
          <m:rPr>
            <m:sty m:val="p"/>
          </m:rPr>
          <m:t>=</m:t>
        </m:r>
        <m:r>
          <m:t>0.05</m:t>
        </m:r>
      </m:oMath>
      <w:r>
        <w:rPr>
          <w:rFonts w:ascii="Times New Roman" w:hAnsi="Times New Roman" w:eastAsia="Times New Roman" w:cs="Times New Roman"/>
          <w:sz w:val="24"/>
        </w:rPr>
        <w:t xml:space="preserve">.</w:t>
      </w:r>
    </w:p>
    <w:p>
      <w:pPr>
        <w:numPr>
          <w:ilvl w:val="0"/>
          <w:numId w:val="1007"/>
        </w:numPr>
      </w:pPr>
      <w:r>
        <w:rPr>
          <w:rFonts w:ascii="Times New Roman" w:hAnsi="Times New Roman" w:eastAsia="Times New Roman" w:cs="Times New Roman"/>
          <w:b/>
          <w:bCs/>
          <w:sz w:val="24"/>
        </w:rPr>
        <w:t xml:space="preserve">LLM dependency.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pipeline relies on Llama 3.3 70B for literature synthesis, disagreement explanation, and ACMG refinement. While the open-weight model enables reproducible deployment, its 16% failure rate on edge cases introduces a source of non-determinism that is acknowledged as a limitation.</w:t>
      </w:r>
    </w:p>
    <w:p>
      <w:r>
        <w:rPr>
          <w:rFonts w:ascii="Times New Roman" w:hAnsi="Times New Roman" w:eastAsia="Times New Roman" w:cs="Times New Roman"/>
          <w:sz w:val="24"/>
        </w:rPr>
        <w:pict>
          <v:rect style="width:0;height:1.5pt" o:hralign="center" o:hrstd="t" o:hr="t"/>
        </w:pict>
      </w:r>
    </w:p>
    <w:bookmarkEnd w:id="128"/>
    <w:bookmarkEnd w:id="129"/>
    <w:bookmarkEnd w:id="130"/>
    <w:bookmarkStart w:id="138" w:name="future-scope"/>
    <w:p>
      <w:pPr>
        <w:pStyle w:val="Heading1"/>
      </w:pPr>
      <w:r>
        <w:rPr>
          <w:rFonts w:ascii="Times New Roman" w:hAnsi="Times New Roman" w:eastAsia="Times New Roman" w:cs="Times New Roman"/>
          <w:sz w:val="24"/>
        </w:rPr>
        <w:t xml:space="preserve">Future Scope</w:t>
      </w:r>
    </w:p>
    <w:bookmarkStart w:id="131" w:name="non-coding-variant-pathway"/>
    <w:p>
      <w:pPr>
        <w:pStyle w:val="Heading2"/>
      </w:pPr>
      <w:r>
        <w:rPr>
          <w:rFonts w:ascii="Times New Roman" w:hAnsi="Times New Roman" w:eastAsia="Times New Roman" w:cs="Times New Roman"/>
          <w:sz w:val="24"/>
        </w:rPr>
        <w:t xml:space="preserve">1. Non-Coding Variant Pathway</w:t>
      </w:r>
    </w:p>
    <w:p>
      <w:pPr>
        <w:pStyle w:val="FirstParagraph"/>
      </w:pPr>
      <w:r>
        <w:rPr>
          <w:rFonts w:ascii="Times New Roman" w:hAnsi="Times New Roman" w:eastAsia="Times New Roman" w:cs="Times New Roman"/>
          <w:sz w:val="24"/>
        </w:rPr>
        <w:t xml:space="preserve">The current pipeline is optimized for coding variants (missense, nonsense, frameshift, splice site). Non-coding variants (deep intronic, UTR, promoter, intergenic) represent a significant fraction of ClinVar submissions but require a modified classification framework:</w:t>
      </w:r>
    </w:p>
    <w:p>
      <w:pPr>
        <w:pStyle w:val="Compact"/>
        <w:numPr>
          <w:ilvl w:val="0"/>
          <w:numId w:val="1008"/>
        </w:numPr>
      </w:pPr>
      <w:r>
        <w:rPr>
          <w:rFonts w:ascii="Times New Roman" w:hAnsi="Times New Roman" w:eastAsia="Times New Roman" w:cs="Times New Roman"/>
          <w:b/>
          <w:bCs/>
          <w:sz w:val="24"/>
        </w:rPr>
        <w:t xml:space="preserve">ISM as primary evidence</w:t>
      </w:r>
      <w:r>
        <w:rPr>
          <w:rFonts w:ascii="Times New Roman" w:hAnsi="Times New Roman" w:eastAsia="Times New Roman" w:cs="Times New Roman"/>
          <w:sz w:val="24"/>
        </w:rPr>
        <w:t xml:space="preserve">: For non-coding variants lacking AlphaMissense scores, the constraint ratio</w:t>
      </w:r>
      <w:r>
        <w:rPr>
          <w:rFonts w:ascii="Times New Roman" w:hAnsi="Times New Roman" w:eastAsia="Times New Roman" w:cs="Times New Roman"/>
          <w:sz w:val="24"/>
        </w:rPr>
        <w:t xml:space="preserve"> </w:t>
      </w:r>
      <m:oMath>
        <m:sSub>
          <m:e>
            <m:r>
              <m:t>f</m:t>
            </m:r>
          </m:e>
          <m:sub>
            <m:r>
              <m:t>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could substitute for CEFN v2 probability, with a universal non-coding threshold</w:t>
      </w:r>
      <w:r>
        <w:rPr>
          <w:rFonts w:ascii="Times New Roman" w:hAnsi="Times New Roman" w:eastAsia="Times New Roman" w:cs="Times New Roman"/>
          <w:sz w:val="24"/>
        </w:rPr>
        <w:t xml:space="preserve"> </w:t>
      </w:r>
      <m:oMath>
        <m:sSub>
          <m:e>
            <m:r>
              <m:t>τ</m:t>
            </m:r>
          </m:e>
          <m:sub>
            <m:r>
              <m:rPr>
                <m:nor/>
                <m:sty m:val="p"/>
              </m:rPr>
              <m:t>nc</m:t>
            </m:r>
          </m:sub>
        </m:sSub>
        <m:r>
          <m:rPr>
            <m:sty m:val="p"/>
          </m:rPr>
          <m:t>=</m:t>
        </m:r>
        <m:r>
          <m:rPr>
            <m:sty m:val="p"/>
          </m:rPr>
          <m:t>−</m:t>
        </m:r>
        <m:r>
          <m:t>0.005</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calibrated from the distribution of delta scores at known regulatory elements in the Ensembl Regulatory Build.</w:t>
      </w:r>
    </w:p>
    <w:p>
      <w:pPr>
        <w:pStyle w:val="Compact"/>
        <w:numPr>
          <w:ilvl w:val="0"/>
          <w:numId w:val="1008"/>
        </w:numPr>
      </w:pPr>
      <w:r>
        <w:rPr>
          <w:rFonts w:ascii="Times New Roman" w:hAnsi="Times New Roman" w:eastAsia="Times New Roman" w:cs="Times New Roman"/>
          <w:b/>
          <w:bCs/>
          <w:sz w:val="24"/>
        </w:rPr>
        <w:t xml:space="preserve">SpliceAI integration</w:t>
      </w:r>
      <w:r>
        <w:rPr>
          <w:rFonts w:ascii="Times New Roman" w:hAnsi="Times New Roman" w:eastAsia="Times New Roman" w:cs="Times New Roman"/>
          <w:sz w:val="24"/>
        </w:rPr>
        <w:t xml:space="preserve">: Intronic variants within 300 bp of exon boundaries would require SpliceAI delta scores [73] as an additional evidence stream, with</w:t>
      </w:r>
      <w:r>
        <w:rPr>
          <w:rFonts w:ascii="Times New Roman" w:hAnsi="Times New Roman" w:eastAsia="Times New Roman" w:cs="Times New Roman"/>
          <w:sz w:val="24"/>
        </w:rPr>
        <w:t xml:space="preserve"> </w:t>
      </w:r>
      <m:oMath>
        <m:r>
          <m:t>Δ</m:t>
        </m:r>
        <m:r>
          <m:rPr>
            <m:sty m:val="p"/>
          </m:rPr>
          <m:t>≥</m:t>
        </m:r>
        <m:r>
          <m:t>0.2</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triggering reclassification from MODIFIER to HIGH impact.</w:t>
      </w:r>
    </w:p>
    <w:p>
      <w:pPr>
        <w:pStyle w:val="Compact"/>
        <w:numPr>
          <w:ilvl w:val="0"/>
          <w:numId w:val="1008"/>
        </w:numPr>
      </w:pPr>
      <w:r>
        <w:rPr>
          <w:rFonts w:ascii="Times New Roman" w:hAnsi="Times New Roman" w:eastAsia="Times New Roman" w:cs="Times New Roman"/>
          <w:b/>
          <w:bCs/>
          <w:sz w:val="24"/>
        </w:rPr>
        <w:t xml:space="preserve">Modified ACMG mapping</w:t>
      </w:r>
      <w:r>
        <w:rPr>
          <w:rFonts w:ascii="Times New Roman" w:hAnsi="Times New Roman" w:eastAsia="Times New Roman" w:cs="Times New Roman"/>
          <w:sz w:val="24"/>
        </w:rPr>
        <w:t xml:space="preserve">: PVS1 is inapplicable to non-coding variants; classification would rely on PP3/BP4 modifications from ISM constraint and computational splice effect predictors, requiring multiple Supporting + Moderate codes for a Likely Pathogenic classification.</w:t>
      </w:r>
    </w:p>
    <w:p>
      <w:pPr>
        <w:pStyle w:val="FirstParagraph"/>
      </w:pPr>
      <w:r>
        <w:rPr>
          <w:rFonts w:ascii="Times New Roman" w:hAnsi="Times New Roman" w:eastAsia="Times New Roman" w:cs="Times New Roman"/>
          <w:sz w:val="24"/>
        </w:rPr>
        <w:t xml:space="preserve">This extension is architecturally supported by the existing ISM scan infrastructure and the SpliceAI tool deployment, but requires clinical validation before deployment.</w:t>
      </w:r>
    </w:p>
    <w:bookmarkEnd w:id="131"/>
    <w:bookmarkStart w:id="132" w:name="X1042d2c78a09fc4f77c092129da15be0060589b"/>
    <w:p>
      <w:pPr>
        <w:pStyle w:val="Heading2"/>
      </w:pPr>
      <w:r>
        <w:rPr>
          <w:rFonts w:ascii="Times New Roman" w:hAnsi="Times New Roman" w:eastAsia="Times New Roman" w:cs="Times New Roman"/>
          <w:sz w:val="24"/>
        </w:rPr>
        <w:t xml:space="preserve">2. Attention Visualization for DNA Foundation Models</w:t>
      </w:r>
    </w:p>
    <w:p>
      <w:pPr>
        <w:pStyle w:val="FirstParagraph"/>
      </w:pPr>
      <w:r>
        <w:rPr>
          <w:rFonts w:ascii="Times New Roman" w:hAnsi="Times New Roman" w:eastAsia="Times New Roman" w:cs="Times New Roman"/>
          <w:sz w:val="24"/>
        </w:rPr>
        <w:t xml:space="preserve">Vision transformers have attention visualization (Grad-CAM). DNA transformers like Evo2 have no equivalent. No one knows where Evo2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“looks”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when scoring a variant. Implementing attention extraction from Evo2’s StripedHyena layers would provide mechanistic insight: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“Evo2 attends to a known splice enhancer 300 bp away”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is the kind of mechanistic explanation that would strengthen the explainability contribution.</w:t>
      </w:r>
    </w:p>
    <w:bookmarkEnd w:id="132"/>
    <w:bookmarkStart w:id="133" w:name="X22534bcb3f9e207ac233035cc6555fa1af7991c"/>
    <w:p>
      <w:pPr>
        <w:pStyle w:val="Heading2"/>
      </w:pPr>
      <w:r>
        <w:rPr>
          <w:rFonts w:ascii="Times New Roman" w:hAnsi="Times New Roman" w:eastAsia="Times New Roman" w:cs="Times New Roman"/>
          <w:sz w:val="24"/>
        </w:rPr>
        <w:t xml:space="preserve">3. Conformal Prediction for Clinical Calibration</w:t>
      </w:r>
    </w:p>
    <w:p>
      <w:pPr>
        <w:pStyle w:val="FirstParagraph"/>
      </w:pPr>
      <w:r>
        <w:rPr>
          <w:rFonts w:ascii="Times New Roman" w:hAnsi="Times New Roman" w:eastAsia="Times New Roman" w:cs="Times New Roman"/>
          <w:sz w:val="24"/>
        </w:rPr>
        <w:t xml:space="preserve">All tools currently report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“confidence = 87%”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but this is not a statistical guarantee. Adding conformal prediction would guarantee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“95% of pathogenic predictions are actually pathogenic,”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providing the statistical rigor that clinicians require for clinical adoption.</w:t>
      </w:r>
    </w:p>
    <w:bookmarkEnd w:id="133"/>
    <w:bookmarkStart w:id="134" w:name="gene-specific-variance-calibration"/>
    <w:p>
      <w:pPr>
        <w:pStyle w:val="Heading2"/>
      </w:pPr>
      <w:r>
        <w:rPr>
          <w:rFonts w:ascii="Times New Roman" w:hAnsi="Times New Roman" w:eastAsia="Times New Roman" w:cs="Times New Roman"/>
          <w:sz w:val="24"/>
        </w:rPr>
        <w:t xml:space="preserve">4. Gene-Specific Variance Calibration</w:t>
      </w:r>
    </w:p>
    <w:p>
      <w:pPr>
        <w:pStyle w:val="FirstParagraph"/>
      </w:pPr>
      <w:r>
        <w:rPr>
          <w:rFonts w:ascii="Times New Roman" w:hAnsi="Times New Roman" w:eastAsia="Times New Roman" w:cs="Times New Roman"/>
          <w:sz w:val="24"/>
        </w:rPr>
        <w:t xml:space="preserve">As larger saturation mutagenesis datasets become available for additional genes (e.g., the Atlas of Variant Effects [99]), gene-specific</w:t>
      </w:r>
      <w:r>
        <w:rPr>
          <w:rFonts w:ascii="Times New Roman" w:hAnsi="Times New Roman" w:eastAsia="Times New Roman" w:cs="Times New Roman"/>
          <w:sz w:val="24"/>
        </w:rPr>
        <w:t xml:space="preserve"> </w:t>
      </w:r>
      <m:oMath>
        <m:sSub>
          <m:e>
            <m:r>
              <m:t>σ</m:t>
            </m:r>
          </m:e>
          <m:sub>
            <m:r>
              <m:rPr>
                <m:nor/>
                <m:sty m:val="p"/>
              </m:rPr>
              <m:t>LOF</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z w:val="24"/>
        </w:rPr>
        <w:t xml:space="preserve"> </w:t>
      </w:r>
      <m:oMath>
        <m:sSub>
          <m:e>
            <m:r>
              <m:t>σ</m:t>
            </m:r>
          </m:e>
          <m:sub>
            <m:r>
              <m:rPr>
                <m:nor/>
                <m:sty m:val="p"/>
              </m:rPr>
              <m:t>func</m:t>
            </m:r>
          </m:sub>
        </m:sSub>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values will replace the shared parameters, improving confidence calibration for non-BRCA1 genes.</w:t>
      </w:r>
    </w:p>
    <w:bookmarkEnd w:id="134"/>
    <w:bookmarkStart w:id="135" w:name="Xc77e0b33c45c5dc4bd9d85bfc04636b4a9ff0b5"/>
    <w:p>
      <w:pPr>
        <w:pStyle w:val="Heading2"/>
      </w:pPr>
      <w:r>
        <w:rPr>
          <w:rFonts w:ascii="Times New Roman" w:hAnsi="Times New Roman" w:eastAsia="Times New Roman" w:cs="Times New Roman"/>
          <w:sz w:val="24"/>
        </w:rPr>
        <w:t xml:space="preserve">5. ESMFold WT vs. Mutant Structure Comparison</w:t>
      </w:r>
    </w:p>
    <w:p>
      <w:pPr>
        <w:pStyle w:val="FirstParagraph"/>
      </w:pPr>
      <w:r>
        <w:rPr>
          <w:rFonts w:ascii="Times New Roman" w:hAnsi="Times New Roman" w:eastAsia="Times New Roman" w:cs="Times New Roman"/>
          <w:sz w:val="24"/>
        </w:rPr>
        <w:t xml:space="preserve">ESMFold could predict both wild-type and mutant structures, enabling computation of RMSD (structural deviation) and SASA (solvent accessible surface area) change.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mutant structure deviates by 2.3 Å RMSD and buries a previously exposed glutamate”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would provide a mechanistic explanation for pathogenicity that complements the sequence-level Evo2 score.</w:t>
      </w:r>
    </w:p>
    <w:bookmarkEnd w:id="135"/>
    <w:bookmarkStart w:id="136" w:name="Xd6ab31cb3a7ded751e06f4eb1f0d0435c0b881f"/>
    <w:p>
      <w:pPr>
        <w:pStyle w:val="Heading2"/>
      </w:pPr>
      <w:r>
        <w:rPr>
          <w:rFonts w:ascii="Times New Roman" w:hAnsi="Times New Roman" w:eastAsia="Times New Roman" w:cs="Times New Roman"/>
          <w:sz w:val="24"/>
        </w:rPr>
        <w:t xml:space="preserve">6. AlphaFold-Multimer for Protein-Protein Interaction Disruption</w:t>
      </w:r>
    </w:p>
    <w:p>
      <w:pPr>
        <w:pStyle w:val="FirstParagraph"/>
      </w:pPr>
      <w:r>
        <w:rPr>
          <w:rFonts w:ascii="Times New Roman" w:hAnsi="Times New Roman" w:eastAsia="Times New Roman" w:cs="Times New Roman"/>
          <w:sz w:val="24"/>
        </w:rPr>
        <w:t xml:space="preserve">For variants at protein-protein interaction interfaces (e.g., BRCA1-PALB2), AlphaFold-Multimer could predict both WT and mutant complex structures, computing interface score changes to test whether the variant weakens the interaction.</w:t>
      </w:r>
    </w:p>
    <w:bookmarkEnd w:id="136"/>
    <w:bookmarkStart w:id="137" w:name="X8d712bc98c9e43e4e81586f3da05d7fe843ff8a"/>
    <w:p>
      <w:pPr>
        <w:pStyle w:val="Heading2"/>
      </w:pPr>
      <w:r>
        <w:rPr>
          <w:rFonts w:ascii="Times New Roman" w:hAnsi="Times New Roman" w:eastAsia="Times New Roman" w:cs="Times New Roman"/>
          <w:sz w:val="24"/>
        </w:rPr>
        <w:t xml:space="preserve">7. Expanded Gene Panel and Functional Assay Integration</w:t>
      </w:r>
    </w:p>
    <w:p>
      <w:pPr>
        <w:pStyle w:val="FirstParagraph"/>
      </w:pPr>
      <w:r>
        <w:rPr>
          <w:rFonts w:ascii="Times New Roman" w:hAnsi="Times New Roman" w:eastAsia="Times New Roman" w:cs="Times New Roman"/>
          <w:sz w:val="24"/>
        </w:rPr>
        <w:t xml:space="preserve">The current five-gene panel should be expanded to cover all ClinGen-curated genes with known disease mechanisms. Integration with functional assay databases (e.g., the Atlas of Variant Effects) would enable gene-specific threshold and variance calibration, replacing the shared</w:t>
      </w:r>
      <w:r>
        <w:rPr>
          <w:rFonts w:ascii="Times New Roman" w:hAnsi="Times New Roman" w:eastAsia="Times New Roman" w:cs="Times New Roman"/>
          <w:sz w:val="24"/>
        </w:rPr>
        <w:t xml:space="preserve"> </w:t>
      </w:r>
      <m:oMath>
        <m:r>
          <m:t>σ</m:t>
        </m:r>
      </m:oMath>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parameters with data-driven per-gene estimates.</w:t>
      </w:r>
    </w:p>
    <w:p>
      <w:r>
        <w:rPr>
          <w:rFonts w:ascii="Times New Roman" w:hAnsi="Times New Roman" w:eastAsia="Times New Roman" w:cs="Times New Roman"/>
          <w:sz w:val="24"/>
        </w:rPr>
        <w:pict>
          <v:rect style="width:0;height:1.5pt" o:hralign="center" o:hrstd="t" o:hr="t"/>
        </w:pict>
      </w:r>
    </w:p>
    <w:bookmarkEnd w:id="137"/>
    <w:bookmarkEnd w:id="138"/>
    <w:bookmarkStart w:id="140" w:name="conclusion"/>
    <w:p>
      <w:pPr>
        <w:pStyle w:val="Heading1"/>
      </w:pPr>
      <w:r>
        <w:rPr>
          <w:rFonts w:ascii="Times New Roman" w:hAnsi="Times New Roman" w:eastAsia="Times New Roman" w:cs="Times New Roman"/>
          <w:sz w:val="24"/>
        </w:rPr>
        <w:t xml:space="preserve">Conclusion</w:t>
      </w:r>
    </w:p>
    <w:p>
      <w:pPr>
        <w:pStyle w:val="FirstParagraph"/>
      </w:pPr>
      <w:r>
        <w:rPr>
          <w:rFonts w:ascii="Times New Roman" w:hAnsi="Times New Roman" w:eastAsia="Times New Roman" w:cs="Times New Roman"/>
          <w:sz w:val="24"/>
        </w:rPr>
        <w:t xml:space="preserve">We have presented HelixMind, an agentic bioinformatics pipeline that integrates a 7-billion-parameter DNA foundation model, a protein language model, a novel evidential fusion network, and an autonomous tool-calling agent into a unified system for clinical variant interpretation. The system addresses three critical gaps in current practice: (i) the VUS collapse problem, resolved by CEFN v2’s predictor-specific missing embeddings and fixed Dirichlet parameter constraint (VUS rate reduced from 66.2% to 1.26%); (ii) the explainability gap, addressed by tri-modal RAG with source-tagged claims and ISM-integrated evidence modification; and (iii) the tool orchestration challenge, solved by a 31-tool, 3-tier autonomous agent with self-healing.</w:t>
      </w:r>
    </w:p>
    <w:p>
      <w:pPr>
        <w:pStyle w:val="BodyText"/>
      </w:pPr>
      <w:r>
        <w:rPr>
          <w:rFonts w:ascii="Times New Roman" w:hAnsi="Times New Roman" w:eastAsia="Times New Roman" w:cs="Times New Roman"/>
          <w:sz w:val="24"/>
        </w:rPr>
        <w:t xml:space="preserve">The full pipeline achieves 91.2% directional accuracy against ClinVar expert panel classifications, demonstrating that the integrated system outperforms any individual component. The end-to-end evaluation — including error analysis of 34 discordant cases — provides actionable insights for future improvement, particularly the need for non-coding variant classification and gene-specific variance calibration.</w:t>
      </w:r>
    </w:p>
    <w:p>
      <w:pPr>
        <w:pStyle w:val="BodyText"/>
      </w:pPr>
      <w:r>
        <w:rPr>
          <w:rFonts w:ascii="Times New Roman" w:hAnsi="Times New Roman" w:eastAsia="Times New Roman" w:cs="Times New Roman"/>
          <w:sz w:val="24"/>
        </w:rPr>
        <w:t xml:space="preserve">The primary contribution of this work is not any single component but the architectural integration: demonstrating that DNA foundation models, protein language models, evidential deep learning, clinical databases, autonomous agents, and structure prediction can be combined into a clinically useful pipeline with calibrated uncertainty and explainable outputs. As DNA foundation models continue to scale and functional assay data becomes more widely available, the approach described here — multi-modal evidential fusion with calibrated uncertainty, ISM-integrated classification, and autonomous tool orchestration — provides a template for the next generation of clinical variant interpretation systems.</w:t>
      </w:r>
    </w:p>
    <w:p>
      <w:r>
        <w:rPr>
          <w:rFonts w:ascii="Times New Roman" w:hAnsi="Times New Roman" w:eastAsia="Times New Roman" w:cs="Times New Roman"/>
          <w:sz w:val="24"/>
        </w:rPr>
        <w:pict>
          <v:rect style="width:0;height:1.5pt" o:hralign="center" o:hrstd="t" o:hr="t"/>
        </w:pict>
      </w:r>
    </w:p>
    <w:bookmarkStart w:id="139" w:name="references"/>
    <w:p>
      <w:pPr>
        <w:pStyle w:val="Heading2"/>
      </w:pPr>
      <w:r>
        <w:rPr>
          <w:rFonts w:ascii="Times New Roman" w:hAnsi="Times New Roman" w:eastAsia="Times New Roman" w:cs="Times New Roman"/>
          <w:sz w:val="24"/>
        </w:rPr>
        <w:t xml:space="preserve">References</w:t>
      </w:r>
    </w:p>
    <w:p>
      <w:pPr>
        <w:pStyle w:val="FirstParagraph"/>
      </w:pPr>
      <w:r>
        <w:rPr>
          <w:rFonts w:ascii="Times New Roman" w:hAnsi="Times New Roman" w:eastAsia="Times New Roman" w:cs="Times New Roman"/>
          <w:sz w:val="24"/>
        </w:rPr>
        <w:t xml:space="preserve">[1] Nguyen, T.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“Evo2: A 7-billion-parameter DNA language model for genome-scale prediction.”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bioRxiv</w:t>
      </w:r>
      <w:r>
        <w:rPr>
          <w:rFonts w:ascii="Times New Roman" w:hAnsi="Times New Roman" w:eastAsia="Times New Roman" w:cs="Times New Roman"/>
          <w:sz w:val="24"/>
        </w:rPr>
        <w:t xml:space="preserve">, doi:10.1101/2025.02.18.638911.</w:t>
      </w:r>
    </w:p>
    <w:p>
      <w:pPr>
        <w:pStyle w:val="BodyText"/>
      </w:pPr>
      <w:r>
        <w:rPr>
          <w:rFonts w:ascii="Times New Roman" w:hAnsi="Times New Roman" w:eastAsia="Times New Roman" w:cs="Times New Roman"/>
          <w:sz w:val="24"/>
        </w:rPr>
        <w:t xml:space="preserve">[2] Cheng, J.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“Accurate proteome-wide missense variant effect prediction with AlphaMissense.”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Science</w:t>
      </w:r>
      <w:r>
        <w:rPr>
          <w:rFonts w:ascii="Times New Roman" w:hAnsi="Times New Roman" w:eastAsia="Times New Roman" w:cs="Times New Roman"/>
          <w:sz w:val="24"/>
        </w:rPr>
        <w:t xml:space="preserve">, 381(6664), eadg7492.</w:t>
      </w:r>
    </w:p>
    <w:p>
      <w:pPr>
        <w:pStyle w:val="BodyText"/>
      </w:pPr>
      <w:r>
        <w:rPr>
          <w:rFonts w:ascii="Times New Roman" w:hAnsi="Times New Roman" w:eastAsia="Times New Roman" w:cs="Times New Roman"/>
          <w:sz w:val="24"/>
        </w:rPr>
        <w:t xml:space="preserve">[3] Kircher, M. et al. (2014).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general framework for estimating the relative pathogenicity of human genetic variants.”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Genetics</w:t>
      </w:r>
      <w:r>
        <w:rPr>
          <w:rFonts w:ascii="Times New Roman" w:hAnsi="Times New Roman" w:eastAsia="Times New Roman" w:cs="Times New Roman"/>
          <w:sz w:val="24"/>
        </w:rPr>
        <w:t xml:space="preserve">, 46, 310–315.</w:t>
      </w:r>
    </w:p>
    <w:p>
      <w:pPr>
        <w:pStyle w:val="BodyText"/>
      </w:pPr>
      <w:r>
        <w:rPr>
          <w:rFonts w:ascii="Times New Roman" w:hAnsi="Times New Roman" w:eastAsia="Times New Roman" w:cs="Times New Roman"/>
          <w:sz w:val="24"/>
        </w:rPr>
        <w:t xml:space="preserve">[4] Ioannidis, N.M. et al.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“REVEL: An ensemble method for predicting the pathogenicity of rare missense variants.”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American Journal of Human Genetics</w:t>
      </w:r>
      <w:r>
        <w:rPr>
          <w:rFonts w:ascii="Times New Roman" w:hAnsi="Times New Roman" w:eastAsia="Times New Roman" w:cs="Times New Roman"/>
          <w:sz w:val="24"/>
        </w:rPr>
        <w:t xml:space="preserve">, 99(4), 877–885.</w:t>
      </w:r>
    </w:p>
    <w:p>
      <w:pPr>
        <w:pStyle w:val="BodyText"/>
      </w:pPr>
      <w:r>
        <w:rPr>
          <w:rFonts w:ascii="Times New Roman" w:hAnsi="Times New Roman" w:eastAsia="Times New Roman" w:cs="Times New Roman"/>
          <w:sz w:val="24"/>
        </w:rPr>
        <w:t xml:space="preserve">[5] Richards, S. et al. (2015).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“Standards and guidelines for the interpretation of sequence variants: A joint consensus recommendation of the American College of Medical Genetics and Genomics and the Association for Molecular Pathology.”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Genetics in Medicine</w:t>
      </w:r>
      <w:r>
        <w:rPr>
          <w:rFonts w:ascii="Times New Roman" w:hAnsi="Times New Roman" w:eastAsia="Times New Roman" w:cs="Times New Roman"/>
          <w:sz w:val="24"/>
        </w:rPr>
        <w:t xml:space="preserve">, 17(5), 405–424.</w:t>
      </w:r>
    </w:p>
    <w:p>
      <w:pPr>
        <w:pStyle w:val="BodyText"/>
      </w:pPr>
      <w:r>
        <w:rPr>
          <w:rFonts w:ascii="Times New Roman" w:hAnsi="Times New Roman" w:eastAsia="Times New Roman" w:cs="Times New Roman"/>
          <w:sz w:val="24"/>
        </w:rPr>
        <w:t xml:space="preserve">[6] Findlay, G.M. et al. (2018).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“Accurate classification of BRCA1 variants with saturation genome editing.”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562, 217–222.</w:t>
      </w:r>
    </w:p>
    <w:p>
      <w:pPr>
        <w:pStyle w:val="BodyText"/>
      </w:pPr>
      <w:r>
        <w:rPr>
          <w:rFonts w:ascii="Times New Roman" w:hAnsi="Times New Roman" w:eastAsia="Times New Roman" w:cs="Times New Roman"/>
          <w:sz w:val="24"/>
        </w:rPr>
        <w:t xml:space="preserve">[7] Karczewski, K.J.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mutational constraint spectrum quantified from variation in 141,456 humans.”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581, 434–443.</w:t>
      </w:r>
    </w:p>
    <w:p>
      <w:pPr>
        <w:pStyle w:val="BodyText"/>
      </w:pPr>
      <w:r>
        <w:rPr>
          <w:rFonts w:ascii="Times New Roman" w:hAnsi="Times New Roman" w:eastAsia="Times New Roman" w:cs="Times New Roman"/>
          <w:sz w:val="24"/>
        </w:rPr>
        <w:t xml:space="preserve">[8] Sensoy, M., Kaplan, L. &amp; Kandemir, M. (2018).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“Evidential deep learning to quantify classification uncertainty.”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31.</w:t>
      </w:r>
    </w:p>
    <w:p>
      <w:pPr>
        <w:pStyle w:val="BodyText"/>
      </w:pPr>
      <w:r>
        <w:rPr>
          <w:rFonts w:ascii="Times New Roman" w:hAnsi="Times New Roman" w:eastAsia="Times New Roman" w:cs="Times New Roman"/>
          <w:sz w:val="24"/>
        </w:rPr>
        <w:t xml:space="preserve">[9] Zaheer, M. et al.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“Deep sets.”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30.</w:t>
      </w:r>
    </w:p>
    <w:p>
      <w:pPr>
        <w:pStyle w:val="BodyText"/>
      </w:pPr>
      <w:r>
        <w:rPr>
          <w:rFonts w:ascii="Times New Roman" w:hAnsi="Times New Roman" w:eastAsia="Times New Roman" w:cs="Times New Roman"/>
          <w:sz w:val="24"/>
        </w:rPr>
        <w:t xml:space="preserve">[10] Platt, J. (1999).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“Probabilistic outputs for support vector machines and comparisons to regularized likelihood methods.”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Large Margin Classifiers</w:t>
      </w:r>
      <w:r>
        <w:rPr>
          <w:rFonts w:ascii="Times New Roman" w:hAnsi="Times New Roman" w:eastAsia="Times New Roman" w:cs="Times New Roman"/>
          <w:sz w:val="24"/>
        </w:rPr>
        <w:t xml:space="preserve">, 61–74.</w:t>
      </w:r>
    </w:p>
    <w:p>
      <w:pPr>
        <w:pStyle w:val="BodyText"/>
      </w:pPr>
      <w:r>
        <w:rPr>
          <w:rFonts w:ascii="Times New Roman" w:hAnsi="Times New Roman" w:eastAsia="Times New Roman" w:cs="Times New Roman"/>
          <w:sz w:val="24"/>
        </w:rPr>
        <w:t xml:space="preserve">[11] Guo, C., Pleiss, G., Sun, Y. &amp; Weinberger, K.Q.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“On calibration of modern neural networks.”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34th International Conference on Machine Learning (ICML)</w:t>
      </w:r>
      <w:r>
        <w:rPr>
          <w:rFonts w:ascii="Times New Roman" w:hAnsi="Times New Roman" w:eastAsia="Times New Roman" w:cs="Times New Roman"/>
          <w:sz w:val="24"/>
        </w:rPr>
        <w:t xml:space="preserve">, 1321–1330.</w:t>
      </w:r>
    </w:p>
    <w:p>
      <w:pPr>
        <w:pStyle w:val="BodyText"/>
      </w:pPr>
      <w:r>
        <w:rPr>
          <w:rFonts w:ascii="Times New Roman" w:hAnsi="Times New Roman" w:eastAsia="Times New Roman" w:cs="Times New Roman"/>
          <w:sz w:val="24"/>
        </w:rPr>
        <w:t xml:space="preserve">[12] Vickers, A.J. &amp; Elkin, E.B. (2006).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“Decision curve analysis: A novel method for evaluating prediction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Medical Decision Making</w:t>
      </w:r>
      <w:r>
        <w:rPr>
          <w:rFonts w:ascii="Times New Roman" w:hAnsi="Times New Roman" w:eastAsia="Times New Roman" w:cs="Times New Roman"/>
          <w:sz w:val="24"/>
        </w:rPr>
        <w:t xml:space="preserve">, 26(6), 565–574.</w:t>
      </w:r>
    </w:p>
    <w:p>
      <w:pPr>
        <w:pStyle w:val="BodyText"/>
      </w:pPr>
      <w:r>
        <w:rPr>
          <w:rFonts w:ascii="Times New Roman" w:hAnsi="Times New Roman" w:eastAsia="Times New Roman" w:cs="Times New Roman"/>
          <w:sz w:val="24"/>
        </w:rPr>
        <w:t xml:space="preserve">[13] Dempster, A.P. (1967).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“Upper and lower probabilities induced by a multivalued mapping.”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Annals of Mathematical Statistics</w:t>
      </w:r>
      <w:r>
        <w:rPr>
          <w:rFonts w:ascii="Times New Roman" w:hAnsi="Times New Roman" w:eastAsia="Times New Roman" w:cs="Times New Roman"/>
          <w:sz w:val="24"/>
        </w:rPr>
        <w:t xml:space="preserve">, 38(2), 325–339.</w:t>
      </w:r>
    </w:p>
    <w:p>
      <w:pPr>
        <w:pStyle w:val="BodyText"/>
      </w:pPr>
      <w:r>
        <w:rPr>
          <w:rFonts w:ascii="Times New Roman" w:hAnsi="Times New Roman" w:eastAsia="Times New Roman" w:cs="Times New Roman"/>
          <w:sz w:val="24"/>
        </w:rPr>
        <w:t xml:space="preserve">[14] Liu, N.F.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“Lost in the middle: How language models use long contexts.”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Transactions of the Association for Computational Linguistics (TACL)</w:t>
      </w:r>
      <w:r>
        <w:rPr>
          <w:rFonts w:ascii="Times New Roman" w:hAnsi="Times New Roman" w:eastAsia="Times New Roman" w:cs="Times New Roman"/>
          <w:sz w:val="24"/>
        </w:rPr>
        <w:t xml:space="preserve">, 12, 157–173.</w:t>
      </w:r>
    </w:p>
    <w:p>
      <w:pPr>
        <w:pStyle w:val="BodyText"/>
      </w:pPr>
      <w:r>
        <w:rPr>
          <w:rFonts w:ascii="Times New Roman" w:hAnsi="Times New Roman" w:eastAsia="Times New Roman" w:cs="Times New Roman"/>
          <w:sz w:val="24"/>
        </w:rPr>
        <w:t xml:space="preserve">[15] Schick, T.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“Toolformer: Language models can teach themselves to use tools.”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36.</w:t>
      </w:r>
    </w:p>
    <w:p>
      <w:pPr>
        <w:pStyle w:val="BodyText"/>
      </w:pPr>
      <w:r>
        <w:rPr>
          <w:rFonts w:ascii="Times New Roman" w:hAnsi="Times New Roman" w:eastAsia="Times New Roman" w:cs="Times New Roman"/>
          <w:sz w:val="24"/>
        </w:rPr>
        <w:t xml:space="preserve">[16] NVIDIA Corporation.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“Nemotron-3 Ultra 550B: An instruction-tuned LLM for agentic and tool-use applications.”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NVIDIA Technical Report</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[17] McLaren, W. et al.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Ensembl Variant Effect Predictor.”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Genome Biology</w:t>
      </w:r>
      <w:r>
        <w:rPr>
          <w:rFonts w:ascii="Times New Roman" w:hAnsi="Times New Roman" w:eastAsia="Times New Roman" w:cs="Times New Roman"/>
          <w:sz w:val="24"/>
        </w:rPr>
        <w:t xml:space="preserve">, 17, 122.</w:t>
      </w:r>
    </w:p>
    <w:p>
      <w:pPr>
        <w:pStyle w:val="BodyText"/>
      </w:pPr>
      <w:r>
        <w:rPr>
          <w:rFonts w:ascii="Times New Roman" w:hAnsi="Times New Roman" w:eastAsia="Times New Roman" w:cs="Times New Roman"/>
          <w:sz w:val="24"/>
        </w:rPr>
        <w:t xml:space="preserve">[18] Lewis, P.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“Retrieval-augmented generation for knowledge-intensive NLP tasks.”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33, 9459–9474.</w:t>
      </w:r>
    </w:p>
    <w:p>
      <w:pPr>
        <w:pStyle w:val="BodyText"/>
      </w:pPr>
      <w:r>
        <w:rPr>
          <w:rFonts w:ascii="Times New Roman" w:hAnsi="Times New Roman" w:eastAsia="Times New Roman" w:cs="Times New Roman"/>
          <w:sz w:val="24"/>
        </w:rPr>
        <w:t xml:space="preserve">[19] Wang, Y.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“BioRAG: A retrieval-augmented generation framework for biomedical question answering.”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Briefings in Bioinformatics</w:t>
      </w:r>
      <w:r>
        <w:rPr>
          <w:rFonts w:ascii="Times New Roman" w:hAnsi="Times New Roman" w:eastAsia="Times New Roman" w:cs="Times New Roman"/>
          <w:sz w:val="24"/>
        </w:rPr>
        <w:t xml:space="preserve">, 25(4), bbae321.</w:t>
      </w:r>
    </w:p>
    <w:p>
      <w:pPr>
        <w:pStyle w:val="BodyText"/>
      </w:pPr>
      <w:r>
        <w:rPr>
          <w:rFonts w:ascii="Times New Roman" w:hAnsi="Times New Roman" w:eastAsia="Times New Roman" w:cs="Times New Roman"/>
          <w:sz w:val="24"/>
        </w:rPr>
        <w:t xml:space="preserve">[20] Poli, M.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“Hyena hierarchy: Towards larger convolutional language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40th International Conference on Machine Learning (ICML)</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[21] Nguyen, E.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“HyenaDNA: Long-range genomic sequence modeling at single nucleotide resolution.”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36.</w:t>
      </w:r>
    </w:p>
    <w:p>
      <w:pPr>
        <w:pStyle w:val="BodyText"/>
      </w:pPr>
      <w:r>
        <w:rPr>
          <w:rFonts w:ascii="Times New Roman" w:hAnsi="Times New Roman" w:eastAsia="Times New Roman" w:cs="Times New Roman"/>
          <w:sz w:val="24"/>
        </w:rPr>
        <w:t xml:space="preserve">[22] Dalla-Torre, H.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Nucleotide Transformer: Building and evaluating robust foundation models for human genomics.”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Methods</w:t>
      </w:r>
      <w:r>
        <w:rPr>
          <w:rFonts w:ascii="Times New Roman" w:hAnsi="Times New Roman" w:eastAsia="Times New Roman" w:cs="Times New Roman"/>
          <w:sz w:val="24"/>
        </w:rPr>
        <w:t xml:space="preserve">, 21, 1170–1182.</w:t>
      </w:r>
    </w:p>
    <w:p>
      <w:pPr>
        <w:pStyle w:val="BodyText"/>
      </w:pPr>
      <w:r>
        <w:rPr>
          <w:rFonts w:ascii="Times New Roman" w:hAnsi="Times New Roman" w:eastAsia="Times New Roman" w:cs="Times New Roman"/>
          <w:sz w:val="24"/>
        </w:rPr>
        <w:t xml:space="preserve">[23] Ji, Y.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“DNABERT: A K-mer-based BERT for DNA-language in genome.”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37(15), 2112–2120.</w:t>
      </w:r>
    </w:p>
    <w:p>
      <w:pPr>
        <w:pStyle w:val="BodyText"/>
      </w:pPr>
      <w:r>
        <w:rPr>
          <w:rFonts w:ascii="Times New Roman" w:hAnsi="Times New Roman" w:eastAsia="Times New Roman" w:cs="Times New Roman"/>
          <w:sz w:val="24"/>
        </w:rPr>
        <w:t xml:space="preserve">[24] Dalla-Torre, H.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Nucleotide Transformer: Scaling up context and depth for human genomics foundation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bioRxiv</w:t>
      </w:r>
      <w:r>
        <w:rPr>
          <w:rFonts w:ascii="Times New Roman" w:hAnsi="Times New Roman" w:eastAsia="Times New Roman" w:cs="Times New Roman"/>
          <w:sz w:val="24"/>
        </w:rPr>
        <w:t xml:space="preserve">, doi:10.1101/2023.01.11.523679.</w:t>
      </w:r>
    </w:p>
    <w:p>
      <w:pPr>
        <w:pStyle w:val="BodyText"/>
      </w:pPr>
      <w:r>
        <w:rPr>
          <w:rFonts w:ascii="Times New Roman" w:hAnsi="Times New Roman" w:eastAsia="Times New Roman" w:cs="Times New Roman"/>
          <w:sz w:val="24"/>
        </w:rPr>
        <w:t xml:space="preserve">[25] Lin, Z.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“Evolutionary-scale prediction of atomic-level protein structure with a language model.”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Science</w:t>
      </w:r>
      <w:r>
        <w:rPr>
          <w:rFonts w:ascii="Times New Roman" w:hAnsi="Times New Roman" w:eastAsia="Times New Roman" w:cs="Times New Roman"/>
          <w:sz w:val="24"/>
        </w:rPr>
        <w:t xml:space="preserve">, 379(6664), 283–286.</w:t>
      </w:r>
    </w:p>
    <w:p>
      <w:pPr>
        <w:pStyle w:val="BodyText"/>
      </w:pPr>
      <w:r>
        <w:rPr>
          <w:rFonts w:ascii="Times New Roman" w:hAnsi="Times New Roman" w:eastAsia="Times New Roman" w:cs="Times New Roman"/>
          <w:sz w:val="24"/>
        </w:rPr>
        <w:t xml:space="preserve">[26] Meier, J.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“Language models enable zero-shot prediction of the effects of missense mutations.”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Methods</w:t>
      </w:r>
      <w:r>
        <w:rPr>
          <w:rFonts w:ascii="Times New Roman" w:hAnsi="Times New Roman" w:eastAsia="Times New Roman" w:cs="Times New Roman"/>
          <w:sz w:val="24"/>
        </w:rPr>
        <w:t xml:space="preserve">, 18, 1197–1202.</w:t>
      </w:r>
    </w:p>
    <w:p>
      <w:pPr>
        <w:pStyle w:val="BodyText"/>
      </w:pPr>
      <w:r>
        <w:rPr>
          <w:rFonts w:ascii="Times New Roman" w:hAnsi="Times New Roman" w:eastAsia="Times New Roman" w:cs="Times New Roman"/>
          <w:sz w:val="24"/>
        </w:rPr>
        <w:t xml:space="preserve">[27] Rollins, N.J. et al.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“Inferring protein 3D structure from deep mutation scans.”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Genetics</w:t>
      </w:r>
      <w:r>
        <w:rPr>
          <w:rFonts w:ascii="Times New Roman" w:hAnsi="Times New Roman" w:eastAsia="Times New Roman" w:cs="Times New Roman"/>
          <w:sz w:val="24"/>
        </w:rPr>
        <w:t xml:space="preserve">, 51, 1170–1176.</w:t>
      </w:r>
    </w:p>
    <w:p>
      <w:pPr>
        <w:pStyle w:val="BodyText"/>
      </w:pPr>
      <w:r>
        <w:rPr>
          <w:rFonts w:ascii="Times New Roman" w:hAnsi="Times New Roman" w:eastAsia="Times New Roman" w:cs="Times New Roman"/>
          <w:sz w:val="24"/>
        </w:rPr>
        <w:t xml:space="preserve">[28] Fowler, D.M. &amp; Fields, S. (2014).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“Deep mutational scanning: A new style of protein genetics.”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Genetics</w:t>
      </w:r>
      <w:r>
        <w:rPr>
          <w:rFonts w:ascii="Times New Roman" w:hAnsi="Times New Roman" w:eastAsia="Times New Roman" w:cs="Times New Roman"/>
          <w:sz w:val="24"/>
        </w:rPr>
        <w:t xml:space="preserve">, 46, 915–923.</w:t>
      </w:r>
    </w:p>
    <w:p>
      <w:pPr>
        <w:pStyle w:val="BodyText"/>
      </w:pPr>
      <w:r>
        <w:rPr>
          <w:rFonts w:ascii="Times New Roman" w:hAnsi="Times New Roman" w:eastAsia="Times New Roman" w:cs="Times New Roman"/>
          <w:sz w:val="24"/>
        </w:rPr>
        <w:t xml:space="preserve">[29] Kimura, M. (1968).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“Evolutionary rate at the molecular level.”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217, 624–626.</w:t>
      </w:r>
    </w:p>
    <w:p>
      <w:pPr>
        <w:pStyle w:val="BodyText"/>
      </w:pPr>
      <w:r>
        <w:rPr>
          <w:rFonts w:ascii="Times New Roman" w:hAnsi="Times New Roman" w:eastAsia="Times New Roman" w:cs="Times New Roman"/>
          <w:sz w:val="24"/>
        </w:rPr>
        <w:t xml:space="preserve">[30] Landrum, M.J. et al. (2014).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“ClinVar: Public archive of relationships among sequence variation and human phenotype.”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42(D1), D980–D985.</w:t>
      </w:r>
    </w:p>
    <w:p>
      <w:pPr>
        <w:pStyle w:val="BodyText"/>
      </w:pPr>
      <w:r>
        <w:rPr>
          <w:rFonts w:ascii="Times New Roman" w:hAnsi="Times New Roman" w:eastAsia="Times New Roman" w:cs="Times New Roman"/>
          <w:sz w:val="24"/>
        </w:rPr>
        <w:t xml:space="preserve">[31] UniProt Consortium.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“UniProt: The Universal Protein Knowledgebase in 2023.”</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51(D1), D523–D531.</w:t>
      </w:r>
    </w:p>
    <w:p>
      <w:pPr>
        <w:pStyle w:val="BodyText"/>
      </w:pPr>
      <w:r>
        <w:rPr>
          <w:rFonts w:ascii="Times New Roman" w:hAnsi="Times New Roman" w:eastAsia="Times New Roman" w:cs="Times New Roman"/>
          <w:sz w:val="24"/>
        </w:rPr>
        <w:t xml:space="preserve">[32] The Gene Ontology Consortium.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Gene Ontology resource: Enriching a GO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‘slim’</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49(D1), D325–D334.</w:t>
      </w:r>
    </w:p>
    <w:p>
      <w:pPr>
        <w:pStyle w:val="BodyText"/>
      </w:pPr>
      <w:r>
        <w:rPr>
          <w:rFonts w:ascii="Times New Roman" w:hAnsi="Times New Roman" w:eastAsia="Times New Roman" w:cs="Times New Roman"/>
          <w:sz w:val="24"/>
        </w:rPr>
        <w:t xml:space="preserve">[33] Dubey, A.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“Llama 3: Open foundation and fine-tuned vision-language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w:t>
      </w:r>
      <w:r>
        <w:rPr>
          <w:rFonts w:ascii="Times New Roman" w:hAnsi="Times New Roman" w:eastAsia="Times New Roman" w:cs="Times New Roman"/>
          <w:sz w:val="24"/>
        </w:rPr>
        <w:t xml:space="preserve">, arXiv:2407.21783.</w:t>
      </w:r>
    </w:p>
    <w:p>
      <w:pPr>
        <w:pStyle w:val="BodyText"/>
      </w:pPr>
      <w:r>
        <w:rPr>
          <w:rFonts w:ascii="Times New Roman" w:hAnsi="Times New Roman" w:eastAsia="Times New Roman" w:cs="Times New Roman"/>
          <w:sz w:val="24"/>
        </w:rPr>
        <w:t xml:space="preserve">[34] Rao, R.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“MSA Transformer.”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38th International Conference on Machine Learning (ICML)</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[35] Shafer, G. (1976).</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 Mathematical Theory of Evidence</w:t>
      </w:r>
      <w:r>
        <w:rPr>
          <w:rFonts w:ascii="Times New Roman" w:hAnsi="Times New Roman" w:eastAsia="Times New Roman" w:cs="Times New Roman"/>
          <w:sz w:val="24"/>
        </w:rPr>
        <w:t xml:space="preserve">. Princeton University Press.</w:t>
      </w:r>
    </w:p>
    <w:p>
      <w:pPr>
        <w:pStyle w:val="BodyText"/>
      </w:pPr>
      <w:r>
        <w:rPr>
          <w:rFonts w:ascii="Times New Roman" w:hAnsi="Times New Roman" w:eastAsia="Times New Roman" w:cs="Times New Roman"/>
          <w:sz w:val="24"/>
        </w:rPr>
        <w:t xml:space="preserve">[36] Hoeting, J.A., Madigan, D., Raftery, A.E. &amp; Volinsky, C.T. (1999).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“Bayesian model averaging: A tutorial.”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Statistical Science</w:t>
      </w:r>
      <w:r>
        <w:rPr>
          <w:rFonts w:ascii="Times New Roman" w:hAnsi="Times New Roman" w:eastAsia="Times New Roman" w:cs="Times New Roman"/>
          <w:sz w:val="24"/>
        </w:rPr>
        <w:t xml:space="preserve">, 14(4), 382–417.</w:t>
      </w:r>
    </w:p>
    <w:p>
      <w:pPr>
        <w:pStyle w:val="BodyText"/>
      </w:pPr>
      <w:r>
        <w:rPr>
          <w:rFonts w:ascii="Times New Roman" w:hAnsi="Times New Roman" w:eastAsia="Times New Roman" w:cs="Times New Roman"/>
          <w:sz w:val="24"/>
        </w:rPr>
        <w:t xml:space="preserve">[37] Jinek, M. et al. (2012).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programmable dual-RNA-guided DNA endonuclease in adaptive bacterial immunity.”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Science</w:t>
      </w:r>
      <w:r>
        <w:rPr>
          <w:rFonts w:ascii="Times New Roman" w:hAnsi="Times New Roman" w:eastAsia="Times New Roman" w:cs="Times New Roman"/>
          <w:sz w:val="24"/>
        </w:rPr>
        <w:t xml:space="preserve">, 337(6096), 816–821.</w:t>
      </w:r>
    </w:p>
    <w:p>
      <w:pPr>
        <w:pStyle w:val="BodyText"/>
      </w:pPr>
      <w:r>
        <w:rPr>
          <w:rFonts w:ascii="Times New Roman" w:hAnsi="Times New Roman" w:eastAsia="Times New Roman" w:cs="Times New Roman"/>
          <w:sz w:val="24"/>
        </w:rPr>
        <w:t xml:space="preserve">[38] Gal, Y. &amp; Ghahramani, Z.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“Dropout as a Bayesian approximation: Representing model uncertainty in deep learning.”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33rd International Conference on Machine Learning (ICML)</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[39] Lakshminarayanan, B., Pritzel, A. &amp; Blundell, C.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“Simple and scalable predictive uncertainty estimation using deep ensembles.”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30.</w:t>
      </w:r>
    </w:p>
    <w:p>
      <w:pPr>
        <w:pStyle w:val="BodyText"/>
      </w:pPr>
      <w:r>
        <w:rPr>
          <w:rFonts w:ascii="Times New Roman" w:hAnsi="Times New Roman" w:eastAsia="Times New Roman" w:cs="Times New Roman"/>
          <w:sz w:val="24"/>
        </w:rPr>
        <w:t xml:space="preserve">[40] Sensoy, M.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“Uncertainty estimation by fixed-point prediction for semantic segmentation.”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IEEE/CVF International Conference on Computer Vision (ICCV)</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[41] Van Amersfoort, J.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“Simple and scalable predictive uncertainty estimation using deep ensembles with single deterministic networks.”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w:t>
      </w:r>
      <w:r>
        <w:rPr>
          <w:rFonts w:ascii="Times New Roman" w:hAnsi="Times New Roman" w:eastAsia="Times New Roman" w:cs="Times New Roman"/>
          <w:sz w:val="24"/>
        </w:rPr>
        <w:t xml:space="preserve">, arXiv:2004.05359.</w:t>
      </w:r>
    </w:p>
    <w:p>
      <w:pPr>
        <w:pStyle w:val="BodyText"/>
      </w:pPr>
      <w:r>
        <w:rPr>
          <w:rFonts w:ascii="Times New Roman" w:hAnsi="Times New Roman" w:eastAsia="Times New Roman" w:cs="Times New Roman"/>
          <w:sz w:val="24"/>
        </w:rPr>
        <w:t xml:space="preserve">[42] Minderer, M.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“Revisiting the calibration of modern neural networks.”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34.</w:t>
      </w:r>
    </w:p>
    <w:p>
      <w:pPr>
        <w:pStyle w:val="BodyText"/>
      </w:pPr>
      <w:r>
        <w:rPr>
          <w:rFonts w:ascii="Times New Roman" w:hAnsi="Times New Roman" w:eastAsia="Times New Roman" w:cs="Times New Roman"/>
          <w:sz w:val="24"/>
        </w:rPr>
        <w:t xml:space="preserve">[43] Kopanos, C. et al.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“VarSome: The human genomic variant search engine.”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The Journal of Molecular Diagnostics</w:t>
      </w:r>
      <w:r>
        <w:rPr>
          <w:rFonts w:ascii="Times New Roman" w:hAnsi="Times New Roman" w:eastAsia="Times New Roman" w:cs="Times New Roman"/>
          <w:sz w:val="24"/>
        </w:rPr>
        <w:t xml:space="preserve">, 21(4), 578–585.</w:t>
      </w:r>
    </w:p>
    <w:p>
      <w:pPr>
        <w:pStyle w:val="BodyText"/>
      </w:pPr>
      <w:r>
        <w:rPr>
          <w:rFonts w:ascii="Times New Roman" w:hAnsi="Times New Roman" w:eastAsia="Times New Roman" w:cs="Times New Roman"/>
          <w:sz w:val="24"/>
        </w:rPr>
        <w:t xml:space="preserve">[44] Li, Q. &amp; Wang, K.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“InterVar: Clinical interpretation of variants by the 2015 ACMG/AMP guidelines.”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American Journal of Human Genetics</w:t>
      </w:r>
      <w:r>
        <w:rPr>
          <w:rFonts w:ascii="Times New Roman" w:hAnsi="Times New Roman" w:eastAsia="Times New Roman" w:cs="Times New Roman"/>
          <w:sz w:val="24"/>
        </w:rPr>
        <w:t xml:space="preserve">, 100(2), 267–280.</w:t>
      </w:r>
    </w:p>
    <w:p>
      <w:pPr>
        <w:pStyle w:val="BodyText"/>
      </w:pPr>
      <w:r>
        <w:rPr>
          <w:rFonts w:ascii="Times New Roman" w:hAnsi="Times New Roman" w:eastAsia="Times New Roman" w:cs="Times New Roman"/>
          <w:sz w:val="24"/>
        </w:rPr>
        <w:t xml:space="preserve">[45] Zhang, S. et al.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“CharGer: Clinical characterization of germline variants in hereditary cancer.”</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Clinical Oncology Clinical Cancer Informatics</w:t>
      </w:r>
      <w:r>
        <w:rPr>
          <w:rFonts w:ascii="Times New Roman" w:hAnsi="Times New Roman" w:eastAsia="Times New Roman" w:cs="Times New Roman"/>
          <w:sz w:val="24"/>
        </w:rPr>
        <w:t xml:space="preserve">, 3, 1–12.</w:t>
      </w:r>
    </w:p>
    <w:p>
      <w:pPr>
        <w:pStyle w:val="BodyText"/>
      </w:pPr>
      <w:r>
        <w:rPr>
          <w:rFonts w:ascii="Times New Roman" w:hAnsi="Times New Roman" w:eastAsia="Times New Roman" w:cs="Times New Roman"/>
          <w:sz w:val="24"/>
        </w:rPr>
        <w:t xml:space="preserve">[46] De la Vega, F.M.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“AI enables comprehensive genome interpretation and clinical diagnosis of rare diseases.”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Genome Medicine</w:t>
      </w:r>
      <w:r>
        <w:rPr>
          <w:rFonts w:ascii="Times New Roman" w:hAnsi="Times New Roman" w:eastAsia="Times New Roman" w:cs="Times New Roman"/>
          <w:sz w:val="24"/>
        </w:rPr>
        <w:t xml:space="preserve">, 13, 166.</w:t>
      </w:r>
    </w:p>
    <w:p>
      <w:pPr>
        <w:pStyle w:val="BodyText"/>
      </w:pPr>
      <w:r>
        <w:rPr>
          <w:rFonts w:ascii="Times New Roman" w:hAnsi="Times New Roman" w:eastAsia="Times New Roman" w:cs="Times New Roman"/>
          <w:sz w:val="24"/>
        </w:rPr>
        <w:t xml:space="preserve">[47] Ruzicka, J.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“Clinical evaluation of AI-assisted variant interpretation: The DiagAI system.”</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medRxiv</w:t>
      </w:r>
      <w:r>
        <w:rPr>
          <w:rFonts w:ascii="Times New Roman" w:hAnsi="Times New Roman" w:eastAsia="Times New Roman" w:cs="Times New Roman"/>
          <w:sz w:val="24"/>
        </w:rPr>
        <w:t xml:space="preserve">, doi:10.1101/2025.01.15.25320789.</w:t>
      </w:r>
    </w:p>
    <w:p>
      <w:pPr>
        <w:pStyle w:val="BodyText"/>
      </w:pPr>
      <w:r>
        <w:rPr>
          <w:rFonts w:ascii="Times New Roman" w:hAnsi="Times New Roman" w:eastAsia="Times New Roman" w:cs="Times New Roman"/>
          <w:sz w:val="24"/>
        </w:rPr>
        <w:t xml:space="preserve">[48] Torkamani, A.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personal and clinical utility of polygenic risk scores.”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Reviews Genetics</w:t>
      </w:r>
      <w:r>
        <w:rPr>
          <w:rFonts w:ascii="Times New Roman" w:hAnsi="Times New Roman" w:eastAsia="Times New Roman" w:cs="Times New Roman"/>
          <w:sz w:val="24"/>
        </w:rPr>
        <w:t xml:space="preserve">, 21, 581–590.</w:t>
      </w:r>
    </w:p>
    <w:p>
      <w:pPr>
        <w:pStyle w:val="BodyText"/>
      </w:pPr>
      <w:r>
        <w:rPr>
          <w:rFonts w:ascii="Times New Roman" w:hAnsi="Times New Roman" w:eastAsia="Times New Roman" w:cs="Times New Roman"/>
          <w:sz w:val="24"/>
        </w:rPr>
        <w:t xml:space="preserve">[49] Walton, N.A.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“Explainable AI in clinical genomics: A systematic review.”</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Reviews Genetics</w:t>
      </w:r>
      <w:r>
        <w:rPr>
          <w:rFonts w:ascii="Times New Roman" w:hAnsi="Times New Roman" w:eastAsia="Times New Roman" w:cs="Times New Roman"/>
          <w:sz w:val="24"/>
        </w:rPr>
        <w:t xml:space="preserve">, 25, 415–432.</w:t>
      </w:r>
    </w:p>
    <w:p>
      <w:pPr>
        <w:pStyle w:val="BodyText"/>
      </w:pPr>
      <w:r>
        <w:rPr>
          <w:rFonts w:ascii="Times New Roman" w:hAnsi="Times New Roman" w:eastAsia="Times New Roman" w:cs="Times New Roman"/>
          <w:sz w:val="24"/>
        </w:rPr>
        <w:t xml:space="preserve">[50] Xiong, G.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“Benchmarking retrieval-augmented generation for clinical question answering.”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the American Medical Informatics Association (JAMIA)</w:t>
      </w:r>
      <w:r>
        <w:rPr>
          <w:rFonts w:ascii="Times New Roman" w:hAnsi="Times New Roman" w:eastAsia="Times New Roman" w:cs="Times New Roman"/>
          <w:sz w:val="24"/>
        </w:rPr>
        <w:t xml:space="preserve">, 31(8), 1834–1845.</w:t>
      </w:r>
    </w:p>
    <w:p>
      <w:pPr>
        <w:pStyle w:val="BodyText"/>
      </w:pPr>
      <w:r>
        <w:rPr>
          <w:rFonts w:ascii="Times New Roman" w:hAnsi="Times New Roman" w:eastAsia="Times New Roman" w:cs="Times New Roman"/>
          <w:sz w:val="24"/>
        </w:rPr>
        <w:t xml:space="preserve">[51] Wang, S.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“RAG-based drug-drug interaction checking with LLMs.”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Biomedical Informatics</w:t>
      </w:r>
      <w:r>
        <w:rPr>
          <w:rFonts w:ascii="Times New Roman" w:hAnsi="Times New Roman" w:eastAsia="Times New Roman" w:cs="Times New Roman"/>
          <w:sz w:val="24"/>
        </w:rPr>
        <w:t xml:space="preserve">, 153, 104628.</w:t>
      </w:r>
    </w:p>
    <w:p>
      <w:pPr>
        <w:pStyle w:val="BodyText"/>
      </w:pPr>
      <w:r>
        <w:rPr>
          <w:rFonts w:ascii="Times New Roman" w:hAnsi="Times New Roman" w:eastAsia="Times New Roman" w:cs="Times New Roman"/>
          <w:sz w:val="24"/>
        </w:rPr>
        <w:t xml:space="preserve">[52] Asaad, M.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“Retrieval-augmented generation for electronic health record summarization.”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npj Digital Medicine</w:t>
      </w:r>
      <w:r>
        <w:rPr>
          <w:rFonts w:ascii="Times New Roman" w:hAnsi="Times New Roman" w:eastAsia="Times New Roman" w:cs="Times New Roman"/>
          <w:sz w:val="24"/>
        </w:rPr>
        <w:t xml:space="preserve">, 7, 142.</w:t>
      </w:r>
    </w:p>
    <w:p>
      <w:pPr>
        <w:pStyle w:val="BodyText"/>
      </w:pPr>
      <w:r>
        <w:rPr>
          <w:rFonts w:ascii="Times New Roman" w:hAnsi="Times New Roman" w:eastAsia="Times New Roman" w:cs="Times New Roman"/>
          <w:sz w:val="24"/>
        </w:rPr>
        <w:t xml:space="preserve">[53] OpenAI.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“Function calling and tool use with GPT-4.”</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OpenAI Technical Report</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[54] Doench, J.G. et al.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“Optimized sgRNA design to maximize activity and minimize off-target effects of CRISPR-Cas9.”</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Biotechnology</w:t>
      </w:r>
      <w:r>
        <w:rPr>
          <w:rFonts w:ascii="Times New Roman" w:hAnsi="Times New Roman" w:eastAsia="Times New Roman" w:cs="Times New Roman"/>
          <w:sz w:val="24"/>
        </w:rPr>
        <w:t xml:space="preserve">, 34, 184–191.</w:t>
      </w:r>
    </w:p>
    <w:p>
      <w:pPr>
        <w:pStyle w:val="BodyText"/>
      </w:pPr>
      <w:r>
        <w:rPr>
          <w:rFonts w:ascii="Times New Roman" w:hAnsi="Times New Roman" w:eastAsia="Times New Roman" w:cs="Times New Roman"/>
          <w:sz w:val="24"/>
        </w:rPr>
        <w:t xml:space="preserve">[55] Hsu, P.D. et al. (2013).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“DNA targeting specificity of RNA-guided Cas9 nucleases.”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Biotechnology</w:t>
      </w:r>
      <w:r>
        <w:rPr>
          <w:rFonts w:ascii="Times New Roman" w:hAnsi="Times New Roman" w:eastAsia="Times New Roman" w:cs="Times New Roman"/>
          <w:sz w:val="24"/>
        </w:rPr>
        <w:t xml:space="preserve">, 31, 827–832.</w:t>
      </w:r>
    </w:p>
    <w:p>
      <w:pPr>
        <w:pStyle w:val="BodyText"/>
      </w:pPr>
      <w:r>
        <w:rPr>
          <w:rFonts w:ascii="Times New Roman" w:hAnsi="Times New Roman" w:eastAsia="Times New Roman" w:cs="Times New Roman"/>
          <w:sz w:val="24"/>
        </w:rPr>
        <w:t xml:space="preserve">[56] Chuai, G. et al. (2018).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“DeepCRISPR: Optimized CRISPR guide RNA design by deep learning.”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Genome Biology</w:t>
      </w:r>
      <w:r>
        <w:rPr>
          <w:rFonts w:ascii="Times New Roman" w:hAnsi="Times New Roman" w:eastAsia="Times New Roman" w:cs="Times New Roman"/>
          <w:sz w:val="24"/>
        </w:rPr>
        <w:t xml:space="preserve">, 19, 80.</w:t>
      </w:r>
    </w:p>
    <w:p>
      <w:pPr>
        <w:pStyle w:val="BodyText"/>
      </w:pPr>
      <w:r>
        <w:rPr>
          <w:rFonts w:ascii="Times New Roman" w:hAnsi="Times New Roman" w:eastAsia="Times New Roman" w:cs="Times New Roman"/>
          <w:sz w:val="24"/>
        </w:rPr>
        <w:t xml:space="preserve">[57] Wang, D. et al.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“CRISPR-Net: A recurrent neural network for CRISPR off-target prediction.”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35(24), 5264–5271.</w:t>
      </w:r>
    </w:p>
    <w:p>
      <w:pPr>
        <w:pStyle w:val="BodyText"/>
      </w:pPr>
      <w:r>
        <w:rPr>
          <w:rFonts w:ascii="Times New Roman" w:hAnsi="Times New Roman" w:eastAsia="Times New Roman" w:cs="Times New Roman"/>
          <w:sz w:val="24"/>
        </w:rPr>
        <w:t xml:space="preserve">[58] Sirugo, G., Williams, S.M. &amp; Tishkoff, S.A.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missing diversity in human genetic studies.”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Cell</w:t>
      </w:r>
      <w:r>
        <w:rPr>
          <w:rFonts w:ascii="Times New Roman" w:hAnsi="Times New Roman" w:eastAsia="Times New Roman" w:cs="Times New Roman"/>
          <w:sz w:val="24"/>
        </w:rPr>
        <w:t xml:space="preserve">, 177(1), 26–31.</w:t>
      </w:r>
    </w:p>
    <w:p>
      <w:pPr>
        <w:pStyle w:val="BodyText"/>
      </w:pPr>
      <w:r>
        <w:rPr>
          <w:rFonts w:ascii="Times New Roman" w:hAnsi="Times New Roman" w:eastAsia="Times New Roman" w:cs="Times New Roman"/>
          <w:sz w:val="24"/>
        </w:rPr>
        <w:t xml:space="preserve">[59] Fu, D.Y.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“Don’t transform the code, transform the computations: Efficient long-context attention via latent attention routing.”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Proceedings of the 41st International Conference on Machine Learning (ICML)</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[60] Gu, A. &amp; Dao, T.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“Mamba: Linear-time sequence modeling with selective state spaces.”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w:t>
      </w:r>
      <w:r>
        <w:rPr>
          <w:rFonts w:ascii="Times New Roman" w:hAnsi="Times New Roman" w:eastAsia="Times New Roman" w:cs="Times New Roman"/>
          <w:sz w:val="24"/>
        </w:rPr>
        <w:t xml:space="preserve">, arXiv:2312.00752.</w:t>
      </w:r>
    </w:p>
    <w:p>
      <w:pPr>
        <w:pStyle w:val="BodyText"/>
      </w:pPr>
      <w:r>
        <w:rPr>
          <w:rFonts w:ascii="Times New Roman" w:hAnsi="Times New Roman" w:eastAsia="Times New Roman" w:cs="Times New Roman"/>
          <w:sz w:val="24"/>
        </w:rPr>
        <w:t xml:space="preserve">[61] Vaswani, A. et al.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“Attention is all you need.”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30.</w:t>
      </w:r>
    </w:p>
    <w:p>
      <w:pPr>
        <w:pStyle w:val="BodyText"/>
      </w:pPr>
      <w:r>
        <w:rPr>
          <w:rFonts w:ascii="Times New Roman" w:hAnsi="Times New Roman" w:eastAsia="Times New Roman" w:cs="Times New Roman"/>
          <w:sz w:val="24"/>
        </w:rPr>
        <w:t xml:space="preserve">[62] Fedus, W., Zoph, B. &amp; Shazeer, N.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“Switch transformers: Scaling to trillion parameter models with simple and efficient sparsity.”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Machine Learning Research</w:t>
      </w:r>
      <w:r>
        <w:rPr>
          <w:rFonts w:ascii="Times New Roman" w:hAnsi="Times New Roman" w:eastAsia="Times New Roman" w:cs="Times New Roman"/>
          <w:sz w:val="24"/>
        </w:rPr>
        <w:t xml:space="preserve">, 23(120), 1–39.</w:t>
      </w:r>
    </w:p>
    <w:p>
      <w:pPr>
        <w:pStyle w:val="BodyText"/>
      </w:pPr>
      <w:r>
        <w:rPr>
          <w:rFonts w:ascii="Times New Roman" w:hAnsi="Times New Roman" w:eastAsia="Times New Roman" w:cs="Times New Roman"/>
          <w:sz w:val="24"/>
        </w:rPr>
        <w:t xml:space="preserve">[63] Gloeckle, F.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“Better &amp; faster large language models via multi-token prediction.”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arXiv preprint</w:t>
      </w:r>
      <w:r>
        <w:rPr>
          <w:rFonts w:ascii="Times New Roman" w:hAnsi="Times New Roman" w:eastAsia="Times New Roman" w:cs="Times New Roman"/>
          <w:sz w:val="24"/>
        </w:rPr>
        <w:t xml:space="preserve">, arXiv:2404.19737.</w:t>
      </w:r>
    </w:p>
    <w:p>
      <w:pPr>
        <w:pStyle w:val="BodyText"/>
      </w:pPr>
      <w:r>
        <w:rPr>
          <w:rFonts w:ascii="Times New Roman" w:hAnsi="Times New Roman" w:eastAsia="Times New Roman" w:cs="Times New Roman"/>
          <w:sz w:val="24"/>
        </w:rPr>
        <w:t xml:space="preserve">[64] The UniProt Consortium.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“UniProt: The Universal Protein Knowledgebase in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53, D686–D698.</w:t>
      </w:r>
    </w:p>
    <w:p>
      <w:pPr>
        <w:pStyle w:val="BodyText"/>
      </w:pPr>
      <w:r>
        <w:rPr>
          <w:rFonts w:ascii="Times New Roman" w:hAnsi="Times New Roman" w:eastAsia="Times New Roman" w:cs="Times New Roman"/>
          <w:sz w:val="24"/>
        </w:rPr>
        <w:t xml:space="preserve">[65] Mistry, J.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“Pfam: The protein families database in 2023.”</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51, D438–D444.</w:t>
      </w:r>
    </w:p>
    <w:p>
      <w:pPr>
        <w:pStyle w:val="BodyText"/>
      </w:pPr>
      <w:r>
        <w:rPr>
          <w:rFonts w:ascii="Times New Roman" w:hAnsi="Times New Roman" w:eastAsia="Times New Roman" w:cs="Times New Roman"/>
          <w:sz w:val="24"/>
        </w:rPr>
        <w:t xml:space="preserve">[66] Jones, P. et al. (2014).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“InterProScan 5: Genome-scale protein function classification.”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30, 1236–1240.</w:t>
      </w:r>
    </w:p>
    <w:p>
      <w:pPr>
        <w:pStyle w:val="BodyText"/>
      </w:pPr>
      <w:r>
        <w:rPr>
          <w:rFonts w:ascii="Times New Roman" w:hAnsi="Times New Roman" w:eastAsia="Times New Roman" w:cs="Times New Roman"/>
          <w:sz w:val="24"/>
        </w:rPr>
        <w:t xml:space="preserve">[67] Jumper, J.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“Highly accurate protein structure prediction with AlphaFold.”</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596, 583–589.</w:t>
      </w:r>
    </w:p>
    <w:p>
      <w:pPr>
        <w:pStyle w:val="BodyText"/>
      </w:pPr>
      <w:r>
        <w:rPr>
          <w:rFonts w:ascii="Times New Roman" w:hAnsi="Times New Roman" w:eastAsia="Times New Roman" w:cs="Times New Roman"/>
          <w:sz w:val="24"/>
        </w:rPr>
        <w:t xml:space="preserve">[68] Varadi, M.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“AlphaFold Protein Structure Database: Massive scale prediction of protein structural space in 2022.”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50, D439–D444.</w:t>
      </w:r>
    </w:p>
    <w:p>
      <w:pPr>
        <w:pStyle w:val="BodyText"/>
      </w:pPr>
      <w:r>
        <w:rPr>
          <w:rFonts w:ascii="Times New Roman" w:hAnsi="Times New Roman" w:eastAsia="Times New Roman" w:cs="Times New Roman"/>
          <w:sz w:val="24"/>
        </w:rPr>
        <w:t xml:space="preserve">[69] Berman, H.M. et al. (2000).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Protein Data Bank.”</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28, 235–242.</w:t>
      </w:r>
    </w:p>
    <w:p>
      <w:pPr>
        <w:pStyle w:val="BodyText"/>
      </w:pPr>
      <w:r>
        <w:rPr>
          <w:rFonts w:ascii="Times New Roman" w:hAnsi="Times New Roman" w:eastAsia="Times New Roman" w:cs="Times New Roman"/>
          <w:sz w:val="24"/>
        </w:rPr>
        <w:t xml:space="preserve">[70] Dutta, S.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“SIFTS: Structure Integration with Function, Taxonomy and Sequence.”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41, btae229.</w:t>
      </w:r>
    </w:p>
    <w:p>
      <w:pPr>
        <w:pStyle w:val="BodyText"/>
      </w:pPr>
      <w:r>
        <w:rPr>
          <w:rFonts w:ascii="Times New Roman" w:hAnsi="Times New Roman" w:eastAsia="Times New Roman" w:cs="Times New Roman"/>
          <w:sz w:val="24"/>
        </w:rPr>
        <w:t xml:space="preserve">[71] Altschul, S.F., Gish, W., Miller, W., Myers, E.W. &amp; Lipman, D.J. (1990).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“Basic local alignment search tool.”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Molecular Biology</w:t>
      </w:r>
      <w:r>
        <w:rPr>
          <w:rFonts w:ascii="Times New Roman" w:hAnsi="Times New Roman" w:eastAsia="Times New Roman" w:cs="Times New Roman"/>
          <w:sz w:val="24"/>
        </w:rPr>
        <w:t xml:space="preserve">, 215, 403–410.</w:t>
      </w:r>
    </w:p>
    <w:p>
      <w:pPr>
        <w:pStyle w:val="BodyText"/>
      </w:pPr>
      <w:r>
        <w:rPr>
          <w:rFonts w:ascii="Times New Roman" w:hAnsi="Times New Roman" w:eastAsia="Times New Roman" w:cs="Times New Roman"/>
          <w:sz w:val="24"/>
        </w:rPr>
        <w:t xml:space="preserve">[72] Kim, S. et al. (2016).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“PubChem Substance and Compound databases.”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44, D1202–D1213.</w:t>
      </w:r>
    </w:p>
    <w:p>
      <w:pPr>
        <w:pStyle w:val="BodyText"/>
      </w:pPr>
      <w:r>
        <w:rPr>
          <w:rFonts w:ascii="Times New Roman" w:hAnsi="Times New Roman" w:eastAsia="Times New Roman" w:cs="Times New Roman"/>
          <w:sz w:val="24"/>
        </w:rPr>
        <w:t xml:space="preserve">[73] Jaganathan, K. et al.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“Predicting splicing from primary sequence with deep learning.”</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Cell</w:t>
      </w:r>
      <w:r>
        <w:rPr>
          <w:rFonts w:ascii="Times New Roman" w:hAnsi="Times New Roman" w:eastAsia="Times New Roman" w:cs="Times New Roman"/>
          <w:sz w:val="24"/>
        </w:rPr>
        <w:t xml:space="preserve">, 176, 535–548.</w:t>
      </w:r>
    </w:p>
    <w:p>
      <w:pPr>
        <w:pStyle w:val="BodyText"/>
      </w:pPr>
      <w:r>
        <w:rPr>
          <w:rFonts w:ascii="Times New Roman" w:hAnsi="Times New Roman" w:eastAsia="Times New Roman" w:cs="Times New Roman"/>
          <w:sz w:val="24"/>
        </w:rPr>
        <w:t xml:space="preserve">[74] Cheng, J.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“Pangolin: Tissue-specific splicing quantification and variant effect prediction.”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Methods</w:t>
      </w:r>
      <w:r>
        <w:rPr>
          <w:rFonts w:ascii="Times New Roman" w:hAnsi="Times New Roman" w:eastAsia="Times New Roman" w:cs="Times New Roman"/>
          <w:sz w:val="24"/>
        </w:rPr>
        <w:t xml:space="preserve">, 20, 1393–1403.</w:t>
      </w:r>
    </w:p>
    <w:p>
      <w:pPr>
        <w:pStyle w:val="BodyText"/>
      </w:pPr>
      <w:r>
        <w:rPr>
          <w:rFonts w:ascii="Times New Roman" w:hAnsi="Times New Roman" w:eastAsia="Times New Roman" w:cs="Times New Roman"/>
          <w:sz w:val="24"/>
        </w:rPr>
        <w:t xml:space="preserve">[75] van Kempen, M. et al.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“Foldseek: Fast and accurate protein structure search.”</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Biotechnology</w:t>
      </w:r>
      <w:r>
        <w:rPr>
          <w:rFonts w:ascii="Times New Roman" w:hAnsi="Times New Roman" w:eastAsia="Times New Roman" w:cs="Times New Roman"/>
          <w:sz w:val="24"/>
        </w:rPr>
        <w:t xml:space="preserve">, 42, 258–263.</w:t>
      </w:r>
    </w:p>
    <w:p>
      <w:pPr>
        <w:pStyle w:val="BodyText"/>
      </w:pPr>
      <w:r>
        <w:rPr>
          <w:rFonts w:ascii="Times New Roman" w:hAnsi="Times New Roman" w:eastAsia="Times New Roman" w:cs="Times New Roman"/>
          <w:sz w:val="24"/>
        </w:rPr>
        <w:t xml:space="preserve">[76] Sillitoe, I. et al.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“CATH: Increasing structural coverage by automated domain annotation.”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Nucleic Acids Research</w:t>
      </w:r>
      <w:r>
        <w:rPr>
          <w:rFonts w:ascii="Times New Roman" w:hAnsi="Times New Roman" w:eastAsia="Times New Roman" w:cs="Times New Roman"/>
          <w:sz w:val="24"/>
        </w:rPr>
        <w:t xml:space="preserve">, 49, D266–D273.</w:t>
      </w:r>
    </w:p>
    <w:p>
      <w:pPr>
        <w:pStyle w:val="BodyText"/>
      </w:pPr>
      <w:r>
        <w:rPr>
          <w:rFonts w:ascii="Times New Roman" w:hAnsi="Times New Roman" w:eastAsia="Times New Roman" w:cs="Times New Roman"/>
          <w:sz w:val="24"/>
        </w:rPr>
        <w:t xml:space="preserve">[77] Kabsch, W. &amp; Sander, C. (1983).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“Dictionary of protein secondary structure: Pattern recognition of hydrogen-bonded and geometrical features.”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Biopolymers</w:t>
      </w:r>
      <w:r>
        <w:rPr>
          <w:rFonts w:ascii="Times New Roman" w:hAnsi="Times New Roman" w:eastAsia="Times New Roman" w:cs="Times New Roman"/>
          <w:sz w:val="24"/>
        </w:rPr>
        <w:t xml:space="preserve">, 22, 2577–2637.</w:t>
      </w:r>
    </w:p>
    <w:p>
      <w:pPr>
        <w:pStyle w:val="BodyText"/>
      </w:pPr>
      <w:r>
        <w:rPr>
          <w:rFonts w:ascii="Times New Roman" w:hAnsi="Times New Roman" w:eastAsia="Times New Roman" w:cs="Times New Roman"/>
          <w:sz w:val="24"/>
        </w:rPr>
        <w:t xml:space="preserve">[78] Shrake, A. &amp; Rupley, J.A. (1973).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“Environment and exposure to solvent of protein atoms.”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Journal of Molecular Biology</w:t>
      </w:r>
      <w:r>
        <w:rPr>
          <w:rFonts w:ascii="Times New Roman" w:hAnsi="Times New Roman" w:eastAsia="Times New Roman" w:cs="Times New Roman"/>
          <w:sz w:val="24"/>
        </w:rPr>
        <w:t xml:space="preserve">, 79, 351–371.</w:t>
      </w:r>
    </w:p>
    <w:p>
      <w:pPr>
        <w:pStyle w:val="BodyText"/>
      </w:pPr>
      <w:r>
        <w:rPr>
          <w:rFonts w:ascii="Times New Roman" w:hAnsi="Times New Roman" w:eastAsia="Times New Roman" w:cs="Times New Roman"/>
          <w:sz w:val="24"/>
        </w:rPr>
        <w:t xml:space="preserve">[79] Eddy, S.R. (1998).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“Profile hidden Markov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14, 755–763.</w:t>
      </w:r>
    </w:p>
    <w:p>
      <w:pPr>
        <w:pStyle w:val="BodyText"/>
      </w:pPr>
      <w:r>
        <w:rPr>
          <w:rFonts w:ascii="Times New Roman" w:hAnsi="Times New Roman" w:eastAsia="Times New Roman" w:cs="Times New Roman"/>
          <w:sz w:val="24"/>
        </w:rPr>
        <w:t xml:space="preserve">[80] Steinegger, M. &amp; Söding, J.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“MMseqs2 enables sensitive protein sequence searching for massive data sets.”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Biotechnology</w:t>
      </w:r>
      <w:r>
        <w:rPr>
          <w:rFonts w:ascii="Times New Roman" w:hAnsi="Times New Roman" w:eastAsia="Times New Roman" w:cs="Times New Roman"/>
          <w:sz w:val="24"/>
        </w:rPr>
        <w:t xml:space="preserve">, 35, 1026–1030.</w:t>
      </w:r>
    </w:p>
    <w:p>
      <w:pPr>
        <w:pStyle w:val="BodyText"/>
      </w:pPr>
      <w:r>
        <w:rPr>
          <w:rFonts w:ascii="Times New Roman" w:hAnsi="Times New Roman" w:eastAsia="Times New Roman" w:cs="Times New Roman"/>
          <w:sz w:val="24"/>
        </w:rPr>
        <w:t xml:space="preserve">[81] Katoh, K. &amp; Standley, D.M. (2013).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“MAFFT multiple sequence alignment software version 7: Improvements in performance and usability.”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Molecular Biology and Evolution</w:t>
      </w:r>
      <w:r>
        <w:rPr>
          <w:rFonts w:ascii="Times New Roman" w:hAnsi="Times New Roman" w:eastAsia="Times New Roman" w:cs="Times New Roman"/>
          <w:sz w:val="24"/>
        </w:rPr>
        <w:t xml:space="preserve">, 30, 772–780.</w:t>
      </w:r>
    </w:p>
    <w:p>
      <w:pPr>
        <w:pStyle w:val="BodyText"/>
      </w:pPr>
      <w:r>
        <w:rPr>
          <w:rFonts w:ascii="Times New Roman" w:hAnsi="Times New Roman" w:eastAsia="Times New Roman" w:cs="Times New Roman"/>
          <w:sz w:val="24"/>
        </w:rPr>
        <w:t xml:space="preserve">[82] Wootton, J.C. &amp; Federhen, S. (1993).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“Statistics of local complexity in amino acid sequences and sequence databases.”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Computers &amp; Chemistry</w:t>
      </w:r>
      <w:r>
        <w:rPr>
          <w:rFonts w:ascii="Times New Roman" w:hAnsi="Times New Roman" w:eastAsia="Times New Roman" w:cs="Times New Roman"/>
          <w:sz w:val="24"/>
        </w:rPr>
        <w:t xml:space="preserve">, 17, 149–163.</w:t>
      </w:r>
    </w:p>
    <w:p>
      <w:pPr>
        <w:pStyle w:val="BodyText"/>
      </w:pPr>
      <w:r>
        <w:rPr>
          <w:rFonts w:ascii="Times New Roman" w:hAnsi="Times New Roman" w:eastAsia="Times New Roman" w:cs="Times New Roman"/>
          <w:sz w:val="24"/>
        </w:rPr>
        <w:t xml:space="preserve">[83] Lorenz, R. et al. (2011).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“ViennaRNA Package 2.0.”</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Algorithms for Molecular Biology</w:t>
      </w:r>
      <w:r>
        <w:rPr>
          <w:rFonts w:ascii="Times New Roman" w:hAnsi="Times New Roman" w:eastAsia="Times New Roman" w:cs="Times New Roman"/>
          <w:sz w:val="24"/>
        </w:rPr>
        <w:t xml:space="preserve">, 6, 26.</w:t>
      </w:r>
    </w:p>
    <w:p>
      <w:pPr>
        <w:pStyle w:val="BodyText"/>
      </w:pPr>
      <w:r>
        <w:rPr>
          <w:rFonts w:ascii="Times New Roman" w:hAnsi="Times New Roman" w:eastAsia="Times New Roman" w:cs="Times New Roman"/>
          <w:sz w:val="24"/>
        </w:rPr>
        <w:t xml:space="preserve">[84] Lin, Z.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“Language models of protein sequences at the scale of evolution enable accurate structure prediction.”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bioRxiv</w:t>
      </w:r>
      <w:r>
        <w:rPr>
          <w:rFonts w:ascii="Times New Roman" w:hAnsi="Times New Roman" w:eastAsia="Times New Roman" w:cs="Times New Roman"/>
          <w:sz w:val="24"/>
        </w:rPr>
        <w:t xml:space="preserve">, doi:10.1101/2022.07.20.500902.</w:t>
      </w:r>
    </w:p>
    <w:p>
      <w:pPr>
        <w:pStyle w:val="BodyText"/>
      </w:pPr>
      <w:r>
        <w:rPr>
          <w:rFonts w:ascii="Times New Roman" w:hAnsi="Times New Roman" w:eastAsia="Times New Roman" w:cs="Times New Roman"/>
          <w:sz w:val="24"/>
        </w:rPr>
        <w:t xml:space="preserve">[85] Jing, B.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“Boltz2: Molecular generation at the scale of billion-parameter foundation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Methods</w:t>
      </w:r>
      <w:r>
        <w:rPr>
          <w:rFonts w:ascii="Times New Roman" w:hAnsi="Times New Roman" w:eastAsia="Times New Roman" w:cs="Times New Roman"/>
          <w:sz w:val="24"/>
        </w:rPr>
        <w:t xml:space="preserve">, 22, 561–569.</w:t>
      </w:r>
    </w:p>
    <w:p>
      <w:pPr>
        <w:pStyle w:val="BodyText"/>
      </w:pPr>
      <w:r>
        <w:rPr>
          <w:rFonts w:ascii="Times New Roman" w:hAnsi="Times New Roman" w:eastAsia="Times New Roman" w:cs="Times New Roman"/>
          <w:sz w:val="24"/>
        </w:rPr>
        <w:t xml:space="preserve">[86] Dauparas, J.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“Robust deep learning based protein sequence design using ProteinMPNN.”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Science</w:t>
      </w:r>
      <w:r>
        <w:rPr>
          <w:rFonts w:ascii="Times New Roman" w:hAnsi="Times New Roman" w:eastAsia="Times New Roman" w:cs="Times New Roman"/>
          <w:sz w:val="24"/>
        </w:rPr>
        <w:t xml:space="preserve">, 378, 49–56.</w:t>
      </w:r>
    </w:p>
    <w:p>
      <w:pPr>
        <w:pStyle w:val="BodyText"/>
      </w:pPr>
      <w:r>
        <w:rPr>
          <w:rFonts w:ascii="Times New Roman" w:hAnsi="Times New Roman" w:eastAsia="Times New Roman" w:cs="Times New Roman"/>
          <w:sz w:val="24"/>
        </w:rPr>
        <w:t xml:space="preserve">[87] Schrödinger, LLC. (2024).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PyMOL Molecular Graphics System, Version 3.0.”</w:t>
      </w:r>
    </w:p>
    <w:p>
      <w:pPr>
        <w:pStyle w:val="BodyText"/>
      </w:pPr>
      <w:r>
        <w:rPr>
          <w:rFonts w:ascii="Times New Roman" w:hAnsi="Times New Roman" w:eastAsia="Times New Roman" w:cs="Times New Roman"/>
          <w:sz w:val="24"/>
        </w:rPr>
        <w:t xml:space="preserve">[88] Kabsch, W. (1976).</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solution for the best rotation to relate two coordinate sets.”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Acta Crystallographica A</w:t>
      </w:r>
      <w:r>
        <w:rPr>
          <w:rFonts w:ascii="Times New Roman" w:hAnsi="Times New Roman" w:eastAsia="Times New Roman" w:cs="Times New Roman"/>
          <w:sz w:val="24"/>
        </w:rPr>
        <w:t xml:space="preserve">, 32, 922–923.</w:t>
      </w:r>
    </w:p>
    <w:p>
      <w:pPr>
        <w:pStyle w:val="BodyText"/>
      </w:pPr>
      <w:r>
        <w:rPr>
          <w:rFonts w:ascii="Times New Roman" w:hAnsi="Times New Roman" w:eastAsia="Times New Roman" w:cs="Times New Roman"/>
          <w:sz w:val="24"/>
        </w:rPr>
        <w:t xml:space="preserve">[89] Topol, E.J. (2019).</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“High-performance medicine: The convergence of human and artificial intelligence.”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Medicine</w:t>
      </w:r>
      <w:r>
        <w:rPr>
          <w:rFonts w:ascii="Times New Roman" w:hAnsi="Times New Roman" w:eastAsia="Times New Roman" w:cs="Times New Roman"/>
          <w:sz w:val="24"/>
        </w:rPr>
        <w:t xml:space="preserve">, 25, 44–56.</w:t>
      </w:r>
    </w:p>
    <w:p>
      <w:pPr>
        <w:pStyle w:val="BodyText"/>
      </w:pPr>
      <w:r>
        <w:rPr>
          <w:rFonts w:ascii="Times New Roman" w:hAnsi="Times New Roman" w:eastAsia="Times New Roman" w:cs="Times New Roman"/>
          <w:sz w:val="24"/>
        </w:rPr>
        <w:t xml:space="preserve">[90] Johnson, J.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“Biology-specific capabilities of large language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Advances in Neural Information Processing Systems (NeurIPS)</w:t>
      </w:r>
      <w:r>
        <w:rPr>
          <w:rFonts w:ascii="Times New Roman" w:hAnsi="Times New Roman" w:eastAsia="Times New Roman" w:cs="Times New Roman"/>
          <w:sz w:val="24"/>
        </w:rPr>
        <w:t xml:space="preserve">, 36.</w:t>
      </w:r>
    </w:p>
    <w:p>
      <w:pPr>
        <w:pStyle w:val="BodyText"/>
      </w:pPr>
      <w:r>
        <w:rPr>
          <w:rFonts w:ascii="Times New Roman" w:hAnsi="Times New Roman" w:eastAsia="Times New Roman" w:cs="Times New Roman"/>
          <w:sz w:val="24"/>
        </w:rPr>
        <w:t xml:space="preserve">[91] Yao, S. et al.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“ReAct: Synergizing reasoning and acting in language models.”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International Conference on Learning Representations (ICLR)</w:t>
      </w:r>
      <w:r>
        <w:rPr>
          <w:rFonts w:ascii="Times New Roman" w:hAnsi="Times New Roman" w:eastAsia="Times New Roman" w:cs="Times New Roman"/>
          <w:sz w:val="24"/>
        </w:rPr>
        <w:t xml:space="preserve">.</w:t>
      </w:r>
    </w:p>
    <w:p>
      <w:pPr>
        <w:pStyle w:val="BodyText"/>
      </w:pPr>
      <w:r>
        <w:rPr>
          <w:rFonts w:ascii="Times New Roman" w:hAnsi="Times New Roman" w:eastAsia="Times New Roman" w:cs="Times New Roman"/>
          <w:sz w:val="24"/>
        </w:rPr>
        <w:t xml:space="preserve">[92] Lord, C.J. &amp; Ashworth, A. (2012).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DNA damage response and cancer therapy.”</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481, 287–294.</w:t>
      </w:r>
    </w:p>
    <w:p>
      <w:pPr>
        <w:pStyle w:val="BodyText"/>
      </w:pPr>
      <w:r>
        <w:rPr>
          <w:rFonts w:ascii="Times New Roman" w:hAnsi="Times New Roman" w:eastAsia="Times New Roman" w:cs="Times New Roman"/>
          <w:sz w:val="24"/>
        </w:rPr>
        <w:t xml:space="preserve">[93] Bryant, H.E. et al. (2005).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“Specific killing of BRCA2-deficient tumours with inhibitors of poly(ADP-ribose) polymerase.”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w:t>
      </w:r>
      <w:r>
        <w:rPr>
          <w:rFonts w:ascii="Times New Roman" w:hAnsi="Times New Roman" w:eastAsia="Times New Roman" w:cs="Times New Roman"/>
          <w:sz w:val="24"/>
        </w:rPr>
        <w:t xml:space="preserve">, 434, 913–917.</w:t>
      </w:r>
    </w:p>
    <w:p>
      <w:pPr>
        <w:pStyle w:val="BodyText"/>
      </w:pPr>
      <w:r>
        <w:rPr>
          <w:rFonts w:ascii="Times New Roman" w:hAnsi="Times New Roman" w:eastAsia="Times New Roman" w:cs="Times New Roman"/>
          <w:sz w:val="24"/>
        </w:rPr>
        <w:t xml:space="preserve">[94] Schindler, T. et al. (2000).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“Structural mechanism for STI-571 inhibition of abelson tyrosine kinase.”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Science</w:t>
      </w:r>
      <w:r>
        <w:rPr>
          <w:rFonts w:ascii="Times New Roman" w:hAnsi="Times New Roman" w:eastAsia="Times New Roman" w:cs="Times New Roman"/>
          <w:sz w:val="24"/>
        </w:rPr>
        <w:t xml:space="preserve">, 289, 1938–1942.</w:t>
      </w:r>
    </w:p>
    <w:p>
      <w:pPr>
        <w:pStyle w:val="BodyText"/>
      </w:pPr>
      <w:r>
        <w:rPr>
          <w:rFonts w:ascii="Times New Roman" w:hAnsi="Times New Roman" w:eastAsia="Times New Roman" w:cs="Times New Roman"/>
          <w:sz w:val="24"/>
        </w:rPr>
        <w:t xml:space="preserve">[95] Rego, N.B. &amp; Koes, D.R. (2015).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“3Dmol.js: molecular visualization with WebGL.”</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Bioinformatics</w:t>
      </w:r>
      <w:r>
        <w:rPr>
          <w:rFonts w:ascii="Times New Roman" w:hAnsi="Times New Roman" w:eastAsia="Times New Roman" w:cs="Times New Roman"/>
          <w:sz w:val="24"/>
        </w:rPr>
        <w:t xml:space="preserve">, 31, 1322–1324.</w:t>
      </w:r>
    </w:p>
    <w:p>
      <w:pPr>
        <w:pStyle w:val="BodyText"/>
      </w:pPr>
      <w:r>
        <w:rPr>
          <w:rFonts w:ascii="Times New Roman" w:hAnsi="Times New Roman" w:eastAsia="Times New Roman" w:cs="Times New Roman"/>
          <w:sz w:val="24"/>
        </w:rPr>
        <w:t xml:space="preserve">[96] Morales, J.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joint NCBI and EMBL-EBI public resource for genomic and variant data: the NCBI-EBI MANE project.”</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Nature Genetics</w:t>
      </w:r>
      <w:r>
        <w:rPr>
          <w:rFonts w:ascii="Times New Roman" w:hAnsi="Times New Roman" w:eastAsia="Times New Roman" w:cs="Times New Roman"/>
          <w:sz w:val="24"/>
        </w:rPr>
        <w:t xml:space="preserve">, 54, 1226–1231.</w:t>
      </w:r>
    </w:p>
    <w:p>
      <w:pPr>
        <w:pStyle w:val="BodyText"/>
      </w:pPr>
      <w:r>
        <w:rPr>
          <w:rFonts w:ascii="Times New Roman" w:hAnsi="Times New Roman" w:eastAsia="Times New Roman" w:cs="Times New Roman"/>
          <w:sz w:val="24"/>
        </w:rPr>
        <w:t xml:space="preserve">[97] Kervestin, S. et al. (2012).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“Nonsense-mediated mRNA decay in clinical genetics and therapeutic strategies.”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Trends in Genetics</w:t>
      </w:r>
      <w:r>
        <w:rPr>
          <w:rFonts w:ascii="Times New Roman" w:hAnsi="Times New Roman" w:eastAsia="Times New Roman" w:cs="Times New Roman"/>
          <w:sz w:val="24"/>
        </w:rPr>
        <w:t xml:space="preserve">, 28, 547–556.</w:t>
      </w:r>
    </w:p>
    <w:p>
      <w:pPr>
        <w:pStyle w:val="BodyText"/>
      </w:pPr>
      <w:r>
        <w:rPr>
          <w:rFonts w:ascii="Times New Roman" w:hAnsi="Times New Roman" w:eastAsia="Times New Roman" w:cs="Times New Roman"/>
          <w:sz w:val="24"/>
        </w:rPr>
        <w:t xml:space="preserve">[98] Abou Tayoun, A.N. et al. (2018).</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“Recommendations for interpreting the loss of function PVS1 ACMG/AMP variant criterion.”</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Human Mutation</w:t>
      </w:r>
      <w:r>
        <w:rPr>
          <w:rFonts w:ascii="Times New Roman" w:hAnsi="Times New Roman" w:eastAsia="Times New Roman" w:cs="Times New Roman"/>
          <w:sz w:val="24"/>
        </w:rPr>
        <w:t xml:space="preserve">, 39, 1517–1524.</w:t>
      </w:r>
    </w:p>
    <w:p>
      <w:pPr>
        <w:pStyle w:val="BodyText"/>
      </w:pPr>
      <w:r>
        <w:rPr>
          <w:rFonts w:ascii="Times New Roman" w:hAnsi="Times New Roman" w:eastAsia="Times New Roman" w:cs="Times New Roman"/>
          <w:sz w:val="24"/>
        </w:rPr>
        <w:t xml:space="preserve">[99] Starita, L.M. et al. (2017).</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“Variant Interpretation: Functional Assays to the Rescue.”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American Journal of Human Genetics</w:t>
      </w:r>
      <w:r>
        <w:rPr>
          <w:rFonts w:ascii="Times New Roman" w:hAnsi="Times New Roman" w:eastAsia="Times New Roman" w:cs="Times New Roman"/>
          <w:sz w:val="24"/>
        </w:rPr>
        <w:t xml:space="preserve">, 101, 315–325.</w:t>
      </w:r>
    </w:p>
    <w:bookmarkEnd w:id="139"/>
    <w:bookmarkEnd w:id="140"/>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r>
      <w:rPr>
        <w:rFonts w:ascii="Times New Roman" w:hAnsi="Times New Roman"/>
        <w:sz w:val="20"/>
      </w:rPr>
      <w:t xml:space="preserve"> of </w:t>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pacing w:val="-10"/>
      <w:kern w:val="2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b/>
      <w:i/>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2026-07-13T20:34:30Z</dcterms:created>
  <dcterms:modified xsi:type="dcterms:W3CDTF">2026-07-13T20:34:30Z</dcterms:modified>
</cp:coreProperties>
</file>

<file path=docProps/custom.xml><?xml version="1.0" encoding="utf-8"?>
<Properties xmlns="http://schemas.openxmlformats.org/officeDocument/2006/custom-properties" xmlns:vt="http://schemas.openxmlformats.org/officeDocument/2006/docPropsVTypes"/>
</file>