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Aptos Display" w:hAnsi="Aptos Display"/>
          <w:b/>
          <w:color w:val="19304E"/>
          <w:sz w:val="64"/>
        </w:rPr>
        <w:t>PROMPTGUARD</w:t>
      </w:r>
    </w:p>
    <w:p>
      <w:pPr>
        <w:spacing w:after="240"/>
      </w:pPr>
      <w:r>
        <w:rPr>
          <w:rFonts w:ascii="Aptos Display" w:hAnsi="Aptos Display"/>
          <w:color w:val="007080"/>
          <w:sz w:val="40"/>
        </w:rPr>
        <w:t>Phase-Based Implementation Plan</w:t>
      </w:r>
    </w:p>
    <w:p>
      <w:pPr>
        <w:spacing w:after="280"/>
      </w:pPr>
      <w:r>
        <w:rPr>
          <w:color w:val="4B5563"/>
          <w:sz w:val="24"/>
        </w:rPr>
        <w:t>A practical build plan for three people working in parallel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7"/>
          </w:tcPr>
          <w:p>
            <w:pPr>
              <w:spacing w:after="80"/>
            </w:pPr>
            <w:r/>
            <w:r>
              <w:rPr>
                <w:b/>
                <w:color w:val="007080"/>
                <w:sz w:val="18"/>
              </w:rPr>
              <w:t>PROJECT OBJECTIVE</w:t>
            </w:r>
          </w:p>
          <w:p>
            <w:pPr>
              <w:spacing w:after="20"/>
            </w:pPr>
            <w:r>
              <w:t>Build a working prompt-injection detection system that scans text and text-based documents, flags suspicious passages, and reports measurable model performance. The team will train and evaluate a real classifier rather than relying only on a hosted model or a polished interface.</w:t>
            </w:r>
          </w:p>
        </w:tc>
      </w:tr>
    </w:tbl>
    <w:p/>
    <w:p>
      <w:pPr>
        <w:pStyle w:val="Heading1"/>
      </w:pPr>
      <w:r>
        <w:t>Project scope</w:t>
      </w:r>
    </w:p>
    <w:p>
      <w:pPr>
        <w:pStyle w:val="ListBullet"/>
        <w:spacing w:after="40"/>
      </w:pPr>
      <w:r>
        <w:t>Core detection: English-language direct prompt injection, indirect instructions embedded in documents, and jailbreak-style attempts.</w:t>
      </w:r>
    </w:p>
    <w:p>
      <w:pPr>
        <w:pStyle w:val="ListBullet"/>
        <w:spacing w:after="40"/>
      </w:pPr>
      <w:r>
        <w:t>Inputs: pasted text plus TXT, text-based PDF, and DOCX files.</w:t>
      </w:r>
    </w:p>
    <w:p>
      <w:pPr>
        <w:pStyle w:val="ListBullet"/>
        <w:spacing w:after="40"/>
      </w:pPr>
      <w:r>
        <w:t>Outputs: benign/suspicious label, score, flagged passages, model version, and a concise scan report.</w:t>
      </w:r>
    </w:p>
    <w:p>
      <w:pPr>
        <w:pStyle w:val="ListBullet"/>
        <w:spacing w:after="40"/>
      </w:pPr>
      <w:r>
        <w:t>ML: compare a TF-IDF + Logistic Regression baseline against a fine-tuned DistilBERT classifier.</w:t>
      </w:r>
    </w:p>
    <w:p>
      <w:pPr>
        <w:pStyle w:val="ListBullet"/>
        <w:spacing w:after="40"/>
      </w:pPr>
      <w:r>
        <w:t>Deployment: reproducible local setup and Docker packaging; cloud deployment is optional.</w:t>
      </w:r>
    </w:p>
    <w:p>
      <w:pPr>
        <w:pStyle w:val="ListBullet"/>
        <w:spacing w:after="40"/>
      </w:pPr>
      <w:r>
        <w:t>Out of scope for the first release: OCR for scanned PDFs, guaranteed detection of all attacks, and automatic enforcement of security-sensitive actions.</w:t>
      </w:r>
    </w:p>
    <w:p>
      <w:pPr>
        <w:pStyle w:val="Heading1"/>
      </w:pPr>
      <w:r>
        <w:t>Team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shd w:fill="EAF1FB"/>
          </w:tcPr>
          <w:p>
            <w:pPr>
              <w:spacing w:after="60"/>
            </w:pPr>
            <w:r/>
            <w:r>
              <w:rPr>
                <w:b/>
                <w:color w:val="19304E"/>
                <w:sz w:val="18"/>
              </w:rPr>
              <w:t>PERSON 1</w:t>
            </w:r>
          </w:p>
          <w:p>
            <w:pPr>
              <w:spacing w:after="80"/>
            </w:pPr>
            <w:r>
              <w:rPr>
                <w:b/>
                <w:color w:val="007080"/>
                <w:sz w:val="17"/>
              </w:rPr>
              <w:t>ML &amp; MODEL TRAINING</w:t>
            </w:r>
          </w:p>
          <w:p>
            <w:pPr>
              <w:spacing w:after="20"/>
            </w:pPr>
            <w:r>
              <w:rPr>
                <w:color w:val="2D3748"/>
                <w:sz w:val="16"/>
              </w:rPr>
              <w:t>Training pipeline, baseline, transformer fine-tuning, inference module, model packaging.</w:t>
            </w:r>
          </w:p>
        </w:tc>
        <w:tc>
          <w:tcPr>
            <w:tcW w:type="dxa" w:w="3240"/>
            <w:shd w:fill="EAF6F3"/>
          </w:tcPr>
          <w:p>
            <w:pPr>
              <w:spacing w:after="60"/>
            </w:pPr>
            <w:r/>
            <w:r>
              <w:rPr>
                <w:b/>
                <w:color w:val="19304E"/>
                <w:sz w:val="18"/>
              </w:rPr>
              <w:t>PERSON 2</w:t>
            </w:r>
          </w:p>
          <w:p>
            <w:pPr>
              <w:spacing w:after="80"/>
            </w:pPr>
            <w:r>
              <w:rPr>
                <w:b/>
                <w:color w:val="007080"/>
                <w:sz w:val="17"/>
              </w:rPr>
              <w:t>DATA &amp; SECURITY EVALUATION</w:t>
            </w:r>
          </w:p>
          <w:p>
            <w:pPr>
              <w:spacing w:after="20"/>
            </w:pPr>
            <w:r>
              <w:rPr>
                <w:color w:val="2D3748"/>
                <w:sz w:val="16"/>
              </w:rPr>
              <w:t>Dataset audit, labeling rules, threat taxonomy, leakage checks, held-out tests, metrics and failure analysis.</w:t>
            </w:r>
          </w:p>
        </w:tc>
        <w:tc>
          <w:tcPr>
            <w:tcW w:type="dxa" w:w="3240"/>
            <w:shd w:fill="F1EDFA"/>
          </w:tcPr>
          <w:p>
            <w:pPr>
              <w:spacing w:after="60"/>
            </w:pPr>
            <w:r/>
            <w:r>
              <w:rPr>
                <w:b/>
                <w:color w:val="19304E"/>
                <w:sz w:val="18"/>
              </w:rPr>
              <w:t>PERSON 3</w:t>
            </w:r>
          </w:p>
          <w:p>
            <w:pPr>
              <w:spacing w:after="80"/>
            </w:pPr>
            <w:r>
              <w:rPr>
                <w:b/>
                <w:color w:val="007080"/>
                <w:sz w:val="17"/>
              </w:rPr>
              <w:t>APPLICATION &amp; DEPLOYMENT</w:t>
            </w:r>
          </w:p>
          <w:p>
            <w:pPr>
              <w:spacing w:after="20"/>
            </w:pPr>
            <w:r>
              <w:rPr>
                <w:color w:val="2D3748"/>
                <w:sz w:val="16"/>
              </w:rPr>
              <w:t>React frontend, FastAPI backend, document parsing, integration, tests, Docker and demo.</w:t>
            </w:r>
          </w:p>
        </w:tc>
      </w:tr>
    </w:tbl>
    <w:p>
      <w:pPr>
        <w:pStyle w:val="SmallNote"/>
      </w:pPr>
      <w:r>
        <w:t>Parallel-work rule: each person owns their workstream, but all three integrate continuously. Person 3 starts with a mock model response; Person 1 exposes a stable inference interface; Person 2 defines data and evaluation rules before model results are tuned.</w:t>
      </w:r>
    </w:p>
    <w:p>
      <w:r>
        <w:br w:type="page"/>
      </w:r>
    </w:p>
    <w:p>
      <w:pPr>
        <w:pStyle w:val="Heading1"/>
      </w:pPr>
      <w:r>
        <w:t>How parallel work will function</w:t>
      </w:r>
    </w:p>
    <w:p>
      <w:r>
        <w:t>Work is organized into phases, not calendar weeks. A phase ends when its exit criteria are met; different people can work on separate deliverables within the same phase.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52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Owns</w:t>
            </w:r>
          </w:p>
        </w:tc>
        <w:tc>
          <w:tcPr>
            <w:tcW w:type="dxa" w:w="252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Provides to others</w:t>
            </w:r>
          </w:p>
        </w:tc>
        <w:tc>
          <w:tcPr>
            <w:tcW w:type="dxa" w:w="252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Does not block on</w:t>
            </w:r>
          </w:p>
        </w:tc>
      </w:tr>
      <w:tr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Person 1 — ML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Training and inference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predict(text) contract; model artifact; model card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Final UI styling; cloud deployment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Person 2 — Security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Data quality and evaluation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label policy; test suite; metrics report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Frontend completion; final model choice</w:t>
            </w:r>
          </w:p>
        </w:tc>
      </w:tr>
      <w:tr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Person 3 — Product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API, UI and document pipeline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working app; parser; integration tests</w:t>
            </w:r>
          </w:p>
        </w:tc>
        <w:tc>
          <w:tcPr>
            <w:tcW w:type="dxa" w:w="25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Trained model; uses mock predictions first</w:t>
            </w:r>
          </w:p>
        </w:tc>
      </w:tr>
    </w:tbl>
    <w:p>
      <w:pPr>
        <w:pStyle w:val="Heading1"/>
      </w:pPr>
      <w:r>
        <w:t>Phase 0 — Shared contract and repository</w:t>
      </w:r>
    </w:p>
    <w:p>
      <w:r>
        <w:t>All three members complete this short alignment phase together, then move into parallel work.</w:t>
      </w:r>
    </w:p>
    <w:p>
      <w:pPr>
        <w:pStyle w:val="ListBullet"/>
        <w:spacing w:after="40"/>
      </w:pPr>
      <w:r>
        <w:t>Create the GitHub repository and agree on Python version, branch/PR rules, code formatting and environment setup.</w:t>
      </w:r>
    </w:p>
    <w:p>
      <w:pPr>
        <w:pStyle w:val="ListBullet"/>
        <w:spacing w:after="40"/>
      </w:pPr>
      <w:r>
        <w:t>Agree the binary labels: benign vs suspicious/malicious, plus documented inclusion/exclusion rules.</w:t>
      </w:r>
    </w:p>
    <w:p>
      <w:pPr>
        <w:pStyle w:val="ListBullet"/>
        <w:spacing w:after="40"/>
      </w:pPr>
      <w:r>
        <w:t>Agree the API response schema and inference interface before implementing separate components.</w:t>
      </w:r>
    </w:p>
    <w:p>
      <w:pPr>
        <w:pStyle w:val="ListBullet"/>
        <w:spacing w:after="40"/>
      </w:pPr>
      <w:r>
        <w:t>Set up a shared issue board with separate tasks for ML, security/data, and application.</w:t>
      </w:r>
    </w:p>
    <w:p>
      <w:pPr>
        <w:pStyle w:val="Heading2"/>
      </w:pPr>
      <w:r>
        <w:t>Shared interface contract</w:t>
      </w:r>
    </w:p>
    <w:p>
      <w:pPr>
        <w:spacing w:before="60" w:after="120"/>
        <w:ind w:left="360" w:right="360"/>
        <w:shd w:fill="F2F5F8"/>
      </w:pPr>
      <w:r>
        <w:rPr>
          <w:rFonts w:ascii="Consolas" w:hAnsi="Consolas"/>
          <w:sz w:val="17"/>
        </w:rPr>
        <w:t>def detect_injection(text: str) -&gt; dict:</w:t>
        <w:br/>
        <w:t xml:space="preserve">    return {</w:t>
        <w:br/>
        <w:t xml:space="preserve">        "label": "benign" | "suspicious",</w:t>
        <w:br/>
        <w:t xml:space="preserve">        "score": 0.0,             # model score, not guaranteed probability</w:t>
        <w:br/>
        <w:t xml:space="preserve">        "model_version": "1.0"</w:t>
        <w:br/>
        <w:t xml:space="preserve">    }</w:t>
      </w:r>
    </w:p>
    <w:p>
      <w:pPr>
        <w:pStyle w:val="SmallNote"/>
      </w:pPr>
      <w:r>
        <w:t>The final schema may add flagged segments and threshold metadata. Keep the contract versioned and covered by tests.</w:t>
      </w:r>
    </w:p>
    <w:p>
      <w:pPr>
        <w:pStyle w:val="Heading1"/>
      </w:pPr>
      <w:r>
        <w:t>Phase 1 — Parallel foundations</w:t>
      </w:r>
    </w:p>
    <w:p>
      <w:r>
        <w:t>Start all three tracks at once. No one waits for another member's deliverable.</w:t>
      </w:r>
    </w:p>
    <w:p>
      <w:pPr>
        <w:pStyle w:val="Heading2"/>
      </w:pPr>
      <w:r>
        <w:t>Person 1 — ML track</w:t>
      </w:r>
    </w:p>
    <w:p>
      <w:pPr>
        <w:pStyle w:val="ListBullet"/>
        <w:spacing w:after="40"/>
      </w:pPr>
      <w:r>
        <w:t>Create the training environment and dataset-loading code.</w:t>
      </w:r>
    </w:p>
    <w:p>
      <w:pPr>
        <w:pStyle w:val="ListBullet"/>
        <w:spacing w:after="40"/>
      </w:pPr>
      <w:r>
        <w:t>Inspect class balance, sequence lengths, labels and basic sample quality.</w:t>
      </w:r>
    </w:p>
    <w:p>
      <w:pPr>
        <w:pStyle w:val="ListBullet"/>
        <w:spacing w:after="40"/>
      </w:pPr>
      <w:r>
        <w:t>Train the TF-IDF + Logistic Regression baseline and save initial metrics.</w:t>
      </w:r>
    </w:p>
    <w:p>
      <w:pPr>
        <w:pStyle w:val="ListBullet"/>
        <w:spacing w:after="40"/>
      </w:pPr>
      <w:r>
        <w:t>Implement a placeholder inference module matching the agreed interface.</w:t>
      </w:r>
    </w:p>
    <w:p>
      <w:pPr>
        <w:pStyle w:val="Heading2"/>
      </w:pPr>
      <w:r>
        <w:t>Person 2 — Data/security track</w:t>
      </w:r>
    </w:p>
    <w:p>
      <w:pPr>
        <w:pStyle w:val="ListBullet"/>
        <w:spacing w:after="40"/>
      </w:pPr>
      <w:r>
        <w:t>Review dataset licenses, intended use, provenance and label definitions.</w:t>
      </w:r>
    </w:p>
    <w:p>
      <w:pPr>
        <w:pStyle w:val="ListBullet"/>
        <w:spacing w:after="40"/>
      </w:pPr>
      <w:r>
        <w:t>Create a threat taxonomy: direct injection, indirect document injection, jailbreak attempts, benign discussion/quotations.</w:t>
      </w:r>
    </w:p>
    <w:p>
      <w:pPr>
        <w:pStyle w:val="ListBullet"/>
        <w:spacing w:after="40"/>
      </w:pPr>
      <w:r>
        <w:t>Check exact and near-duplicate samples and prevent related examples crossing train/validation/test splits.</w:t>
      </w:r>
    </w:p>
    <w:p>
      <w:pPr>
        <w:pStyle w:val="ListBullet"/>
        <w:spacing w:after="40"/>
      </w:pPr>
      <w:r>
        <w:t>Write a small labeled test suite covering obvious attacks and difficult benign text.</w:t>
      </w:r>
    </w:p>
    <w:p>
      <w:pPr>
        <w:pStyle w:val="Heading2"/>
      </w:pPr>
      <w:r>
        <w:t>Person 3 — Application track</w:t>
      </w:r>
    </w:p>
    <w:p>
      <w:pPr>
        <w:pStyle w:val="ListBullet"/>
        <w:spacing w:after="40"/>
      </w:pPr>
      <w:r>
        <w:t>Scaffold React + TypeScript frontend and FastAPI backend.</w:t>
      </w:r>
    </w:p>
    <w:p>
      <w:pPr>
        <w:pStyle w:val="ListBullet"/>
        <w:spacing w:after="40"/>
      </w:pPr>
      <w:r>
        <w:t>Implement POST /api/v1/scan against mock predictions.</w:t>
      </w:r>
    </w:p>
    <w:p>
      <w:pPr>
        <w:pStyle w:val="ListBullet"/>
        <w:spacing w:after="40"/>
      </w:pPr>
      <w:r>
        <w:t>Build text-input UI, loading/error states, results panel and basic accessibility.</w:t>
      </w:r>
    </w:p>
    <w:p>
      <w:pPr>
        <w:pStyle w:val="ListBullet"/>
        <w:spacing w:after="40"/>
      </w:pPr>
      <w:r>
        <w:t>Start TXT/PDF/DOCX parsing behind a clean service interface.</w:t>
      </w:r>
    </w:p>
    <w:p>
      <w:pPr>
        <w:pStyle w:val="Heading2"/>
      </w:pPr>
      <w:r>
        <w:t>Phase 1 exit criteria</w:t>
      </w:r>
    </w:p>
    <w:p>
      <w:pPr>
        <w:pStyle w:val="ListBullet"/>
        <w:spacing w:after="40"/>
      </w:pPr>
      <w:r>
        <w:t>A baseline runs end-to-end from a script.</w:t>
      </w:r>
    </w:p>
    <w:p>
      <w:pPr>
        <w:pStyle w:val="ListBullet"/>
        <w:spacing w:after="40"/>
      </w:pPr>
      <w:r>
        <w:t>Data definitions and split rules are documented.</w:t>
      </w:r>
    </w:p>
    <w:p>
      <w:pPr>
        <w:pStyle w:val="ListBullet"/>
        <w:spacing w:after="40"/>
      </w:pPr>
      <w:r>
        <w:t>The frontend can call the API and display mock results.</w:t>
      </w:r>
    </w:p>
    <w:p>
      <w:pPr>
        <w:pStyle w:val="ListBullet"/>
        <w:spacing w:after="40"/>
      </w:pPr>
      <w:r>
        <w:t>All members can run their component from the README.</w:t>
      </w:r>
    </w:p>
    <w:p>
      <w:r>
        <w:br w:type="page"/>
      </w:r>
    </w:p>
    <w:p>
      <w:pPr>
        <w:pStyle w:val="Heading1"/>
      </w:pPr>
      <w:r>
        <w:t>Phase 2 — Build the real components in parallel</w:t>
      </w:r>
    </w:p>
    <w:p>
      <w:r>
        <w:t>Each member advances their own workstream while keeping the shared interface stable.</w:t>
      </w:r>
    </w:p>
    <w:p>
      <w:pPr>
        <w:pStyle w:val="Heading2"/>
      </w:pPr>
      <w:r>
        <w:t>Person 1 — Fine-tune the transformer</w:t>
      </w:r>
    </w:p>
    <w:p>
      <w:pPr>
        <w:pStyle w:val="ListBullet"/>
        <w:spacing w:after="40"/>
      </w:pPr>
      <w:r>
        <w:t>Fine-tune DistilBERT or another agreed small transformer; do not train a language model from scratch.</w:t>
      </w:r>
    </w:p>
    <w:p>
      <w:pPr>
        <w:pStyle w:val="ListBullet"/>
        <w:spacing w:after="40"/>
      </w:pPr>
      <w:r>
        <w:t>Start with max sequence length 256, batch size 16, learning rate 2e-5 and a small number of epochs; choose settings based on validation results and available compute.</w:t>
      </w:r>
    </w:p>
    <w:p>
      <w:pPr>
        <w:pStyle w:val="ListBullet"/>
        <w:spacing w:after="40"/>
      </w:pPr>
      <w:r>
        <w:t>Save the best checkpoint based on validation metrics and keep a reproducible config/seed.</w:t>
      </w:r>
    </w:p>
    <w:p>
      <w:pPr>
        <w:pStyle w:val="ListBullet"/>
        <w:spacing w:after="40"/>
      </w:pPr>
      <w:r>
        <w:t>Add batch inference, input-length handling, model version metadata and a CPU-capable inference path.</w:t>
      </w:r>
    </w:p>
    <w:p>
      <w:pPr>
        <w:pStyle w:val="Heading2"/>
      </w:pPr>
      <w:r>
        <w:t>Person 2 — Build the independent evaluation system</w:t>
      </w:r>
    </w:p>
    <w:p>
      <w:pPr>
        <w:pStyle w:val="ListBullet"/>
        <w:spacing w:after="40"/>
      </w:pPr>
      <w:r>
        <w:t>Finalize the dataset cleaning pipeline and freeze a held-out test set.</w:t>
      </w:r>
    </w:p>
    <w:p>
      <w:pPr>
        <w:pStyle w:val="ListBullet"/>
        <w:spacing w:after="40"/>
      </w:pPr>
      <w:r>
        <w:t>Create an external test set from a second source only after checking duplicates, label compatibility and licensing.</w:t>
      </w:r>
    </w:p>
    <w:p>
      <w:pPr>
        <w:pStyle w:val="ListBullet"/>
        <w:spacing w:after="40"/>
      </w:pPr>
      <w:r>
        <w:t>Add evaluation scripts for precision, recall, F1, confusion matrix, false-positive rate and latency.</w:t>
      </w:r>
    </w:p>
    <w:p>
      <w:pPr>
        <w:pStyle w:val="ListBullet"/>
        <w:spacing w:after="40"/>
      </w:pPr>
      <w:r>
        <w:t>Include benign security articles and quoted attack examples to test false alarms.</w:t>
      </w:r>
    </w:p>
    <w:p>
      <w:pPr>
        <w:pStyle w:val="ListBullet"/>
        <w:spacing w:after="40"/>
      </w:pPr>
      <w:r>
        <w:t>Prepare adversarial variants for evaluation; do not let test examples leak into training or iterative tuning.</w:t>
      </w:r>
    </w:p>
    <w:p>
      <w:pPr>
        <w:pStyle w:val="Heading2"/>
      </w:pPr>
      <w:r>
        <w:t>Person 3 — Complete the product workflow</w:t>
      </w:r>
    </w:p>
    <w:p>
      <w:pPr>
        <w:pStyle w:val="ListBullet"/>
        <w:spacing w:after="40"/>
      </w:pPr>
      <w:r>
        <w:t>Finish TXT, text-based PDF and DOCX parsing, with file-size/type validation and useful error messages.</w:t>
      </w:r>
    </w:p>
    <w:p>
      <w:pPr>
        <w:pStyle w:val="ListBullet"/>
        <w:spacing w:after="40"/>
      </w:pPr>
      <w:r>
        <w:t>Split long documents into chunks and preserve source offsets/paragraph references where feasible.</w:t>
      </w:r>
    </w:p>
    <w:p>
      <w:pPr>
        <w:pStyle w:val="ListBullet"/>
        <w:spacing w:after="40"/>
      </w:pPr>
      <w:r>
        <w:t>Build flagged-segment display, scan summary, score/label display and exportable report.</w:t>
      </w:r>
    </w:p>
    <w:p>
      <w:pPr>
        <w:pStyle w:val="ListBullet"/>
        <w:spacing w:after="40"/>
      </w:pPr>
      <w:r>
        <w:t>Add a service adapter so mock inference can be replaced by the real model without changing the UI.</w:t>
      </w:r>
    </w:p>
    <w:p>
      <w:pPr>
        <w:pStyle w:val="Heading2"/>
      </w:pPr>
      <w:r>
        <w:t>Phase 2 exit criteria</w:t>
      </w:r>
    </w:p>
    <w:p>
      <w:pPr>
        <w:pStyle w:val="ListBullet"/>
        <w:spacing w:after="40"/>
      </w:pPr>
      <w:r>
        <w:t>The fine-tuned model can be loaded and used through the agreed interface.</w:t>
      </w:r>
    </w:p>
    <w:p>
      <w:pPr>
        <w:pStyle w:val="ListBullet"/>
        <w:spacing w:after="40"/>
      </w:pPr>
      <w:r>
        <w:t>The independent evaluation pipeline runs on a frozen test set.</w:t>
      </w:r>
    </w:p>
    <w:p>
      <w:pPr>
        <w:pStyle w:val="ListBullet"/>
        <w:spacing w:after="40"/>
      </w:pPr>
      <w:r>
        <w:t>The app can parse files and show mock or real scan results.</w:t>
      </w:r>
    </w:p>
    <w:p>
      <w:pPr>
        <w:pStyle w:val="ListBullet"/>
        <w:spacing w:after="40"/>
      </w:pPr>
      <w:r>
        <w:t>No model weights or private datasets are committed to Git.</w:t>
      </w:r>
    </w:p>
    <w:p>
      <w:pPr>
        <w:pStyle w:val="Heading1"/>
      </w:pPr>
      <w:r>
        <w:t>Phase 3 — Integration and model selection</w:t>
      </w:r>
    </w:p>
    <w:p>
      <w:r>
        <w:t>Integrate early and choose the final model based on evidence, not which model sounds more advanced.</w:t>
      </w:r>
    </w:p>
    <w:p>
      <w:pPr>
        <w:pStyle w:val="Heading2"/>
      </w:pPr>
      <w:r>
        <w:t>Joint activities</w:t>
      </w:r>
    </w:p>
    <w:p>
      <w:pPr>
        <w:pStyle w:val="ListBullet"/>
        <w:spacing w:after="40"/>
      </w:pPr>
      <w:r>
        <w:t>Person 1 connects the final inference module; Person 3 integrates it into FastAPI; Person 2 runs the evaluation suite against the integrated version.</w:t>
      </w:r>
    </w:p>
    <w:p>
      <w:pPr>
        <w:pStyle w:val="ListBullet"/>
        <w:spacing w:after="40"/>
      </w:pPr>
      <w:r>
        <w:t>Compare baseline and transformer on the same held-out test set.</w:t>
      </w:r>
    </w:p>
    <w:p>
      <w:pPr>
        <w:pStyle w:val="ListBullet"/>
        <w:spacing w:after="40"/>
      </w:pPr>
      <w:r>
        <w:t>Choose the decision threshold using validation data and document the trade-off between attack recall and false positives.</w:t>
      </w:r>
    </w:p>
    <w:p>
      <w:pPr>
        <w:pStyle w:val="ListBullet"/>
        <w:spacing w:after="40"/>
      </w:pPr>
      <w:r>
        <w:t>Test empty inputs, very long inputs, malformed files, Unicode text, quoted malicious text and repeated content.</w:t>
      </w:r>
    </w:p>
    <w:p>
      <w:pPr>
        <w:pStyle w:val="ListBullet"/>
        <w:spacing w:after="40"/>
      </w:pPr>
      <w:r>
        <w:t>Verify that displayed segment scores correspond to the actual scored chunks and that the UI does not invent explanations.</w:t>
      </w:r>
    </w:p>
    <w:p>
      <w:pPr>
        <w:pStyle w:val="Heading2"/>
      </w:pPr>
      <w:r>
        <w:t>Phase 3 exit criteria</w:t>
      </w:r>
    </w:p>
    <w:p>
      <w:pPr>
        <w:pStyle w:val="ListBullet"/>
        <w:spacing w:after="40"/>
      </w:pPr>
      <w:r>
        <w:t>A user can paste text or upload TXT/PDF/DOCX and receive real predictions.</w:t>
      </w:r>
    </w:p>
    <w:p>
      <w:pPr>
        <w:pStyle w:val="ListBullet"/>
        <w:spacing w:after="40"/>
      </w:pPr>
      <w:r>
        <w:t>The same frozen test set is used for fair model comparison.</w:t>
      </w:r>
    </w:p>
    <w:p>
      <w:pPr>
        <w:pStyle w:val="ListBullet"/>
        <w:spacing w:after="40"/>
      </w:pPr>
      <w:r>
        <w:t>Failure cases and limitations are documented.</w:t>
      </w:r>
    </w:p>
    <w:p>
      <w:pPr>
        <w:pStyle w:val="ListBullet"/>
        <w:spacing w:after="40"/>
      </w:pPr>
      <w:r>
        <w:t>API, parser and core end-to-end tests pass.</w:t>
      </w:r>
    </w:p>
    <w:p>
      <w:r>
        <w:br w:type="page"/>
      </w:r>
    </w:p>
    <w:p>
      <w:pPr>
        <w:pStyle w:val="Heading1"/>
      </w:pPr>
      <w:r>
        <w:t>Phase 4 — Hardening, evaluation and release</w:t>
      </w:r>
    </w:p>
    <w:p>
      <w:pPr>
        <w:pStyle w:val="Heading2"/>
      </w:pPr>
      <w:r>
        <w:t>Person 1 — Model release</w:t>
      </w:r>
    </w:p>
    <w:p>
      <w:pPr>
        <w:pStyle w:val="ListBullet"/>
        <w:spacing w:after="40"/>
      </w:pPr>
      <w:r>
        <w:t>Freeze the selected model, tokenizer, configuration and version identifier.</w:t>
      </w:r>
    </w:p>
    <w:p>
      <w:pPr>
        <w:pStyle w:val="ListBullet"/>
        <w:spacing w:after="40"/>
      </w:pPr>
      <w:r>
        <w:t>Record training data version, seed, hyperparameters and model artifact checksum.</w:t>
      </w:r>
    </w:p>
    <w:p>
      <w:pPr>
        <w:pStyle w:val="ListBullet"/>
        <w:spacing w:after="40"/>
      </w:pPr>
      <w:r>
        <w:t>Measure inference latency on a stated machine and verify clean-load behavior.</w:t>
      </w:r>
    </w:p>
    <w:p>
      <w:pPr>
        <w:pStyle w:val="Heading2"/>
      </w:pPr>
      <w:r>
        <w:t>Person 2 — Final security review</w:t>
      </w:r>
    </w:p>
    <w:p>
      <w:pPr>
        <w:pStyle w:val="ListBullet"/>
        <w:spacing w:after="40"/>
      </w:pPr>
      <w:r>
        <w:t>Run the frozen evaluation set and external generalization test.</w:t>
      </w:r>
    </w:p>
    <w:p>
      <w:pPr>
        <w:pStyle w:val="ListBullet"/>
        <w:spacing w:after="40"/>
      </w:pPr>
      <w:r>
        <w:t>Report precision, recall, F1, false-positive rate, confusion matrix, latency and per-category results.</w:t>
      </w:r>
    </w:p>
    <w:p>
      <w:pPr>
        <w:pStyle w:val="ListBullet"/>
        <w:spacing w:after="40"/>
      </w:pPr>
      <w:r>
        <w:t>Analyze false negatives and false positives; state clearly what attacks and languages were not tested.</w:t>
      </w:r>
    </w:p>
    <w:p>
      <w:pPr>
        <w:pStyle w:val="ListBullet"/>
        <w:spacing w:after="40"/>
      </w:pPr>
      <w:r>
        <w:t>Check that examples used in the final demo are labeled as illustrative or test examples.</w:t>
      </w:r>
    </w:p>
    <w:p>
      <w:pPr>
        <w:pStyle w:val="Heading2"/>
      </w:pPr>
      <w:r>
        <w:t>Person 3 — Release engineering</w:t>
      </w:r>
    </w:p>
    <w:p>
      <w:pPr>
        <w:pStyle w:val="ListBullet"/>
        <w:spacing w:after="40"/>
      </w:pPr>
      <w:r>
        <w:t>Add Dockerfile and docker-compose.yml, or provide a documented local launch path.</w:t>
      </w:r>
    </w:p>
    <w:p>
      <w:pPr>
        <w:pStyle w:val="ListBullet"/>
        <w:spacing w:after="40"/>
      </w:pPr>
      <w:r>
        <w:t>Run the project from a clean environment and test upload limits, parser errors and API failures.</w:t>
      </w:r>
    </w:p>
    <w:p>
      <w:pPr>
        <w:pStyle w:val="ListBullet"/>
        <w:spacing w:after="40"/>
      </w:pPr>
      <w:r>
        <w:t>Avoid storing scanned text by default; do not execute uploaded content or send it to external AI services without explicit design approval.</w:t>
      </w:r>
    </w:p>
    <w:p>
      <w:pPr>
        <w:pStyle w:val="ListBullet"/>
        <w:spacing w:after="40"/>
      </w:pPr>
      <w:r>
        <w:t>Finalize README, screenshots, architecture diagram and demo flow.</w:t>
      </w:r>
    </w:p>
    <w:p>
      <w:pPr>
        <w:pStyle w:val="Heading2"/>
      </w:pPr>
      <w:r>
        <w:t>Phase 4 exit criteria</w:t>
      </w:r>
    </w:p>
    <w:p>
      <w:pPr>
        <w:pStyle w:val="ListBullet"/>
        <w:spacing w:after="40"/>
      </w:pPr>
      <w:r>
        <w:t>The application launches from documented steps in a clean environment.</w:t>
      </w:r>
    </w:p>
    <w:p>
      <w:pPr>
        <w:pStyle w:val="ListBullet"/>
        <w:spacing w:after="40"/>
      </w:pPr>
      <w:r>
        <w:t>Model and evaluation results are reproducible.</w:t>
      </w:r>
    </w:p>
    <w:p>
      <w:pPr>
        <w:pStyle w:val="ListBullet"/>
        <w:spacing w:after="40"/>
      </w:pPr>
      <w:r>
        <w:t>The README explains data sources, licenses, architecture, metrics and limitations.</w:t>
      </w:r>
    </w:p>
    <w:p>
      <w:pPr>
        <w:pStyle w:val="ListBullet"/>
        <w:spacing w:after="40"/>
      </w:pPr>
      <w:r>
        <w:t>The demo clearly presents PromptGuard as a detector—not a guarantee of security.</w:t>
      </w:r>
    </w:p>
    <w:p>
      <w:pPr>
        <w:pStyle w:val="Heading1"/>
      </w:pPr>
      <w:r>
        <w:t>Evaluation targets (goals, not promises)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6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target</w:t>
            </w:r>
          </w:p>
        </w:tc>
        <w:tc>
          <w:tcPr>
            <w:tcW w:type="dxa" w:w="3360"/>
            <w:vAlign w:val="center"/>
            <w:shd w:fill="19304E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to interpret it</w:t>
            </w:r>
          </w:p>
        </w:tc>
      </w:tr>
      <w:tr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Held-out F1</w:t>
            </w:r>
          </w:p>
        </w:tc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≥ 0.85</w:t>
            </w:r>
          </w:p>
        </w:tc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Balance of precision and recall on the frozen test set.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Attack recall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≥ 0.90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 of labeled attacks detected; report false negatives.</w:t>
            </w:r>
          </w:p>
        </w:tc>
      </w:tr>
      <w:tr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False-positive rate</w:t>
            </w:r>
          </w:p>
        </w:tc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≤ 10%</w:t>
            </w:r>
          </w:p>
        </w:tc>
        <w:tc>
          <w:tcPr>
            <w:tcW w:type="dxa" w:w="33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 of benign test examples incorrectly flagged.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Reproducibility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All core tests pass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Training/evaluation configs and application setup are documented.</w:t>
            </w:r>
          </w:p>
        </w:tc>
      </w:tr>
    </w:tbl>
    <w:p>
      <w:pPr>
        <w:pStyle w:val="SmallNote"/>
      </w:pPr>
      <w:r>
        <w:t>Do not claim the targets were achieved unless the measured results support them. Do not tune repeatedly on the final test set.</w:t>
      </w:r>
    </w:p>
    <w:p>
      <w:pPr>
        <w:pStyle w:val="Heading1"/>
      </w:pPr>
      <w:r>
        <w:t>Definition of done</w:t>
      </w:r>
    </w:p>
    <w:p>
      <w:pPr>
        <w:pStyle w:val="ListBullet"/>
        <w:spacing w:after="40"/>
      </w:pPr>
      <w:r>
        <w:t>☐ Baseline and transformer training are reproducible.</w:t>
      </w:r>
    </w:p>
    <w:p>
      <w:pPr>
        <w:pStyle w:val="ListBullet"/>
        <w:spacing w:after="40"/>
      </w:pPr>
      <w:r>
        <w:t>☐ A frozen, leakage-checked test set is evaluated.</w:t>
      </w:r>
    </w:p>
    <w:p>
      <w:pPr>
        <w:pStyle w:val="ListBullet"/>
        <w:spacing w:after="40"/>
      </w:pPr>
      <w:r>
        <w:t>☐ Text and TXT/PDF/DOCX scanning work end-to-end.</w:t>
      </w:r>
    </w:p>
    <w:p>
      <w:pPr>
        <w:pStyle w:val="ListBullet"/>
        <w:spacing w:after="40"/>
      </w:pPr>
      <w:r>
        <w:t>☐ Flagged passages, model score and model version are visible.</w:t>
      </w:r>
    </w:p>
    <w:p>
      <w:pPr>
        <w:pStyle w:val="ListBullet"/>
        <w:spacing w:after="40"/>
      </w:pPr>
      <w:r>
        <w:t>☐ Automated tests cover inference, API, parsing and the main workflow.</w:t>
      </w:r>
    </w:p>
    <w:p>
      <w:pPr>
        <w:pStyle w:val="ListBullet"/>
        <w:spacing w:after="40"/>
      </w:pPr>
      <w:r>
        <w:t>☐ Docker or clean local setup is documented.</w:t>
      </w:r>
    </w:p>
    <w:p>
      <w:pPr>
        <w:pStyle w:val="ListBullet"/>
        <w:spacing w:after="40"/>
      </w:pPr>
      <w:r>
        <w:t>☐ The final report includes methodology, data provenance, metrics, failure cases and limitations.</w:t>
      </w:r>
    </w:p>
    <w:p>
      <w:pPr>
        <w:pStyle w:val="Heading1"/>
      </w:pPr>
      <w:r>
        <w:t>Recommended initial resources</w:t>
      </w:r>
    </w:p>
    <w:p>
      <w:pPr>
        <w:pStyle w:val="ListBullet"/>
        <w:spacing w:after="40"/>
      </w:pPr>
      <w:r>
        <w:t>Primary candidate dataset: https://huggingface.co/datasets/neuralchemy/Prompt-injection-dataset</w:t>
      </w:r>
    </w:p>
    <w:p>
      <w:pPr>
        <w:pStyle w:val="ListBullet"/>
        <w:spacing w:after="40"/>
      </w:pPr>
      <w:r>
        <w:t>Independent evaluation candidate: https://huggingface.co/datasets/wambosec/prompt-injections</w:t>
      </w:r>
    </w:p>
    <w:p>
      <w:pPr>
        <w:pStyle w:val="ListBullet"/>
        <w:spacing w:after="40"/>
      </w:pPr>
      <w:r>
        <w:t>Security guidance: OWASP Top 10 for LLM Applications — https://genai.owasp.org/llm-top-10/</w:t>
      </w:r>
    </w:p>
    <w:p>
      <w:pPr>
        <w:pStyle w:val="SmallNote"/>
      </w:pPr>
      <w:r>
        <w:t>Before using a dataset, verify the current license, provenance, labels, duplicate overlap and whether its samples match the project's threat definition. Dataset names alone do not establish suitability.</w:t>
      </w:r>
    </w:p>
    <w:p>
      <w:pPr>
        <w:pStyle w:val="Heading1"/>
      </w:pPr>
      <w:r>
        <w:t>First actions</w:t>
      </w:r>
    </w:p>
    <w:p>
      <w:pPr>
        <w:pStyle w:val="ListNumber"/>
        <w:spacing w:after="40"/>
      </w:pPr>
      <w:r>
        <w:t>Create the repository, assign the three owners, and agree the inference/API contract.</w:t>
      </w:r>
    </w:p>
    <w:p>
      <w:pPr>
        <w:pStyle w:val="ListNumber"/>
        <w:spacing w:after="40"/>
      </w:pPr>
      <w:r>
        <w:t>Person 1 trains the baseline, Person 2 audits the data and labels, and Person 3 builds the app against mock responses—all in parallel.</w:t>
      </w:r>
    </w:p>
    <w:p>
      <w:pPr>
        <w:pStyle w:val="ListNumber"/>
        <w:spacing w:after="40"/>
      </w:pPr>
      <w:r>
        <w:t>Integrate at the end of each phase using pull requests and small end-to-end tests; do not wait until the final phase.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7"/>
        <w:sz w:val="16"/>
      </w:rPr>
      <w:t>PromptGuard • Phase-based plan • Three-person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080"/>
        <w:sz w:val="16"/>
      </w:rPr>
      <w:t>PROMPTGUARD  / 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04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30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30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F69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