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36"/>
          <w:szCs w:val="36"/>
        </w:rPr>
        <w:t xml:space="preserve">Olist Revenue &amp; Logistics Command Center</w:t>
      </w:r>
    </w:p>
    <w:p>
      <w:pPr>
        <w:spacing w:after="40"/>
        <w:jc w:val="center"/>
      </w:pPr>
      <w:r>
        <w:rPr>
          <w:color w:val="666666"/>
          <w:sz w:val="26"/>
          <w:szCs w:val="26"/>
        </w:rPr>
        <w:t xml:space="preserve">Business Recommendations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Based on the Olist Brazilian E-Commerce Public Dataset (Sep 2016 – Aug 2018) · Prepared as a portfolio analytics case study</w:t>
      </w:r>
    </w:p>
    <w:p>
      <w:pPr>
        <w:spacing w:after="120"/>
      </w:pPr>
      <w:r>
        <w:rPr>
          <w:sz w:val="21"/>
          <w:szCs w:val="21"/>
        </w:rPr>
        <w:t xml:space="preserve">This document presents four evidence-based recommendations arising from an end-to-end analysis covering revenue, logistics, seller performance, and data quality across 96,478 delivered orders. Every figure below traces directly to a validated SQL query or dashboard measure; no financial projections beyond what the data supports are included.</w:t>
      </w:r>
    </w:p>
    <w:p>
      <w:pPr>
        <w:pBdr>
          <w:bottom w:val="single" w:color="1F4E5F" w:sz="6" w:space="4"/>
        </w:pBdr>
        <w:spacing w:after="100" w:before="320"/>
      </w:pPr>
      <w:r>
        <w:rPr>
          <w:b/>
          <w:bCs/>
          <w:color w:val="1F4E5F"/>
          <w:sz w:val="26"/>
          <w:szCs w:val="26"/>
        </w:rPr>
        <w:t xml:space="preserve">1. Fix the Northeast (Nordeste) delivery gap — a distance-driven logistics problem, not a seller problem</w:t>
      </w:r>
    </w:p>
    <w:p>
      <w:pPr>
        <w:spacing w:after="60"/>
      </w:pPr>
      <w:r>
        <w:rPr>
          <w:b/>
          <w:bCs/>
          <w:color w:val="1F4E5F"/>
        </w:rPr>
        <w:t xml:space="preserve">Observation:  </w:t>
      </w:r>
      <w:r>
        <w:t xml:space="preserve">The Nordeste region has a disproportionately high late-delivery rate compared to the rest of the platform.</w:t>
      </w:r>
    </w:p>
    <w:p>
      <w:pPr>
        <w:spacing w:after="60"/>
      </w:pPr>
      <w:r>
        <w:rPr>
          <w:b/>
          <w:bCs/>
          <w:color w:val="1F4E5F"/>
        </w:rPr>
        <w:t xml:space="preserve">Evidence:  </w:t>
      </w:r>
      <w:r>
        <w:t xml:space="preserve">Nordeste represents 9.38% of all delivered orders but 16.55% of all late deliveries (a 1.76x concentration), with a 14.31% late rate versus the 8.11% platform average, consistent across all 9 Nordeste states individually. Breaking sellers down by their origin state shows the pattern is distance-driven: sellers shipping from within or near Nordeste (Bahia 8.62%, Pernambuco 4.67%) perform near or better than the platform average, while sellers shipping from the distant São Paulo hub run 15.01% late specifically on this route — no individual seller has enough order volume to explain the pattern alone.</w:t>
      </w:r>
    </w:p>
    <w:p>
      <w:pPr>
        <w:spacing w:after="60"/>
      </w:pPr>
      <w:r>
        <w:rPr>
          <w:b/>
          <w:bCs/>
          <w:color w:val="1F4E5F"/>
        </w:rPr>
        <w:t xml:space="preserve">Business impact:  </w:t>
      </w:r>
      <w:r>
        <w:t xml:space="preserve">Late deliveries are associated with a 1.738-point average review score gap (4.284 on-time vs. 2.546 late). If Nordeste's late rate matched the platform average, an estimated 561 orders per the analyzed period would shift from late to on-time.</w:t>
      </w:r>
    </w:p>
    <w:p>
      <w:pPr>
        <w:spacing w:after="60"/>
      </w:pPr>
      <w:r>
        <w:rPr>
          <w:b/>
          <w:bCs/>
          <w:color w:val="1F4E5F"/>
        </w:rPr>
        <w:t xml:space="preserve">Recommendation:  </w:t>
      </w:r>
      <w:r>
        <w:t xml:space="preserve">Prioritize a carrier/logistics review specifically for the São Paulo-to-Nordeste long-haul shipping lane, rather than auditing individual sellers. Consider a regional fulfillment partner or adjusted delivery-estimate buffer for this route.</w:t>
      </w:r>
    </w:p>
    <w:p>
      <w:pPr>
        <w:spacing w:after="60"/>
      </w:pPr>
      <w:r>
        <w:rPr>
          <w:b/>
          <w:bCs/>
          <w:color w:val="1F4E5F"/>
        </w:rPr>
        <w:t xml:space="preserve">Expected outcome:  </w:t>
      </w:r>
      <w:r>
        <w:t xml:space="preserve">A meaningful reduction in Nordeste's late-delivery rate, with a proportional improvement in the region's average review score — success should be measured by tracking Nordeste's late rate and review average in the quarters following any carrier change.</w:t>
      </w:r>
    </w:p>
    <w:p>
      <w:pPr>
        <w:pBdr>
          <w:bottom w:val="single" w:color="1F4E5F" w:sz="6" w:space="4"/>
        </w:pBdr>
        <w:spacing w:after="100" w:before="320"/>
      </w:pPr>
      <w:r>
        <w:rPr>
          <w:b/>
          <w:bCs/>
          <w:color w:val="1F4E5F"/>
          <w:sz w:val="26"/>
          <w:szCs w:val="26"/>
        </w:rPr>
        <w:t xml:space="preserve">2. Launch a seller-success program for the platform's largest revenue segment</w:t>
      </w:r>
    </w:p>
    <w:p>
      <w:pPr>
        <w:spacing w:after="60"/>
      </w:pPr>
      <w:r>
        <w:rPr>
          <w:b/>
          <w:bCs/>
          <w:color w:val="1F4E5F"/>
        </w:rPr>
        <w:t xml:space="preserve">Observation:  </w:t>
      </w:r>
      <w:r>
        <w:t xml:space="preserve">A large group of high-revenue sellers are performing below the platform's median on delivery timing and reviews.</w:t>
      </w:r>
    </w:p>
    <w:p>
      <w:pPr>
        <w:spacing w:after="60"/>
      </w:pPr>
      <w:r>
        <w:rPr>
          <w:b/>
          <w:bCs/>
          <w:color w:val="1F4E5F"/>
        </w:rPr>
        <w:t xml:space="preserve">Evidence:  </w:t>
      </w:r>
      <w:r>
        <w:t xml:space="preserve">212 sellers (of 818 with sufficient order volume) fall into the 'high revenue, low performance' quadrant, generating R$5,366,989 in item revenue — more than the 197 sellers in the 'high revenue, high performance' quadrant (R$4,411,381). This group averages 89.1% on-time delivery and a 3.89 review score, versus 95.4% and 4.30 for the high-performing group. This includes the platform's single largest seller by revenue.</w:t>
      </w:r>
    </w:p>
    <w:p>
      <w:pPr>
        <w:spacing w:after="60"/>
      </w:pPr>
      <w:r>
        <w:rPr>
          <w:b/>
          <w:bCs/>
          <w:color w:val="1F4E5F"/>
        </w:rPr>
        <w:t xml:space="preserve">Business impact:  </w:t>
      </w:r>
      <w:r>
        <w:t xml:space="preserve">This is currently the largest revenue block on the platform, and it is underperforming. The gap is real but moderate, not severe — removing these sellers would risk more revenue than the performance issue itself justifies.</w:t>
      </w:r>
    </w:p>
    <w:p>
      <w:pPr>
        <w:spacing w:after="60"/>
      </w:pPr>
      <w:r>
        <w:rPr>
          <w:b/>
          <w:bCs/>
          <w:color w:val="1F4E5F"/>
        </w:rPr>
        <w:t xml:space="preserve">Recommendation:  </w:t>
      </w:r>
      <w:r>
        <w:t xml:space="preserve">Launch a structured seller-success outreach program targeted at these 212 sellers: fulfillment coaching, a defined improvement checkpoint, and using the high-performing quadrant's practices as a benchmark. This should be a retention-and-improvement program, not a removal policy.</w:t>
      </w:r>
    </w:p>
    <w:p>
      <w:pPr>
        <w:spacing w:after="60"/>
      </w:pPr>
      <w:r>
        <w:rPr>
          <w:b/>
          <w:bCs/>
          <w:color w:val="1F4E5F"/>
        </w:rPr>
        <w:t xml:space="preserve">Expected outcome:  </w:t>
      </w:r>
      <w:r>
        <w:t xml:space="preserve">Movement of underperforming high-revenue sellers toward the platform's on-time/review benchmarks, protecting the R$5.37M in revenue currently at elevated risk. Success should be measured by re-running the quadrant segmentation quarterly and tracking how many sellers migrate to the high-performance quadrant.</w:t>
      </w:r>
    </w:p>
    <w:p>
      <w:pPr>
        <w:pBdr>
          <w:bottom w:val="single" w:color="1F4E5F" w:sz="6" w:space="4"/>
        </w:pBdr>
        <w:spacing w:after="100" w:before="320"/>
      </w:pPr>
      <w:r>
        <w:rPr>
          <w:b/>
          <w:bCs/>
          <w:color w:val="1F4E5F"/>
          <w:sz w:val="26"/>
          <w:szCs w:val="26"/>
        </w:rPr>
        <w:t xml:space="preserve">3. Investigate the office_furniture category — a compounding, multiply-confirmed problem</w:t>
      </w:r>
    </w:p>
    <w:p>
      <w:pPr>
        <w:spacing w:after="60"/>
      </w:pPr>
      <w:r>
        <w:rPr>
          <w:b/>
          <w:bCs/>
          <w:color w:val="1F4E5F"/>
        </w:rPr>
        <w:t xml:space="preserve">Observation:  </w:t>
      </w:r>
      <w:r>
        <w:t xml:space="preserve">The office_furniture category consistently underperforms across every independent metric examined in this analysis.</w:t>
      </w:r>
    </w:p>
    <w:p>
      <w:pPr>
        <w:spacing w:after="60"/>
      </w:pPr>
      <w:r>
        <w:rPr>
          <w:b/>
          <w:bCs/>
          <w:color w:val="1F4E5F"/>
        </w:rPr>
        <w:t xml:space="preserve">Evidence:  </w:t>
      </w:r>
      <w:r>
        <w:t xml:space="preserve">office_furniture has the lowest average review score of any category with meaningful volume (3.50, n=1,254), the highest late-delivery rate in the Nordeste-specific breakdown (17.61%), and the highest freight-cost exposure of any major category (25.01% of item revenue), each identified independently across separate phases of this analysis without being pre-selected as a hypothesis.</w:t>
      </w:r>
    </w:p>
    <w:p>
      <w:pPr>
        <w:spacing w:after="60"/>
      </w:pPr>
      <w:r>
        <w:rPr>
          <w:b/>
          <w:bCs/>
          <w:color w:val="1F4E5F"/>
        </w:rPr>
        <w:t xml:space="preserve">Business impact:  </w:t>
      </w:r>
      <w:r>
        <w:t xml:space="preserve">This is very likely a single structural issue — bulky, heavy furniture items that are inherently harder and more expensive to ship reliably, and more consequential to receive damaged or late — rather than three unrelated problems.</w:t>
      </w:r>
    </w:p>
    <w:p>
      <w:pPr>
        <w:spacing w:after="60"/>
      </w:pPr>
      <w:r>
        <w:rPr>
          <w:b/>
          <w:bCs/>
          <w:color w:val="1F4E5F"/>
        </w:rPr>
        <w:t xml:space="preserve">Recommendation:  </w:t>
      </w:r>
      <w:r>
        <w:t xml:space="preserve">Commission a focused review of office_furniture's packaging, carrier handling, and freight pricing specifically, rather than treating it as one of many categories needing generic attention.</w:t>
      </w:r>
    </w:p>
    <w:p>
      <w:pPr>
        <w:spacing w:after="60"/>
      </w:pPr>
      <w:r>
        <w:rPr>
          <w:b/>
          <w:bCs/>
          <w:color w:val="1F4E5F"/>
        </w:rPr>
        <w:t xml:space="preserve">Expected outcome:  </w:t>
      </w:r>
      <w:r>
        <w:t xml:space="preserve">An improvement in office_furniture's review score and late-delivery rate would be a strong signal the shipping/handling hypothesis is correct; this should be validated with a small pilot (e.g., packaging changes with a subset of sellers) before a platform-wide policy change, since the underlying cause has not been definitively isolated here.</w:t>
      </w:r>
    </w:p>
    <w:p>
      <w:pPr>
        <w:pBdr>
          <w:bottom w:val="single" w:color="1F4E5F" w:sz="6" w:space="4"/>
        </w:pBdr>
        <w:spacing w:after="100" w:before="320"/>
      </w:pPr>
      <w:r>
        <w:rPr>
          <w:b/>
          <w:bCs/>
          <w:color w:val="1F4E5F"/>
          <w:sz w:val="26"/>
          <w:szCs w:val="26"/>
        </w:rPr>
        <w:t xml:space="preserve">4. Target loyalty investment at high-value customers, not geography</w:t>
      </w:r>
    </w:p>
    <w:p>
      <w:pPr>
        <w:spacing w:after="60"/>
      </w:pPr>
      <w:r>
        <w:rPr>
          <w:b/>
          <w:bCs/>
          <w:color w:val="1F4E5F"/>
        </w:rPr>
        <w:t xml:space="preserve">Observation:  </w:t>
      </w:r>
      <w:r>
        <w:t xml:space="preserve">Repeat-purchase behavior on the platform is low overall (3.00%) and does not vary meaningfully by customer location, but it does vary sharply by spend level.</w:t>
      </w:r>
    </w:p>
    <w:p>
      <w:pPr>
        <w:spacing w:after="60"/>
      </w:pPr>
      <w:r>
        <w:rPr>
          <w:b/>
          <w:bCs/>
          <w:color w:val="1F4E5F"/>
        </w:rPr>
        <w:t xml:space="preserve">Evidence:  </w:t>
      </w:r>
      <w:r>
        <w:t xml:space="preserve">97.0% of customers have exactly one order, and repeat rate sits in a narrow 2.9%-3.4% band across every major state — no geographic pattern. However, the top 5% of customers by total spend (≥R$420) repeat at 8.52%, compared to 4.80% for mid-value customers and just 0.97% for the bottom half of spenders by value.</w:t>
      </w:r>
    </w:p>
    <w:p>
      <w:pPr>
        <w:spacing w:after="60"/>
      </w:pPr>
      <w:r>
        <w:rPr>
          <w:b/>
          <w:bCs/>
          <w:color w:val="1F4E5F"/>
        </w:rPr>
        <w:t xml:space="preserve">Business impact:  </w:t>
      </w:r>
      <w:r>
        <w:t xml:space="preserve">A geographic loyalty campaign has no evidence behind it. A value-based one does: high-value customers are already ~9x more likely to return than low-value customers, suggesting a receptive audience already primed to repeat, rather than one that needs to be persuaded from a standing start.</w:t>
      </w:r>
    </w:p>
    <w:p>
      <w:pPr>
        <w:spacing w:after="60"/>
      </w:pPr>
      <w:r>
        <w:rPr>
          <w:b/>
          <w:bCs/>
          <w:color w:val="1F4E5F"/>
        </w:rPr>
        <w:t xml:space="preserve">Recommendation:  </w:t>
      </w:r>
      <w:r>
        <w:t xml:space="preserve">Pilot a loyalty or retention program (early access, personalized offers) targeted specifically at the top 5% of customers by historical spend, rather than a broad or geography-based campaign.</w:t>
      </w:r>
    </w:p>
    <w:p>
      <w:pPr>
        <w:spacing w:after="60"/>
      </w:pPr>
      <w:r>
        <w:rPr>
          <w:b/>
          <w:bCs/>
          <w:color w:val="1F4E5F"/>
        </w:rPr>
        <w:t xml:space="preserve">Expected outcome:  </w:t>
      </w:r>
      <w:r>
        <w:t xml:space="preserve">This analysis identifies the correlation but does not establish why high-value customers repeat more often — a controlled pilot with a held-out comparison group is recommended before assuming the loyalty program itself will replicate this correlation as causation.</w:t>
      </w:r>
    </w:p>
    <w:p>
      <w:pPr>
        <w:pBdr>
          <w:top w:val="single" w:color="666666" w:sz="4" w:space="8"/>
        </w:pBdr>
        <w:spacing w:after="80" w:before="360"/>
      </w:pPr>
      <w:r>
        <w:rPr>
          <w:b/>
          <w:bCs/>
          <w:color w:val="1F4E5F"/>
          <w:sz w:val="22"/>
          <w:szCs w:val="22"/>
        </w:rPr>
        <w:t xml:space="preserve">Limitations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This dataset spans September 2016 to August 2018 and contains no cost-of-goods-sold data, so no recommendation above claims a profit or margin impact — only revenue, order-count, and review-score effects that the data can directly support. The office_furniture and Nordeste findings are strong statistical associations, not confirmed causal mechanisms; both recommendations explicitly call for a validation step (pilot or root-cause audit) before a large-scale policy change.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2026-08-23T16:44:19.285Z</dcterms:created>
  <dcterms:modified xsi:type="dcterms:W3CDTF">2026-08-23T16:44:19.304Z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