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36"/>
        </w:rPr>
        <w:t>Contactless Integrated Track Monitoring Systems (ITMS) for High-Speed and Freight Railways: A Comprehensive Review and Edge-AI Multi-Sensor Simulation</w:t>
      </w:r>
    </w:p>
    <w:p>
      <w:pPr>
        <w:spacing w:after="200"/>
        <w:jc w:val="center"/>
      </w:pPr>
      <w:r>
        <w:rPr>
          <w:rFonts w:ascii="Calibri" w:hAnsi="Calibri"/>
          <w:i/>
          <w:color w:val="4A5568"/>
          <w:sz w:val="22"/>
        </w:rPr>
        <w:t>A State-of-the-Art Review of Multi-Rate Sensing, Kalman Fusion, and Edge Deep Learning with Empirical Simulation over a 1.500 km Broad Gauge Testbed</w:t>
      </w:r>
    </w:p>
    <w:p>
      <w:pPr>
        <w:spacing w:after="40"/>
        <w:jc w:val="center"/>
      </w:pPr>
      <w:r>
        <w:rPr>
          <w:rFonts w:ascii="Calibri" w:hAnsi="Calibri"/>
          <w:b/>
          <w:color w:val="2B6CB0"/>
          <w:sz w:val="21"/>
        </w:rPr>
        <w:t>Soham Bhosale, Arnav, Rudra Marathe</w:t>
        <w:br/>
      </w:r>
      <w:r>
        <w:rPr>
          <w:rFonts w:ascii="Calibri" w:hAnsi="Calibri"/>
          <w:b/>
          <w:color w:val="1B365D"/>
          <w:sz w:val="19"/>
        </w:rPr>
        <w:t>Project Mentor: Prof. Chaitali Patil</w:t>
        <w:br/>
      </w:r>
      <w:r>
        <w:rPr>
          <w:rFonts w:ascii="Calibri" w:hAnsi="Calibri"/>
          <w:color w:val="718096"/>
          <w:sz w:val="18"/>
        </w:rPr>
        <w:t>Department of Computer Engineering, SVKM's NMIMS Mukesh Patel School of Technology Management &amp; Engineering (MPSTME)</w:t>
        <w:br/>
        <w:t>Shirpur Campus, Maharashtra 425405, India</w:t>
        <w:br/>
        <w:t>Course: Design Experience (Technical Research Project)</w:t>
      </w:r>
    </w:p>
    <w:p>
      <w:pPr>
        <w:spacing w:before="80" w:after="120"/>
        <w:pBdr>
          <w:bottom w:val="single" w:sz="18" w:space="1" w:color="1B365D"/>
        </w:pBdr>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left w:val="single" w:sz="36" w:space="0" w:color="1B365D"/>
              <w:top w:val="none"/>
              <w:right w:val="none"/>
              <w:bottom w:val="none"/>
            </w:tcBorders>
          </w:tcPr>
          <w:p>
            <w:pPr>
              <w:spacing w:before="40" w:after="40" w:line="276" w:lineRule="auto"/>
            </w:pPr>
            <w:r>
              <w:rPr>
                <w:rFonts w:ascii="Calibri" w:hAnsi="Calibri"/>
                <w:b/>
                <w:color w:val="1B365D"/>
                <w:sz w:val="20"/>
              </w:rPr>
              <w:t>REVIEW PAPER ABSTRACT &amp; INDEX TERMS</w:t>
              <w:br/>
            </w:r>
            <w:r>
              <w:rPr>
                <w:rFonts w:ascii="Calibri" w:hAnsi="Calibri"/>
                <w:color w:val="2D3748"/>
                <w:sz w:val="19"/>
              </w:rPr>
              <w:t>Abstract—Continuous railway track geometric degradation and discrete component failures represent leading causes of catastrophic derailments across global rail networks. Conventional inspection regimes predominantly depend on periodic high-speed Track Recording Cars (operating at intervals of 2–6 months) or labour-intensive manual foot patrols equipped with mechanical gauge rods and ultrasonic flaw detection (USFD) carts. These methodologies create significant surveillance latency, operational line occupation, and subjective variability. This paper presents a comprehensive review of contactless track monitoring paradigms, evaluating laser optical triangulation, micro-electro-mechanical inertial measurement units (MEMS IMU), multi-band satellite navigation (GNSS-RTK), and edge computer vision. Furthermore, we evaluate the TR-09 Integrated Track Monitoring System (ITMS) framework—an indigenous, contactless inspection architecture engineered for Indian Railways broad gauge (1676 mm). The TR-09 system couples dual high-rate 2D laser profilometers (50 Hz), a 6-DoF inertial sensor (100 Hz), and a dual-antenna RTK receiver (5 Hz) within an Extended Kalman Filter (EKF), alongside a MobileNetV3-LSTM edge vision pipeline (thresholded at &gt;= 91% confidence). To validate the architecture, an empirical dynamic simulation across a 1.500 km broad gauge corridor is presented. The simulation demonstrates sub-millimetre gauge measurement precision (+-0.28 mm RMS error), robust 90-second dead-reckoning during GNSS blackout (drift &lt; 0.42 m), and zero false-negative localization across four critical track defects: missing Elastic Rail Clips (Km 0.250), cracked joint fishplates (Km 0.600), ballast washout voids (Km 0.950), and rail surface squats (Km 1.300). Comparative benchmarking indicates a 94.2% reduction in capital cost relative to dedicated inspection train cars while providing immediate post-run fault spot visualization and P-Way engineering audit readiness.</w:t>
              <w:br/>
              <w:br/>
              <w:t>Index Terms—Railway Safety, Contactless Profilometry, Multi-Sensor Data Fusion, Extended Kalman Filter, Edge Deep Learning, Track Geometry, Indian Railways Broad Gauge, Derailment Prevention.</w:t>
            </w:r>
          </w:p>
        </w:tc>
      </w:tr>
    </w:tbl>
    <w:p>
      <w:pPr>
        <w:spacing w:after="80"/>
      </w:pPr>
    </w:p>
    <w:p>
      <w:pPr>
        <w:keepNext/>
        <w:spacing w:before="280" w:after="80"/>
        <w:pBdr>
          <w:bottom w:val="single" w:sz="12" w:space="4" w:color="1B365D"/>
        </w:pBdr>
      </w:pPr>
      <w:r>
        <w:rPr>
          <w:rFonts w:ascii="Calibri" w:hAnsi="Calibri"/>
          <w:b/>
          <w:color w:val="1B365D"/>
          <w:sz w:val="26"/>
        </w:rPr>
        <w:t>1. INTRODUCTION &amp; RAILWAY INFRASTRUCTURE BACKGROUND</w:t>
      </w:r>
    </w:p>
    <w:p>
      <w:pPr>
        <w:spacing w:before="0" w:after="80" w:line="276" w:lineRule="auto"/>
        <w:jc w:val="both"/>
      </w:pPr>
      <w:r>
        <w:rPr>
          <w:rFonts w:ascii="Calibri" w:hAnsi="Calibri"/>
          <w:color w:val="2D3748"/>
          <w:sz w:val="20"/>
        </w:rPr>
        <w:t>Railway transportation constitutes the socioeconomic backbone of modern industrialized economies, serving as the most energy-efficient land-based mode for bulk freight freight haulage and high-density passenger transit. In the Indian subcontinent, Indian Railways operates the world's fourth-largest rail network, encompassing over 68,000 route kilometres and transporting upwards of 23 million passengers daily alongside 1.5 billion metric tonnes of freight annually [1]. However, sustaining safe train operations at escalating axle loads (22.5 to 25 tonnes) and enhanced line speeds (130 to 160 km/h under the Mission Raftaar directive) exerts unprecedented dynamic mechanical stresses on the permanent way (P-Way) infrastructure [2].</w:t>
      </w:r>
    </w:p>
    <w:p>
      <w:pPr>
        <w:spacing w:before="0" w:after="80" w:line="276" w:lineRule="auto"/>
        <w:jc w:val="both"/>
      </w:pPr>
      <w:r>
        <w:rPr>
          <w:rFonts w:ascii="Calibri" w:hAnsi="Calibri"/>
          <w:b/>
          <w:color w:val="1A202C"/>
          <w:sz w:val="20"/>
        </w:rPr>
        <w:t xml:space="preserve">Mechanisms of Track Degradation: </w:t>
      </w:r>
      <w:r>
        <w:rPr>
          <w:rFonts w:ascii="Calibri" w:hAnsi="Calibri"/>
          <w:color w:val="2D3748"/>
          <w:sz w:val="20"/>
        </w:rPr>
        <w:t>Under repeated cyclic loading, track assets undergo continuous multi-physical degradation. The fundamental geometric parameters defining track quality—specifically Track Gauge (the perpendicular spacing between inner rail running faces), Cross-Level / Cant (the differential elevation between rail heads), and Spatial Twist (the rate of change of cross-level over a specified chord length)—exhibit gradual alignment drift caused by ballast pulverization, sleeper subgrade settlement, and thermal rail expansion. Concurrently, discrete visual component failures arise, including the dislodgement or fracture of Elastic Rail Clips (ERC), transverse fatigue cracking across fishplated rail joints, ballast voiding (pumping sleepers), and rolling contact fatigue (RCF) phenomena such as surface squats and spalling [3]. If left undetected, localized track twist combined with dynamic gauge widening induces wheel-flange climbing, resulting in severe derailment catastrophes.</w:t>
      </w:r>
    </w:p>
    <w:p>
      <w:pPr>
        <w:spacing w:before="0" w:after="80" w:line="276" w:lineRule="auto"/>
        <w:jc w:val="both"/>
      </w:pPr>
      <w:r>
        <w:rPr>
          <w:rFonts w:ascii="Calibri" w:hAnsi="Calibri"/>
          <w:b/>
          <w:color w:val="1A202C"/>
          <w:sz w:val="20"/>
        </w:rPr>
        <w:t xml:space="preserve">Derailment Causation &amp; Empirical Statistics: </w:t>
      </w:r>
      <w:r>
        <w:rPr>
          <w:rFonts w:ascii="Calibri" w:hAnsi="Calibri"/>
          <w:color w:val="2D3748"/>
          <w:sz w:val="20"/>
        </w:rPr>
        <w:t>According to accident inquiry compendiums published by the Commission of Railway Safety (CRS) and the Railway Board of India, track defect anomalies and maintenance lapses account for more than 58% of all consequential train derailments over the past decade [4]. The catastrophic derailment of the Indore-Patna Express in 2016 (resulting in 150 fatalities attributed to an undetected rail joint fracture) and the recent multi-train collision at Bahanaga Bazar in 2023 underscore the urgent necessity for dense, frequent, and technologically dependable track monitoring methodologies.</w:t>
      </w:r>
    </w:p>
    <w:p>
      <w:pPr>
        <w:spacing w:before="0" w:after="80" w:line="276" w:lineRule="auto"/>
        <w:jc w:val="both"/>
      </w:pPr>
      <w:r>
        <w:rPr>
          <w:rFonts w:ascii="Calibri" w:hAnsi="Calibri"/>
          <w:b/>
          <w:color w:val="1A202C"/>
          <w:sz w:val="20"/>
        </w:rPr>
        <w:t xml:space="preserve">The Operational Surveillance Latency Gap: </w:t>
      </w:r>
      <w:r>
        <w:rPr>
          <w:rFonts w:ascii="Calibri" w:hAnsi="Calibri"/>
          <w:color w:val="2D3748"/>
          <w:sz w:val="20"/>
        </w:rPr>
        <w:t>Historically, Indian Railways and global railway administrations have deployed Track Recording Cars (TRC) equipped with contact feeler arms and laser systems. While highly accurate, these specialized coaches cost upwards of $2.5 million USD, necessitate high-power locomotives, and disrupt revenue traffic schedules. Consequently, broad gauge trunk routes are inspected at best once every two to three months, while low-density branch lines and industrial sidings may remain unexamined by automated equipment for six to twelve months [5]. In the interim, track safety relies almost entirely on manual 'Keyman' foot patrols walking 6 to 8 km daily with mechanical spanners and visual observation. This surveillance latency creates an unacceptable safety deficit that can only be resolved through indigenous, lightweight, and contactless inspection trolleys running on frequent local schedules.</w:t>
      </w:r>
    </w:p>
    <w:p>
      <w:pPr>
        <w:keepNext/>
        <w:spacing w:before="280" w:after="80"/>
        <w:pBdr>
          <w:bottom w:val="single" w:sz="12" w:space="4" w:color="1B365D"/>
        </w:pBdr>
      </w:pPr>
      <w:r>
        <w:rPr>
          <w:rFonts w:ascii="Calibri" w:hAnsi="Calibri"/>
          <w:b/>
          <w:color w:val="1B365D"/>
          <w:sz w:val="26"/>
        </w:rPr>
        <w:t>2. COMPREHENSIVE REVIEW OF TRACK MONITORING METHODOLOGIES</w:t>
      </w:r>
    </w:p>
    <w:p>
      <w:pPr>
        <w:spacing w:before="0" w:after="80" w:line="276" w:lineRule="auto"/>
        <w:jc w:val="both"/>
      </w:pPr>
      <w:r>
        <w:rPr>
          <w:rFonts w:ascii="Calibri" w:hAnsi="Calibri"/>
          <w:color w:val="2D3748"/>
          <w:sz w:val="20"/>
        </w:rPr>
        <w:t>To establish the theoretical and technological foundation of modern track inspection, this section reviews the developmental evolution of sensing paradigms deployed across international railway systems, classifying them into six major operational categories.</w:t>
      </w:r>
    </w:p>
    <w:p>
      <w:pPr>
        <w:keepNext/>
        <w:spacing w:before="200" w:after="60"/>
      </w:pPr>
      <w:r>
        <w:rPr>
          <w:rFonts w:ascii="Calibri" w:hAnsi="Calibri"/>
          <w:b/>
          <w:color w:val="2B6CB0"/>
          <w:sz w:val="23"/>
        </w:rPr>
        <w:t>2.1 Contact-Based Chord Measurement &amp; Mechanical Trolleys</w:t>
      </w:r>
    </w:p>
    <w:p>
      <w:pPr>
        <w:spacing w:before="0" w:after="80" w:line="276" w:lineRule="auto"/>
        <w:jc w:val="both"/>
      </w:pPr>
      <w:r>
        <w:rPr>
          <w:rFonts w:ascii="Calibri" w:hAnsi="Calibri"/>
          <w:color w:val="2D3748"/>
          <w:sz w:val="20"/>
        </w:rPr>
        <w:t>Early automated track recording relied on mechanical chord principles, utilizing spring-loaded feeler wheels or sliding shoes that directly pressed against the inner gauge face of the rail steel [6]. Differential potentiometers translated the mechanical deflection of these feelers into electrical voltage signals proportional to gauge widening or track alignment errors. While mechanically intuitive, contact-based systems suffer from inherent dynamic inertia at inspection speeds exceeding 15 km/h, catastrophic component wear requiring frequent recalibration, high vulnerability to physical fouling at switch frogs and crossings, and zero capability to detect fastener or sleeper defects.</w:t>
      </w:r>
    </w:p>
    <w:p>
      <w:pPr>
        <w:keepNext/>
        <w:spacing w:before="200" w:after="60"/>
      </w:pPr>
      <w:r>
        <w:rPr>
          <w:rFonts w:ascii="Calibri" w:hAnsi="Calibri"/>
          <w:b/>
          <w:color w:val="2B6CB0"/>
          <w:sz w:val="23"/>
        </w:rPr>
        <w:t>2.2 Ultrasonic Flaw Detection (USFD) &amp; Eddy Current Testing</w:t>
      </w:r>
    </w:p>
    <w:p>
      <w:pPr>
        <w:spacing w:before="0" w:after="80" w:line="276" w:lineRule="auto"/>
        <w:jc w:val="both"/>
      </w:pPr>
      <w:r>
        <w:rPr>
          <w:rFonts w:ascii="Calibri" w:hAnsi="Calibri"/>
          <w:color w:val="2D3748"/>
          <w:sz w:val="20"/>
        </w:rPr>
        <w:t>Non-destructive testing (NDT) of rail internal metallurgy is dominated by Ultrasonic Flaw Detection (USFD). Indian Railways deploys manual hand-pushed single/double rail testers (SRT/DRT) operating piezoelectric transducers at 2 MHz and 4 MHz frequencies with water couplant [7]. USFD excels at identifying internal transverse fatigue cracks, bolt-hole fissures, and internal inclusion defects invisible to the naked eye. However, USFD systems operate at walking velocity (&lt; 3 km/h), measure zero external track geometry (gauge, cant, twist), and cannot assess fastening clips, concrete sleeper integrity, or ballast shoulders.</w:t>
      </w:r>
    </w:p>
    <w:p>
      <w:pPr>
        <w:keepNext/>
        <w:spacing w:before="200" w:after="60"/>
      </w:pPr>
      <w:r>
        <w:rPr>
          <w:rFonts w:ascii="Calibri" w:hAnsi="Calibri"/>
          <w:b/>
          <w:color w:val="2B6CB0"/>
          <w:sz w:val="23"/>
        </w:rPr>
        <w:t>2.3 Optical Triangulation &amp; 2D/3D Laser Profilometry</w:t>
      </w:r>
    </w:p>
    <w:p>
      <w:pPr>
        <w:spacing w:before="0" w:after="80" w:line="276" w:lineRule="auto"/>
        <w:jc w:val="both"/>
      </w:pPr>
      <w:r>
        <w:rPr>
          <w:rFonts w:ascii="Calibri" w:hAnsi="Calibri"/>
          <w:color w:val="2D3748"/>
          <w:sz w:val="20"/>
        </w:rPr>
        <w:t>The shift toward contactless measurement is spearheaded by high-speed 2D laser profilometers. By projecting a calibrated sheet of structured laser light (typically 660 nm red or 405 nm blue) onto the rail head and capturing the reflected profile with an angled CMOS matrix sensor, optical triangulation measures distance with sub-millimetre precision (±0.1 mm) at frequencies exceeding 50 to 200 Hz [8]. Laser profilometry eliminates physical mechanical wear, functions seamlessly across track points and crossings, and directly samples rail wear profiles. However, ambient outdoor solar illumination glint and tropical precipitation require high-power optical bandpass filtering and robust digital thresholding.</w:t>
      </w:r>
    </w:p>
    <w:p>
      <w:pPr>
        <w:keepNext/>
        <w:spacing w:before="200" w:after="60"/>
      </w:pPr>
      <w:r>
        <w:rPr>
          <w:rFonts w:ascii="Calibri" w:hAnsi="Calibri"/>
          <w:b/>
          <w:color w:val="2B6CB0"/>
          <w:sz w:val="23"/>
        </w:rPr>
        <w:t>2.4 Inertial Measurement Units (IMU) &amp; Gyroscopic Motion Platforms</w:t>
      </w:r>
    </w:p>
    <w:p>
      <w:pPr>
        <w:spacing w:before="0" w:after="80" w:line="276" w:lineRule="auto"/>
        <w:jc w:val="both"/>
      </w:pPr>
      <w:r>
        <w:rPr>
          <w:rFonts w:ascii="Calibri" w:hAnsi="Calibri"/>
          <w:color w:val="2D3748"/>
          <w:sz w:val="20"/>
        </w:rPr>
        <w:t>Strapdown Inertial Navigation Systems (INS) utilizing tri-axial MEMS accelerometers and vibratory gyroscopes have revolutionized track alignment and cross-level acquisition [9]. By integrating high-frequency angular rate measurements (100 Hz), an IMU establishes the trolley's instantaneous roll angle theta_roll, directly deriving cross-level (cant) independently of track curvature. The fundamental engineering challenge in MEMS inertial sensing is low-frequency bias drift, which accumulates integration errors unless stabilized by complementary gravitational vector tracking or Kalman filtering.</w:t>
      </w:r>
    </w:p>
    <w:p>
      <w:pPr>
        <w:keepNext/>
        <w:spacing w:before="200" w:after="60"/>
      </w:pPr>
      <w:r>
        <w:rPr>
          <w:rFonts w:ascii="Calibri" w:hAnsi="Calibri"/>
          <w:b/>
          <w:color w:val="2B6CB0"/>
          <w:sz w:val="23"/>
        </w:rPr>
        <w:t>2.5 Multi-Band GNSS-RTK &amp; Dead-Reckoning Integration</w:t>
      </w:r>
    </w:p>
    <w:p>
      <w:pPr>
        <w:spacing w:before="0" w:after="80" w:line="276" w:lineRule="auto"/>
        <w:jc w:val="both"/>
      </w:pPr>
      <w:r>
        <w:rPr>
          <w:rFonts w:ascii="Calibri" w:hAnsi="Calibri"/>
          <w:color w:val="2D3748"/>
          <w:sz w:val="20"/>
        </w:rPr>
        <w:t>Absolute spatial localization is critical for directing P-Way permanent way maintenance gangs to verified fault spots. Standard single-frequency GPS exhibits positional errors of 3 to 10 metres, which is inadequate for identifying individual sleeper locations (spaced at 60 cm intervals) [10]. Real-Time Kinematic (RTK) differential positioning utilizing dual-frequency L1/L2 carrier phase tracking achieves sub-decimetre positioning (±2 cm). However, railway lines traverse deep cuttings, forested valleys, tunnels, and electrified overhead equipment (OHE) gantries where satellite visibility is obstructed. Hence, modern inspection trolleys must integrate multi-sensor dead-reckoning (coupling wheel encoders and IMU heading propagation) to sustain chainage integrity during GNSS signal blackouts.</w:t>
      </w:r>
    </w:p>
    <w:p>
      <w:pPr>
        <w:keepNext/>
        <w:spacing w:before="200" w:after="60"/>
      </w:pPr>
      <w:r>
        <w:rPr>
          <w:rFonts w:ascii="Calibri" w:hAnsi="Calibri"/>
          <w:b/>
          <w:color w:val="2B6CB0"/>
          <w:sz w:val="23"/>
        </w:rPr>
        <w:t>2.6 Deep Learning &amp; Edge Computer Vision for Component Defect Recognition</w:t>
      </w:r>
    </w:p>
    <w:p>
      <w:pPr>
        <w:spacing w:before="0" w:after="80" w:line="276" w:lineRule="auto"/>
        <w:jc w:val="both"/>
      </w:pPr>
      <w:r>
        <w:rPr>
          <w:rFonts w:ascii="Calibri" w:hAnsi="Calibri"/>
          <w:color w:val="2D3748"/>
          <w:sz w:val="20"/>
        </w:rPr>
        <w:t>Recent advances in convolutional neural networks (CNNs) have enabled automated visual recognition of track components from high-resolution downward-facing cameras [11]. Lightweight architectures such as MobileNetV3 and YOLOv8 perform edge feature extraction (detecting missing Elastic Rail Clips, broken fishplates, and ballast voids) directly on embedded GPU platforms (NVIDIA Jetson). Coupling spatial feature extractors with recurrent long short-term memory (LSTM) blocks ensures sleeper-to-sleeper temporal consistency, substantially reducing false alarms caused by debris, leaves, or shadow transitions.</w:t>
      </w:r>
    </w:p>
    <w:p>
      <w:pPr>
        <w:keepNext/>
        <w:spacing w:before="200" w:after="60"/>
      </w:pPr>
      <w:r>
        <w:rPr>
          <w:rFonts w:ascii="Calibri" w:hAnsi="Calibri"/>
          <w:b/>
          <w:color w:val="2B6CB0"/>
          <w:sz w:val="23"/>
        </w:rPr>
        <w:t>2.7 Comparative State-of-the-Art Literature Matrix</w:t>
      </w:r>
    </w:p>
    <w:p>
      <w:pPr>
        <w:spacing w:before="0" w:after="80" w:line="276" w:lineRule="auto"/>
        <w:jc w:val="both"/>
      </w:pPr>
      <w:r>
        <w:rPr>
          <w:rFonts w:ascii="Calibri" w:hAnsi="Calibri"/>
          <w:color w:val="2D3748"/>
          <w:sz w:val="20"/>
        </w:rPr>
        <w:t>Table 1 synthesizes a comprehensive technological comparison of landmark commercial track monitoring platforms and academic state-of-the-art frameworks, benchmarking their sensing modalities, speed envelope, measurement precision, and operational limitations.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B365D"/>
            <w:tcMar>
              <w:top w:w="100" w:type="dxa"/>
              <w:bottom w:w="100" w:type="dxa"/>
              <w:left w:w="100" w:type="dxa"/>
              <w:right w:w="100" w:type="dxa"/>
            </w:tcMar>
          </w:tcPr>
          <w:p>
            <w:pPr>
              <w:spacing w:before="20" w:after="20"/>
              <w:jc w:val="center"/>
            </w:pPr>
            <w:r>
              <w:rPr>
                <w:rFonts w:ascii="Calibri" w:hAnsi="Calibri"/>
                <w:b/>
                <w:color w:val="FFFFFF"/>
                <w:sz w:val="17"/>
              </w:rPr>
              <w:t>System / Framework</w:t>
            </w:r>
          </w:p>
        </w:tc>
        <w:tc>
          <w:tcPr>
            <w:tcW w:type="dxa" w:w="1152"/>
            <w:shd w:fill="1B365D"/>
            <w:tcMar>
              <w:top w:w="100" w:type="dxa"/>
              <w:bottom w:w="100" w:type="dxa"/>
              <w:left w:w="100" w:type="dxa"/>
              <w:right w:w="100" w:type="dxa"/>
            </w:tcMar>
          </w:tcPr>
          <w:p>
            <w:pPr>
              <w:spacing w:before="20" w:after="20"/>
              <w:jc w:val="center"/>
            </w:pPr>
            <w:r>
              <w:rPr>
                <w:rFonts w:ascii="Calibri" w:hAnsi="Calibri"/>
                <w:b/>
                <w:color w:val="FFFFFF"/>
                <w:sz w:val="17"/>
              </w:rPr>
              <w:t>Operating Speed</w:t>
            </w:r>
          </w:p>
        </w:tc>
        <w:tc>
          <w:tcPr>
            <w:tcW w:type="dxa" w:w="1872"/>
            <w:shd w:fill="1B365D"/>
            <w:tcMar>
              <w:top w:w="100" w:type="dxa"/>
              <w:bottom w:w="100" w:type="dxa"/>
              <w:left w:w="100" w:type="dxa"/>
              <w:right w:w="100" w:type="dxa"/>
            </w:tcMar>
          </w:tcPr>
          <w:p>
            <w:pPr>
              <w:spacing w:before="20" w:after="20"/>
              <w:jc w:val="center"/>
            </w:pPr>
            <w:r>
              <w:rPr>
                <w:rFonts w:ascii="Calibri" w:hAnsi="Calibri"/>
                <w:b/>
                <w:color w:val="FFFFFF"/>
                <w:sz w:val="17"/>
              </w:rPr>
              <w:t>Sensing Modalities</w:t>
            </w:r>
          </w:p>
        </w:tc>
        <w:tc>
          <w:tcPr>
            <w:tcW w:type="dxa" w:w="1296"/>
            <w:shd w:fill="1B365D"/>
            <w:tcMar>
              <w:top w:w="100" w:type="dxa"/>
              <w:bottom w:w="100" w:type="dxa"/>
              <w:left w:w="100" w:type="dxa"/>
              <w:right w:w="100" w:type="dxa"/>
            </w:tcMar>
          </w:tcPr>
          <w:p>
            <w:pPr>
              <w:spacing w:before="20" w:after="20"/>
              <w:jc w:val="center"/>
            </w:pPr>
            <w:r>
              <w:rPr>
                <w:rFonts w:ascii="Calibri" w:hAnsi="Calibri"/>
                <w:b/>
                <w:color w:val="FFFFFF"/>
                <w:sz w:val="17"/>
              </w:rPr>
              <w:t>Gauge Accuracy</w:t>
            </w:r>
          </w:p>
        </w:tc>
        <w:tc>
          <w:tcPr>
            <w:tcW w:type="dxa" w:w="1584"/>
            <w:shd w:fill="1B365D"/>
            <w:tcMar>
              <w:top w:w="100" w:type="dxa"/>
              <w:bottom w:w="100" w:type="dxa"/>
              <w:left w:w="100" w:type="dxa"/>
              <w:right w:w="100" w:type="dxa"/>
            </w:tcMar>
          </w:tcPr>
          <w:p>
            <w:pPr>
              <w:spacing w:before="20" w:after="20"/>
              <w:jc w:val="center"/>
            </w:pPr>
            <w:r>
              <w:rPr>
                <w:rFonts w:ascii="Calibri" w:hAnsi="Calibri"/>
                <w:b/>
                <w:color w:val="FFFFFF"/>
                <w:sz w:val="17"/>
              </w:rPr>
              <w:t>Defect Scope</w:t>
            </w:r>
          </w:p>
        </w:tc>
        <w:tc>
          <w:tcPr>
            <w:tcW w:type="dxa" w:w="1728"/>
            <w:shd w:fill="1B365D"/>
            <w:tcMar>
              <w:top w:w="100" w:type="dxa"/>
              <w:bottom w:w="100" w:type="dxa"/>
              <w:left w:w="100" w:type="dxa"/>
              <w:right w:w="100" w:type="dxa"/>
            </w:tcMar>
          </w:tcPr>
          <w:p>
            <w:pPr>
              <w:spacing w:before="20" w:after="20"/>
              <w:jc w:val="center"/>
            </w:pPr>
            <w:r>
              <w:rPr>
                <w:rFonts w:ascii="Calibri" w:hAnsi="Calibri"/>
                <w:b/>
                <w:color w:val="FFFFFF"/>
                <w:sz w:val="17"/>
              </w:rPr>
              <w:t>Primary Limitations</w:t>
            </w:r>
          </w:p>
        </w:tc>
      </w:tr>
      <w:tr>
        <w:tc>
          <w:tcPr>
            <w:tcW w:type="dxa" w:w="1728"/>
            <w:shd w:fill="FFFFFF"/>
            <w:tcMar>
              <w:top w:w="70" w:type="dxa"/>
              <w:bottom w:w="70" w:type="dxa"/>
              <w:left w:w="90" w:type="dxa"/>
              <w:right w:w="90" w:type="dxa"/>
            </w:tcMar>
          </w:tcPr>
          <w:p>
            <w:pPr>
              <w:spacing w:before="20" w:after="20" w:line="252" w:lineRule="auto"/>
              <w:jc w:val="left"/>
            </w:pPr>
            <w:r>
              <w:rPr>
                <w:rFonts w:ascii="Calibri" w:hAnsi="Calibri"/>
                <w:color w:val="2D3748"/>
                <w:sz w:val="16"/>
              </w:rPr>
              <w:t>RDSO Track Recording Car (TRC)</w:t>
            </w:r>
          </w:p>
        </w:tc>
        <w:tc>
          <w:tcPr>
            <w:tcW w:type="dxa" w:w="115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100–160 km/h</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Laser Profiler, Optical Cam, Heavy IMU</w:t>
            </w:r>
          </w:p>
        </w:tc>
        <w:tc>
          <w:tcPr>
            <w:tcW w:type="dxa" w:w="1296"/>
            <w:shd w:fill="FFFFFF"/>
            <w:tcMar>
              <w:top w:w="70" w:type="dxa"/>
              <w:bottom w:w="70" w:type="dxa"/>
              <w:left w:w="90" w:type="dxa"/>
              <w:right w:w="90" w:type="dxa"/>
            </w:tcMar>
          </w:tcPr>
          <w:p>
            <w:pPr>
              <w:spacing w:before="20" w:after="20" w:line="252" w:lineRule="auto"/>
              <w:jc w:val="center"/>
            </w:pPr>
            <w:r>
              <w:rPr>
                <w:rFonts w:ascii="Calibri" w:hAnsi="Calibri"/>
                <w:color w:val="2D3748"/>
                <w:sz w:val="16"/>
              </w:rPr>
              <w:t>±0.5 mm</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Geometry Only (Gauge, Cant, Twist)</w:t>
            </w:r>
          </w:p>
        </w:tc>
        <w:tc>
          <w:tcPr>
            <w:tcW w:type="dxa" w:w="172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High cost ($2.5M+), requires locomotive, low inspection frequency (2-4 mo).</w:t>
            </w:r>
          </w:p>
        </w:tc>
      </w:tr>
      <w:tr>
        <w:tc>
          <w:tcPr>
            <w:tcW w:type="dxa" w:w="1728"/>
            <w:shd w:fill="F7FAFC"/>
            <w:tcMar>
              <w:top w:w="70" w:type="dxa"/>
              <w:bottom w:w="70" w:type="dxa"/>
              <w:left w:w="90" w:type="dxa"/>
              <w:right w:w="90" w:type="dxa"/>
            </w:tcMar>
          </w:tcPr>
          <w:p>
            <w:pPr>
              <w:spacing w:before="20" w:after="20" w:line="252" w:lineRule="auto"/>
              <w:jc w:val="left"/>
            </w:pPr>
            <w:r>
              <w:rPr>
                <w:rFonts w:ascii="Calibri" w:hAnsi="Calibri"/>
                <w:color w:val="2D3748"/>
                <w:sz w:val="16"/>
              </w:rPr>
              <w:t>Plasser &amp; Theurer EM-120</w:t>
            </w:r>
          </w:p>
        </w:tc>
        <w:tc>
          <w:tcPr>
            <w:tcW w:type="dxa" w:w="115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80–120 km/h</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Optical Lasers, Feeler Arms, Gyro INS</w:t>
            </w:r>
          </w:p>
        </w:tc>
        <w:tc>
          <w:tcPr>
            <w:tcW w:type="dxa" w:w="1296"/>
            <w:shd w:fill="F7FAFC"/>
            <w:tcMar>
              <w:top w:w="70" w:type="dxa"/>
              <w:bottom w:w="70" w:type="dxa"/>
              <w:left w:w="90" w:type="dxa"/>
              <w:right w:w="90" w:type="dxa"/>
            </w:tcMar>
          </w:tcPr>
          <w:p>
            <w:pPr>
              <w:spacing w:before="20" w:after="20" w:line="252" w:lineRule="auto"/>
              <w:jc w:val="center"/>
            </w:pPr>
            <w:r>
              <w:rPr>
                <w:rFonts w:ascii="Calibri" w:hAnsi="Calibri"/>
                <w:color w:val="2D3748"/>
                <w:sz w:val="16"/>
              </w:rPr>
              <w:t>±0.4 mm</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Track Geometry &amp; Rail Corrugation</w:t>
            </w:r>
          </w:p>
        </w:tc>
        <w:tc>
          <w:tcPr>
            <w:tcW w:type="dxa" w:w="1728"/>
            <w:shd w:fill="F7FAFC"/>
            <w:tcMar>
              <w:top w:w="70" w:type="dxa"/>
              <w:bottom w:w="70" w:type="dxa"/>
              <w:left w:w="90" w:type="dxa"/>
              <w:right w:w="90" w:type="dxa"/>
            </w:tcMar>
          </w:tcPr>
          <w:p>
            <w:pPr>
              <w:spacing w:before="20" w:after="20" w:line="252" w:lineRule="auto"/>
              <w:jc w:val="center"/>
            </w:pPr>
            <w:r>
              <w:rPr>
                <w:rFonts w:ascii="Calibri" w:hAnsi="Calibri"/>
                <w:color w:val="2D3748"/>
                <w:sz w:val="16"/>
              </w:rPr>
              <w:t>Massive capital expenditure, strict track possession windows required.</w:t>
            </w:r>
          </w:p>
        </w:tc>
      </w:tr>
      <w:tr>
        <w:tc>
          <w:tcPr>
            <w:tcW w:type="dxa" w:w="1728"/>
            <w:shd w:fill="FFFFFF"/>
            <w:tcMar>
              <w:top w:w="70" w:type="dxa"/>
              <w:bottom w:w="70" w:type="dxa"/>
              <w:left w:w="90" w:type="dxa"/>
              <w:right w:w="90" w:type="dxa"/>
            </w:tcMar>
          </w:tcPr>
          <w:p>
            <w:pPr>
              <w:spacing w:before="20" w:after="20" w:line="252" w:lineRule="auto"/>
              <w:jc w:val="left"/>
            </w:pPr>
            <w:r>
              <w:rPr>
                <w:rFonts w:ascii="Calibri" w:hAnsi="Calibri"/>
                <w:color w:val="2D3748"/>
                <w:sz w:val="16"/>
              </w:rPr>
              <w:t>ENSCO TrackIT Push Cart</w:t>
            </w:r>
          </w:p>
        </w:tc>
        <w:tc>
          <w:tcPr>
            <w:tcW w:type="dxa" w:w="115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Walking (4 km/h)</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Contact Feeler Wheels, Single GPS</w:t>
            </w:r>
          </w:p>
        </w:tc>
        <w:tc>
          <w:tcPr>
            <w:tcW w:type="dxa" w:w="1296"/>
            <w:shd w:fill="FFFFFF"/>
            <w:tcMar>
              <w:top w:w="70" w:type="dxa"/>
              <w:bottom w:w="70" w:type="dxa"/>
              <w:left w:w="90" w:type="dxa"/>
              <w:right w:w="90" w:type="dxa"/>
            </w:tcMar>
          </w:tcPr>
          <w:p>
            <w:pPr>
              <w:spacing w:before="20" w:after="20" w:line="252" w:lineRule="auto"/>
              <w:jc w:val="center"/>
            </w:pPr>
            <w:r>
              <w:rPr>
                <w:rFonts w:ascii="Calibri" w:hAnsi="Calibri"/>
                <w:color w:val="2D3748"/>
                <w:sz w:val="16"/>
              </w:rPr>
              <w:t>±1.0 mm</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Gauge &amp; Cross-Level</w:t>
            </w:r>
          </w:p>
        </w:tc>
        <w:tc>
          <w:tcPr>
            <w:tcW w:type="dxa" w:w="172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Mechanical feeler wear, no visual fastener or fishplate defect detection.</w:t>
            </w:r>
          </w:p>
        </w:tc>
      </w:tr>
      <w:tr>
        <w:tc>
          <w:tcPr>
            <w:tcW w:type="dxa" w:w="1728"/>
            <w:shd w:fill="F7FAFC"/>
            <w:tcMar>
              <w:top w:w="70" w:type="dxa"/>
              <w:bottom w:w="70" w:type="dxa"/>
              <w:left w:w="90" w:type="dxa"/>
              <w:right w:w="90" w:type="dxa"/>
            </w:tcMar>
          </w:tcPr>
          <w:p>
            <w:pPr>
              <w:spacing w:before="20" w:after="20" w:line="252" w:lineRule="auto"/>
              <w:jc w:val="left"/>
            </w:pPr>
            <w:r>
              <w:rPr>
                <w:rFonts w:ascii="Calibri" w:hAnsi="Calibri"/>
                <w:color w:val="2D3748"/>
                <w:sz w:val="16"/>
              </w:rPr>
              <w:t>Trimble GEDO CE 2.0</w:t>
            </w:r>
          </w:p>
        </w:tc>
        <w:tc>
          <w:tcPr>
            <w:tcW w:type="dxa" w:w="115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Walking (3 km/h)</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Total Station Prism, Optical Gauge</w:t>
            </w:r>
          </w:p>
        </w:tc>
        <w:tc>
          <w:tcPr>
            <w:tcW w:type="dxa" w:w="1296"/>
            <w:shd w:fill="F7FAFC"/>
            <w:tcMar>
              <w:top w:w="70" w:type="dxa"/>
              <w:bottom w:w="70" w:type="dxa"/>
              <w:left w:w="90" w:type="dxa"/>
              <w:right w:w="90" w:type="dxa"/>
            </w:tcMar>
          </w:tcPr>
          <w:p>
            <w:pPr>
              <w:spacing w:before="20" w:after="20" w:line="252" w:lineRule="auto"/>
              <w:jc w:val="center"/>
            </w:pPr>
            <w:r>
              <w:rPr>
                <w:rFonts w:ascii="Calibri" w:hAnsi="Calibri"/>
                <w:color w:val="2D3748"/>
                <w:sz w:val="16"/>
              </w:rPr>
              <w:t>±0.3 mm</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Precise Slabs &amp; Switch Geometry</w:t>
            </w:r>
          </w:p>
        </w:tc>
        <w:tc>
          <w:tcPr>
            <w:tcW w:type="dxa" w:w="1728"/>
            <w:shd w:fill="F7FAFC"/>
            <w:tcMar>
              <w:top w:w="70" w:type="dxa"/>
              <w:bottom w:w="70" w:type="dxa"/>
              <w:left w:w="90" w:type="dxa"/>
              <w:right w:w="90" w:type="dxa"/>
            </w:tcMar>
          </w:tcPr>
          <w:p>
            <w:pPr>
              <w:spacing w:before="20" w:after="20" w:line="252" w:lineRule="auto"/>
              <w:jc w:val="center"/>
            </w:pPr>
            <w:r>
              <w:rPr>
                <w:rFonts w:ascii="Calibri" w:hAnsi="Calibri"/>
                <w:color w:val="2D3748"/>
                <w:sz w:val="16"/>
              </w:rPr>
              <w:t>Requires external surveyor total station setup; zero automated edge vision.</w:t>
            </w:r>
          </w:p>
        </w:tc>
      </w:tr>
      <w:tr>
        <w:tc>
          <w:tcPr>
            <w:tcW w:type="dxa" w:w="1728"/>
            <w:shd w:fill="FFFFFF"/>
            <w:tcMar>
              <w:top w:w="70" w:type="dxa"/>
              <w:bottom w:w="70" w:type="dxa"/>
              <w:left w:w="90" w:type="dxa"/>
              <w:right w:w="90" w:type="dxa"/>
            </w:tcMar>
          </w:tcPr>
          <w:p>
            <w:pPr>
              <w:spacing w:before="20" w:after="20" w:line="252" w:lineRule="auto"/>
              <w:jc w:val="left"/>
            </w:pPr>
            <w:r>
              <w:rPr>
                <w:rFonts w:ascii="Calibri" w:hAnsi="Calibri"/>
                <w:color w:val="2D3748"/>
                <w:sz w:val="16"/>
              </w:rPr>
              <w:t>Fraunhofer IPM RailScan</w:t>
            </w:r>
          </w:p>
        </w:tc>
        <w:tc>
          <w:tcPr>
            <w:tcW w:type="dxa" w:w="115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50–100 km/h</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High-Speed LiDAR 3D Scanner</w:t>
            </w:r>
          </w:p>
        </w:tc>
        <w:tc>
          <w:tcPr>
            <w:tcW w:type="dxa" w:w="1296"/>
            <w:shd w:fill="FFFFFF"/>
            <w:tcMar>
              <w:top w:w="70" w:type="dxa"/>
              <w:bottom w:w="70" w:type="dxa"/>
              <w:left w:w="90" w:type="dxa"/>
              <w:right w:w="90" w:type="dxa"/>
            </w:tcMar>
          </w:tcPr>
          <w:p>
            <w:pPr>
              <w:spacing w:before="20" w:after="20" w:line="252" w:lineRule="auto"/>
              <w:jc w:val="center"/>
            </w:pPr>
            <w:r>
              <w:rPr>
                <w:rFonts w:ascii="Calibri" w:hAnsi="Calibri"/>
                <w:color w:val="2D3748"/>
                <w:sz w:val="16"/>
              </w:rPr>
              <w:t>±0.5 mm</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Clearance Gauge &amp; Tunnel Profiles</w:t>
            </w:r>
          </w:p>
        </w:tc>
        <w:tc>
          <w:tcPr>
            <w:tcW w:type="dxa" w:w="172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Massive data volume (&gt;1 GB/s), costly post-processing; no real-time telemetry.</w:t>
            </w:r>
          </w:p>
        </w:tc>
      </w:tr>
      <w:tr>
        <w:tc>
          <w:tcPr>
            <w:tcW w:type="dxa" w:w="1728"/>
            <w:shd w:fill="F7FAFC"/>
            <w:tcMar>
              <w:top w:w="70" w:type="dxa"/>
              <w:bottom w:w="70" w:type="dxa"/>
              <w:left w:w="90" w:type="dxa"/>
              <w:right w:w="90" w:type="dxa"/>
            </w:tcMar>
          </w:tcPr>
          <w:p>
            <w:pPr>
              <w:spacing w:before="20" w:after="20" w:line="252" w:lineRule="auto"/>
              <w:jc w:val="left"/>
            </w:pPr>
            <w:r>
              <w:rPr>
                <w:rFonts w:ascii="Calibri" w:hAnsi="Calibri"/>
                <w:color w:val="2D3748"/>
                <w:sz w:val="16"/>
              </w:rPr>
              <w:t>Academic CNN (Gibert et al.)</w:t>
            </w:r>
          </w:p>
        </w:tc>
        <w:tc>
          <w:tcPr>
            <w:tcW w:type="dxa" w:w="115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Laboratory Offline</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High-Res RGB Camera Only</w:t>
            </w:r>
          </w:p>
        </w:tc>
        <w:tc>
          <w:tcPr>
            <w:tcW w:type="dxa" w:w="1296"/>
            <w:shd w:fill="F7FAFC"/>
            <w:tcMar>
              <w:top w:w="70" w:type="dxa"/>
              <w:bottom w:w="70" w:type="dxa"/>
              <w:left w:w="90" w:type="dxa"/>
              <w:right w:w="90" w:type="dxa"/>
            </w:tcMar>
          </w:tcPr>
          <w:p>
            <w:pPr>
              <w:spacing w:before="20" w:after="20" w:line="252" w:lineRule="auto"/>
              <w:jc w:val="center"/>
            </w:pPr>
            <w:r>
              <w:rPr>
                <w:rFonts w:ascii="Calibri" w:hAnsi="Calibri"/>
                <w:color w:val="2D3748"/>
                <w:sz w:val="16"/>
              </w:rPr>
              <w:t>N/A (No Geo)</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Fasteners &amp; Ties Classification</w:t>
            </w:r>
          </w:p>
        </w:tc>
        <w:tc>
          <w:tcPr>
            <w:tcW w:type="dxa" w:w="1728"/>
            <w:shd w:fill="F7FAFC"/>
            <w:tcMar>
              <w:top w:w="70" w:type="dxa"/>
              <w:bottom w:w="70" w:type="dxa"/>
              <w:left w:w="90" w:type="dxa"/>
              <w:right w:w="90" w:type="dxa"/>
            </w:tcMar>
          </w:tcPr>
          <w:p>
            <w:pPr>
              <w:spacing w:before="20" w:after="20" w:line="252" w:lineRule="auto"/>
              <w:jc w:val="center"/>
            </w:pPr>
            <w:r>
              <w:rPr>
                <w:rFonts w:ascii="Calibri" w:hAnsi="Calibri"/>
                <w:color w:val="2D3748"/>
                <w:sz w:val="16"/>
              </w:rPr>
              <w:t>Zero geometric parameter acquisition (no gauge/twist); high false alarms.</w:t>
            </w:r>
          </w:p>
        </w:tc>
      </w:tr>
      <w:tr>
        <w:tc>
          <w:tcPr>
            <w:tcW w:type="dxa" w:w="1728"/>
            <w:shd w:fill="FFFFFF"/>
            <w:tcMar>
              <w:top w:w="70" w:type="dxa"/>
              <w:bottom w:w="70" w:type="dxa"/>
              <w:left w:w="90" w:type="dxa"/>
              <w:right w:w="90" w:type="dxa"/>
            </w:tcMar>
          </w:tcPr>
          <w:p>
            <w:pPr>
              <w:spacing w:before="20" w:after="20" w:line="252" w:lineRule="auto"/>
              <w:jc w:val="left"/>
            </w:pPr>
            <w:r>
              <w:rPr>
                <w:rFonts w:ascii="Calibri" w:hAnsi="Calibri"/>
                <w:color w:val="2D3748"/>
                <w:sz w:val="16"/>
              </w:rPr>
              <w:t>TR-09 ITMS (Proposed / Reviewed)</w:t>
            </w:r>
          </w:p>
        </w:tc>
        <w:tc>
          <w:tcPr>
            <w:tcW w:type="dxa" w:w="115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3–15 km/h (Trolley)</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2x Laser (50Hz), IMU (100Hz), RTK, Edge AI</w:t>
            </w:r>
          </w:p>
        </w:tc>
        <w:tc>
          <w:tcPr>
            <w:tcW w:type="dxa" w:w="1296"/>
            <w:shd w:fill="FFFFFF"/>
            <w:tcMar>
              <w:top w:w="70" w:type="dxa"/>
              <w:bottom w:w="70" w:type="dxa"/>
              <w:left w:w="90" w:type="dxa"/>
              <w:right w:w="90" w:type="dxa"/>
            </w:tcMar>
          </w:tcPr>
          <w:p>
            <w:pPr>
              <w:spacing w:before="20" w:after="20" w:line="252" w:lineRule="auto"/>
              <w:jc w:val="center"/>
            </w:pPr>
            <w:r>
              <w:rPr>
                <w:rFonts w:ascii="Calibri" w:hAnsi="Calibri"/>
                <w:color w:val="2D3748"/>
                <w:sz w:val="16"/>
              </w:rPr>
              <w:t>±0.28 mm (RMS)</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Simultaneous Geometry + 4 Visual Defect Classes</w:t>
            </w:r>
          </w:p>
        </w:tc>
        <w:tc>
          <w:tcPr>
            <w:tcW w:type="dxa" w:w="172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Trolley-based inspection speed; battery-powered runtime (~7 hours).</w:t>
            </w:r>
          </w:p>
        </w:tc>
      </w:tr>
    </w:tbl>
    <w:p>
      <w:pPr>
        <w:spacing w:after="80"/>
      </w:pPr>
    </w:p>
    <w:p>
      <w:pPr>
        <w:keepNext/>
        <w:spacing w:before="280" w:after="80"/>
        <w:pBdr>
          <w:bottom w:val="single" w:sz="12" w:space="4" w:color="1B365D"/>
        </w:pBdr>
      </w:pPr>
      <w:r>
        <w:rPr>
          <w:rFonts w:ascii="Calibri" w:hAnsi="Calibri"/>
          <w:b/>
          <w:color w:val="1B365D"/>
          <w:sz w:val="26"/>
        </w:rPr>
        <w:t>3. THEORETICAL &amp; MATHEMATICAL FORMULATIONS OF TRACK GEOMETRY</w:t>
      </w:r>
    </w:p>
    <w:p>
      <w:pPr>
        <w:spacing w:before="0" w:after="80" w:line="276" w:lineRule="auto"/>
        <w:jc w:val="both"/>
      </w:pPr>
      <w:r>
        <w:rPr>
          <w:rFonts w:ascii="Calibri" w:hAnsi="Calibri"/>
          <w:color w:val="2D3748"/>
          <w:sz w:val="20"/>
        </w:rPr>
        <w:t>Accurate track geometry derivation requires rigorous coordinate frame transformations and mathematical rigor. The TR-09 ITMS framework models the track corridor as an invariant broad gauge spatial vector referenced to Indian Railways RDSO specifications.</w:t>
      </w:r>
    </w:p>
    <w:p>
      <w:pPr>
        <w:keepNext/>
        <w:spacing w:before="200" w:after="60"/>
      </w:pPr>
      <w:r>
        <w:rPr>
          <w:rFonts w:ascii="Calibri" w:hAnsi="Calibri"/>
          <w:b/>
          <w:color w:val="2B6CB0"/>
          <w:sz w:val="23"/>
        </w:rPr>
        <w:t>3.1 Contactless Broad Gauge Derivation</w:t>
      </w:r>
    </w:p>
    <w:p>
      <w:pPr>
        <w:spacing w:before="0" w:after="80" w:line="276" w:lineRule="auto"/>
        <w:jc w:val="both"/>
      </w:pPr>
      <w:r>
        <w:rPr>
          <w:rFonts w:ascii="Calibri" w:hAnsi="Calibri"/>
          <w:color w:val="2D3748"/>
          <w:sz w:val="20"/>
        </w:rPr>
        <w:t>Let D_frame denote the calibrated transverse distance between the optical datum planes of the left and right laser profilometer heads mounted on the trolley chassis. Let d_L(x) and d_R(x) represent the instantaneous optical standoff distances measured perpendicular to the inner running faces of the left and right rail heads at longitudinal track chainage x. The measured broad gauge G(x) is derived as:</w:t>
      </w:r>
    </w:p>
    <w:tbl>
      <w:tblPr>
        <w:tblW w:type="auto" w:w="0"/>
        <w:jc w:val="center"/>
        <w:tblLook w:firstColumn="1" w:firstRow="1" w:lastColumn="0" w:lastRow="0" w:noHBand="0" w:noVBand="1" w:val="04A0"/>
      </w:tblPr>
      <w:tblGrid>
        <w:gridCol w:w="4680"/>
        <w:gridCol w:w="4680"/>
      </w:tblGrid>
      <w:tr>
        <w:tc>
          <w:tcPr>
            <w:tcW w:type="dxa" w:w="8352"/>
            <w:shd w:fill="F7FAFC"/>
            <w:tcMar>
              <w:top w:w="80" w:type="dxa"/>
              <w:bottom w:w="80" w:type="dxa"/>
              <w:left w:w="120" w:type="dxa"/>
              <w:right w:w="80" w:type="dxa"/>
            </w:tcMar>
          </w:tcPr>
          <w:p>
            <w:pPr>
              <w:spacing w:before="40" w:after="40"/>
            </w:pPr>
            <w:r>
              <w:rPr>
                <w:rFonts w:ascii="Cambria Math" w:hAnsi="Cambria Math"/>
                <w:b/>
                <w:color w:val="1B365D"/>
                <w:sz w:val="20"/>
              </w:rPr>
              <w:t>G(x) = D_frame - [d_L(x) + d_R(x)]</w:t>
            </w:r>
          </w:p>
        </w:tc>
        <w:tc>
          <w:tcPr>
            <w:tcW w:type="dxa" w:w="1008"/>
            <w:shd w:fill="F7FAFC"/>
            <w:tcMar>
              <w:top w:w="80" w:type="dxa"/>
              <w:bottom w:w="80" w:type="dxa"/>
              <w:left w:w="80" w:type="dxa"/>
              <w:right w:w="120" w:type="dxa"/>
            </w:tcMar>
          </w:tcPr>
          <w:p>
            <w:pPr>
              <w:spacing w:before="40" w:after="40"/>
              <w:jc w:val="right"/>
            </w:pPr>
            <w:r>
              <w:rPr>
                <w:rFonts w:ascii="Calibri" w:hAnsi="Calibri"/>
                <w:b/>
                <w:color w:val="718096"/>
                <w:sz w:val="19"/>
              </w:rPr>
              <w:t>(1)</w:t>
            </w:r>
          </w:p>
        </w:tc>
      </w:tr>
    </w:tbl>
    <w:p>
      <w:pPr>
        <w:spacing w:after="60"/>
      </w:pPr>
    </w:p>
    <w:p>
      <w:pPr>
        <w:spacing w:before="0" w:after="80" w:line="276" w:lineRule="auto"/>
        <w:jc w:val="both"/>
      </w:pPr>
      <w:r>
        <w:rPr>
          <w:rFonts w:ascii="Calibri" w:hAnsi="Calibri"/>
          <w:color w:val="2D3748"/>
          <w:sz w:val="20"/>
        </w:rPr>
        <w:t>Where the nominal broad gauge G_0 is exactly 1676.0 mm. The instantaneous gauge deviation Delta_G(x) relative to nominal design is evaluated as:</w:t>
      </w:r>
    </w:p>
    <w:tbl>
      <w:tblPr>
        <w:tblW w:type="auto" w:w="0"/>
        <w:jc w:val="center"/>
        <w:tblLook w:firstColumn="1" w:firstRow="1" w:lastColumn="0" w:lastRow="0" w:noHBand="0" w:noVBand="1" w:val="04A0"/>
      </w:tblPr>
      <w:tblGrid>
        <w:gridCol w:w="4680"/>
        <w:gridCol w:w="4680"/>
      </w:tblGrid>
      <w:tr>
        <w:tc>
          <w:tcPr>
            <w:tcW w:type="dxa" w:w="8352"/>
            <w:shd w:fill="F7FAFC"/>
            <w:tcMar>
              <w:top w:w="80" w:type="dxa"/>
              <w:bottom w:w="80" w:type="dxa"/>
              <w:left w:w="120" w:type="dxa"/>
              <w:right w:w="80" w:type="dxa"/>
            </w:tcMar>
          </w:tcPr>
          <w:p>
            <w:pPr>
              <w:spacing w:before="40" w:after="40"/>
            </w:pPr>
            <w:r>
              <w:rPr>
                <w:rFonts w:ascii="Cambria Math" w:hAnsi="Cambria Math"/>
                <w:b/>
                <w:color w:val="1B365D"/>
                <w:sz w:val="20"/>
              </w:rPr>
              <w:t>ΔG(x) = G(x) - G_0 = G(x) - 1676.0 mm</w:t>
            </w:r>
          </w:p>
        </w:tc>
        <w:tc>
          <w:tcPr>
            <w:tcW w:type="dxa" w:w="1008"/>
            <w:shd w:fill="F7FAFC"/>
            <w:tcMar>
              <w:top w:w="80" w:type="dxa"/>
              <w:bottom w:w="80" w:type="dxa"/>
              <w:left w:w="80" w:type="dxa"/>
              <w:right w:w="120" w:type="dxa"/>
            </w:tcMar>
          </w:tcPr>
          <w:p>
            <w:pPr>
              <w:spacing w:before="40" w:after="40"/>
              <w:jc w:val="right"/>
            </w:pPr>
            <w:r>
              <w:rPr>
                <w:rFonts w:ascii="Calibri" w:hAnsi="Calibri"/>
                <w:b/>
                <w:color w:val="718096"/>
                <w:sz w:val="19"/>
              </w:rPr>
              <w:t>(2)</w:t>
            </w:r>
          </w:p>
        </w:tc>
      </w:tr>
    </w:tbl>
    <w:p>
      <w:pPr>
        <w:spacing w:after="60"/>
      </w:pPr>
    </w:p>
    <w:p>
      <w:pPr>
        <w:spacing w:before="0" w:after="80" w:line="276" w:lineRule="auto"/>
        <w:jc w:val="both"/>
      </w:pPr>
      <w:r>
        <w:rPr>
          <w:rFonts w:ascii="Calibri" w:hAnsi="Calibri"/>
          <w:color w:val="2D3748"/>
          <w:sz w:val="20"/>
        </w:rPr>
        <w:t>According to the Indian Railways Permanent Way Manual (IRPWM, Section 316), permissible broad gauge variations are constrained within a tight tolerance band: -3.0 mm (Tight Gauge Limit) to +6.0 mm (Slack Gauge Limit) for mainline operation up to 130 km/h. Exceedances beyond +8.0 mm demand immediate imposition of emergency temporary speed restrictions (TSR) [12].</w:t>
      </w:r>
    </w:p>
    <w:p>
      <w:pPr>
        <w:keepNext/>
        <w:spacing w:before="200" w:after="60"/>
      </w:pPr>
      <w:r>
        <w:rPr>
          <w:rFonts w:ascii="Calibri" w:hAnsi="Calibri"/>
          <w:b/>
          <w:color w:val="2B6CB0"/>
          <w:sz w:val="23"/>
        </w:rPr>
        <w:t>3.2 Cross-Level (Cant) Formulation from Strapdown IMU</w:t>
      </w:r>
    </w:p>
    <w:p>
      <w:pPr>
        <w:spacing w:before="0" w:after="80" w:line="276" w:lineRule="auto"/>
        <w:jc w:val="both"/>
      </w:pPr>
      <w:r>
        <w:rPr>
          <w:rFonts w:ascii="Calibri" w:hAnsi="Calibri"/>
          <w:color w:val="2D3748"/>
          <w:sz w:val="20"/>
        </w:rPr>
        <w:t>Cross-level (or cant) C(x) represents the height differential between the top surfaces of the two rails across the gauge plane. By measuring the trolley's transverse gravitational tilt angle (roll angle theta_roll(x)) via the 6-DoF MEMS gyroscopic platform, cross-level is derived analytically as:</w:t>
      </w:r>
    </w:p>
    <w:tbl>
      <w:tblPr>
        <w:tblW w:type="auto" w:w="0"/>
        <w:jc w:val="center"/>
        <w:tblLook w:firstColumn="1" w:firstRow="1" w:lastColumn="0" w:lastRow="0" w:noHBand="0" w:noVBand="1" w:val="04A0"/>
      </w:tblPr>
      <w:tblGrid>
        <w:gridCol w:w="4680"/>
        <w:gridCol w:w="4680"/>
      </w:tblGrid>
      <w:tr>
        <w:tc>
          <w:tcPr>
            <w:tcW w:type="dxa" w:w="8352"/>
            <w:shd w:fill="F7FAFC"/>
            <w:tcMar>
              <w:top w:w="80" w:type="dxa"/>
              <w:bottom w:w="80" w:type="dxa"/>
              <w:left w:w="120" w:type="dxa"/>
              <w:right w:w="80" w:type="dxa"/>
            </w:tcMar>
          </w:tcPr>
          <w:p>
            <w:pPr>
              <w:spacing w:before="40" w:after="40"/>
            </w:pPr>
            <w:r>
              <w:rPr>
                <w:rFonts w:ascii="Cambria Math" w:hAnsi="Cambria Math"/>
                <w:b/>
                <w:color w:val="1B365D"/>
                <w:sz w:val="20"/>
              </w:rPr>
              <w:t>C(x) = G_0 · sin(θ_roll(x)) ≈ G_0 · θ_roll(x)</w:t>
            </w:r>
          </w:p>
        </w:tc>
        <w:tc>
          <w:tcPr>
            <w:tcW w:type="dxa" w:w="1008"/>
            <w:shd w:fill="F7FAFC"/>
            <w:tcMar>
              <w:top w:w="80" w:type="dxa"/>
              <w:bottom w:w="80" w:type="dxa"/>
              <w:left w:w="80" w:type="dxa"/>
              <w:right w:w="120" w:type="dxa"/>
            </w:tcMar>
          </w:tcPr>
          <w:p>
            <w:pPr>
              <w:spacing w:before="40" w:after="40"/>
              <w:jc w:val="right"/>
            </w:pPr>
            <w:r>
              <w:rPr>
                <w:rFonts w:ascii="Calibri" w:hAnsi="Calibri"/>
                <w:b/>
                <w:color w:val="718096"/>
                <w:sz w:val="19"/>
              </w:rPr>
              <w:t>(3)</w:t>
            </w:r>
          </w:p>
        </w:tc>
      </w:tr>
    </w:tbl>
    <w:p>
      <w:pPr>
        <w:spacing w:after="60"/>
      </w:pPr>
    </w:p>
    <w:p>
      <w:pPr>
        <w:spacing w:before="0" w:after="80" w:line="276" w:lineRule="auto"/>
        <w:jc w:val="both"/>
      </w:pPr>
      <w:r>
        <w:rPr>
          <w:rFonts w:ascii="Calibri" w:hAnsi="Calibri"/>
          <w:color w:val="2D3748"/>
          <w:sz w:val="20"/>
        </w:rPr>
        <w:t>For small angular deflections (&lt; 5°), the small-angle approximation sin(theta) ≈ theta applies with negligible linearization error (&lt; 0.08%). On tangent (straight) track, nominal cross-level is 0.0 mm with a maintenance limit of ±4.0 mm.</w:t>
      </w:r>
    </w:p>
    <w:p>
      <w:pPr>
        <w:keepNext/>
        <w:spacing w:before="200" w:after="60"/>
      </w:pPr>
      <w:r>
        <w:rPr>
          <w:rFonts w:ascii="Calibri" w:hAnsi="Calibri"/>
          <w:b/>
          <w:color w:val="2B6CB0"/>
          <w:sz w:val="23"/>
        </w:rPr>
        <w:t>3.3 Spatial Track Twist over 3.0 m Chord</w:t>
      </w:r>
    </w:p>
    <w:p>
      <w:pPr>
        <w:spacing w:before="0" w:after="80" w:line="276" w:lineRule="auto"/>
        <w:jc w:val="both"/>
      </w:pPr>
      <w:r>
        <w:rPr>
          <w:rFonts w:ascii="Calibri" w:hAnsi="Calibri"/>
          <w:color w:val="2D3748"/>
          <w:sz w:val="20"/>
        </w:rPr>
        <w:t>Spatial track twist T(x) denotes the differential change in cross-level per unit longitudinal distance, evaluated over a standard chord baseline L_chord = 3.0 m in accordance with RDSO criteria. Twist is computed as:</w:t>
      </w:r>
    </w:p>
    <w:tbl>
      <w:tblPr>
        <w:tblW w:type="auto" w:w="0"/>
        <w:jc w:val="center"/>
        <w:tblLook w:firstColumn="1" w:firstRow="1" w:lastColumn="0" w:lastRow="0" w:noHBand="0" w:noVBand="1" w:val="04A0"/>
      </w:tblPr>
      <w:tblGrid>
        <w:gridCol w:w="4680"/>
        <w:gridCol w:w="4680"/>
      </w:tblGrid>
      <w:tr>
        <w:tc>
          <w:tcPr>
            <w:tcW w:type="dxa" w:w="8352"/>
            <w:shd w:fill="F7FAFC"/>
            <w:tcMar>
              <w:top w:w="80" w:type="dxa"/>
              <w:bottom w:w="80" w:type="dxa"/>
              <w:left w:w="120" w:type="dxa"/>
              <w:right w:w="80" w:type="dxa"/>
            </w:tcMar>
          </w:tcPr>
          <w:p>
            <w:pPr>
              <w:spacing w:before="40" w:after="40"/>
            </w:pPr>
            <w:r>
              <w:rPr>
                <w:rFonts w:ascii="Cambria Math" w:hAnsi="Cambria Math"/>
                <w:b/>
                <w:color w:val="1B365D"/>
                <w:sz w:val="20"/>
              </w:rPr>
              <w:t>T(x) = |C(x) - C(x - 3.0 m)| / 3.0 m   [expressed in mm/m]</w:t>
            </w:r>
          </w:p>
        </w:tc>
        <w:tc>
          <w:tcPr>
            <w:tcW w:type="dxa" w:w="1008"/>
            <w:shd w:fill="F7FAFC"/>
            <w:tcMar>
              <w:top w:w="80" w:type="dxa"/>
              <w:bottom w:w="80" w:type="dxa"/>
              <w:left w:w="80" w:type="dxa"/>
              <w:right w:w="120" w:type="dxa"/>
            </w:tcMar>
          </w:tcPr>
          <w:p>
            <w:pPr>
              <w:spacing w:before="40" w:after="40"/>
              <w:jc w:val="right"/>
            </w:pPr>
            <w:r>
              <w:rPr>
                <w:rFonts w:ascii="Calibri" w:hAnsi="Calibri"/>
                <w:b/>
                <w:color w:val="718096"/>
                <w:sz w:val="19"/>
              </w:rPr>
              <w:t>(4)</w:t>
            </w:r>
          </w:p>
        </w:tc>
      </w:tr>
    </w:tbl>
    <w:p>
      <w:pPr>
        <w:spacing w:after="60"/>
      </w:pPr>
    </w:p>
    <w:p>
      <w:pPr>
        <w:spacing w:before="0" w:after="80" w:line="276" w:lineRule="auto"/>
        <w:jc w:val="both"/>
      </w:pPr>
      <w:r>
        <w:rPr>
          <w:rFonts w:ascii="Calibri" w:hAnsi="Calibri"/>
          <w:color w:val="2D3748"/>
          <w:sz w:val="20"/>
        </w:rPr>
        <w:t>RDSO safety regulations stipulate that spatial twist must never exceed 2.8 mm/m under line-speed operation. Excessive twist unloads wheelsets, drastically reducing the Nadal derailment safety quotient (Y/Q) below critical stability limits [13].</w:t>
      </w:r>
    </w:p>
    <w:p>
      <w:pPr>
        <w:keepNext/>
        <w:spacing w:before="200" w:after="60"/>
      </w:pPr>
      <w:r>
        <w:rPr>
          <w:rFonts w:ascii="Calibri" w:hAnsi="Calibri"/>
          <w:b/>
          <w:color w:val="2B6CB0"/>
          <w:sz w:val="23"/>
        </w:rPr>
        <w:t>3.4 Multi-Rate Extended Kalman Filter (EKF) Synchronization</w:t>
      </w:r>
    </w:p>
    <w:p>
      <w:pPr>
        <w:spacing w:before="0" w:after="80" w:line="276" w:lineRule="auto"/>
        <w:jc w:val="both"/>
      </w:pPr>
      <w:r>
        <w:rPr>
          <w:rFonts w:ascii="Calibri" w:hAnsi="Calibri"/>
          <w:color w:val="2D3748"/>
          <w:sz w:val="20"/>
        </w:rPr>
        <w:t>Because laser profilometers sample at 50 Hz, the MEMS IMU operates at 100 Hz, and the GNSS-RTK updates at 5 Hz, asynchronous sensor clock drift induces spatial misalignment. The TR-09 architecture deploys a discrete Extended Kalman Filter operating on a unified state vector x_k = [x_pos, v_x, theta_roll, omega_roll, C_k, G_k]^T. Between satellite updates, the filter propagates the state using inertial odometry:</w:t>
      </w:r>
    </w:p>
    <w:tbl>
      <w:tblPr>
        <w:tblW w:type="auto" w:w="0"/>
        <w:jc w:val="center"/>
        <w:tblLook w:firstColumn="1" w:firstRow="1" w:lastColumn="0" w:lastRow="0" w:noHBand="0" w:noVBand="1" w:val="04A0"/>
      </w:tblPr>
      <w:tblGrid>
        <w:gridCol w:w="4680"/>
        <w:gridCol w:w="4680"/>
      </w:tblGrid>
      <w:tr>
        <w:tc>
          <w:tcPr>
            <w:tcW w:type="dxa" w:w="8352"/>
            <w:shd w:fill="F7FAFC"/>
            <w:tcMar>
              <w:top w:w="80" w:type="dxa"/>
              <w:bottom w:w="80" w:type="dxa"/>
              <w:left w:w="120" w:type="dxa"/>
              <w:right w:w="80" w:type="dxa"/>
            </w:tcMar>
          </w:tcPr>
          <w:p>
            <w:pPr>
              <w:spacing w:before="40" w:after="40"/>
            </w:pPr>
            <w:r>
              <w:rPr>
                <w:rFonts w:ascii="Cambria Math" w:hAnsi="Cambria Math"/>
                <w:b/>
                <w:color w:val="1B365D"/>
                <w:sz w:val="20"/>
              </w:rPr>
              <w:t>x̂_{k|k-1} = F_k · x̂_{k-1|k-1} + B_k · u_k</w:t>
            </w:r>
          </w:p>
        </w:tc>
        <w:tc>
          <w:tcPr>
            <w:tcW w:type="dxa" w:w="1008"/>
            <w:shd w:fill="F7FAFC"/>
            <w:tcMar>
              <w:top w:w="80" w:type="dxa"/>
              <w:bottom w:w="80" w:type="dxa"/>
              <w:left w:w="80" w:type="dxa"/>
              <w:right w:w="120" w:type="dxa"/>
            </w:tcMar>
          </w:tcPr>
          <w:p>
            <w:pPr>
              <w:spacing w:before="40" w:after="40"/>
              <w:jc w:val="right"/>
            </w:pPr>
            <w:r>
              <w:rPr>
                <w:rFonts w:ascii="Calibri" w:hAnsi="Calibri"/>
                <w:b/>
                <w:color w:val="718096"/>
                <w:sz w:val="19"/>
              </w:rPr>
              <w:t>(5)</w:t>
            </w:r>
          </w:p>
        </w:tc>
      </w:tr>
    </w:tbl>
    <w:p>
      <w:pPr>
        <w:spacing w:after="60"/>
      </w:pPr>
    </w:p>
    <w:tbl>
      <w:tblPr>
        <w:tblW w:type="auto" w:w="0"/>
        <w:jc w:val="center"/>
        <w:tblLook w:firstColumn="1" w:firstRow="1" w:lastColumn="0" w:lastRow="0" w:noHBand="0" w:noVBand="1" w:val="04A0"/>
      </w:tblPr>
      <w:tblGrid>
        <w:gridCol w:w="4680"/>
        <w:gridCol w:w="4680"/>
      </w:tblGrid>
      <w:tr>
        <w:tc>
          <w:tcPr>
            <w:tcW w:type="dxa" w:w="8352"/>
            <w:shd w:fill="F7FAFC"/>
            <w:tcMar>
              <w:top w:w="80" w:type="dxa"/>
              <w:bottom w:w="80" w:type="dxa"/>
              <w:left w:w="120" w:type="dxa"/>
              <w:right w:w="80" w:type="dxa"/>
            </w:tcMar>
          </w:tcPr>
          <w:p>
            <w:pPr>
              <w:spacing w:before="40" w:after="40"/>
            </w:pPr>
            <w:r>
              <w:rPr>
                <w:rFonts w:ascii="Cambria Math" w:hAnsi="Cambria Math"/>
                <w:b/>
                <w:color w:val="1B365D"/>
                <w:sz w:val="20"/>
              </w:rPr>
              <w:t>P_{k|k-1} = F_k · P_{k-1|k-1} · F_k^T + Q_k</w:t>
            </w:r>
          </w:p>
        </w:tc>
        <w:tc>
          <w:tcPr>
            <w:tcW w:type="dxa" w:w="1008"/>
            <w:shd w:fill="F7FAFC"/>
            <w:tcMar>
              <w:top w:w="80" w:type="dxa"/>
              <w:bottom w:w="80" w:type="dxa"/>
              <w:left w:w="80" w:type="dxa"/>
              <w:right w:w="120" w:type="dxa"/>
            </w:tcMar>
          </w:tcPr>
          <w:p>
            <w:pPr>
              <w:spacing w:before="40" w:after="40"/>
              <w:jc w:val="right"/>
            </w:pPr>
            <w:r>
              <w:rPr>
                <w:rFonts w:ascii="Calibri" w:hAnsi="Calibri"/>
                <w:b/>
                <w:color w:val="718096"/>
                <w:sz w:val="19"/>
              </w:rPr>
              <w:t>(6)</w:t>
            </w:r>
          </w:p>
        </w:tc>
      </w:tr>
    </w:tbl>
    <w:p>
      <w:pPr>
        <w:spacing w:after="60"/>
      </w:pPr>
    </w:p>
    <w:p>
      <w:pPr>
        <w:spacing w:before="0" w:after="80" w:line="276" w:lineRule="auto"/>
        <w:jc w:val="both"/>
      </w:pPr>
      <w:r>
        <w:rPr>
          <w:rFonts w:ascii="Calibri" w:hAnsi="Calibri"/>
          <w:color w:val="2D3748"/>
          <w:sz w:val="20"/>
        </w:rPr>
        <w:t>Upon receipt of an RTK carrier-phase measurement or zero-velocity update (ZUPT), the Kalman gain K_k updates the covariance matrix P_k, constraining cumulative positional drift within 0.42 m during prolonged 90-second satellite outages in deep cuttings.</w:t>
      </w:r>
    </w:p>
    <w:p>
      <w:pPr>
        <w:keepNext/>
        <w:spacing w:before="280" w:after="80"/>
        <w:pBdr>
          <w:bottom w:val="single" w:sz="12" w:space="4" w:color="1B365D"/>
        </w:pBdr>
      </w:pPr>
      <w:r>
        <w:rPr>
          <w:rFonts w:ascii="Calibri" w:hAnsi="Calibri"/>
          <w:b/>
          <w:color w:val="1B365D"/>
          <w:sz w:val="26"/>
        </w:rPr>
        <w:t>4. THE TR-09 CONTACTLESS ITMS ARCHITECTURAL FRAMEWORK</w:t>
      </w:r>
    </w:p>
    <w:p>
      <w:pPr>
        <w:spacing w:before="0" w:after="80" w:line="276" w:lineRule="auto"/>
        <w:jc w:val="both"/>
      </w:pPr>
      <w:r>
        <w:rPr>
          <w:rFonts w:ascii="Calibri" w:hAnsi="Calibri"/>
          <w:color w:val="2D3748"/>
          <w:sz w:val="20"/>
        </w:rPr>
        <w:t>Figure 1 illustrates the comprehensive multi-tier hardware and software data flow of the TR-09 Contactless Integrated Track Monitoring System. The framework partitions functionality across three robust architectural layers.</w:t>
      </w:r>
    </w:p>
    <w:p>
      <w:pPr>
        <w:keepNext/>
        <w:spacing w:before="120" w:after="60"/>
        <w:jc w:val="center"/>
      </w:pPr>
      <w:r>
        <w:drawing>
          <wp:inline xmlns:a="http://schemas.openxmlformats.org/drawingml/2006/main" xmlns:pic="http://schemas.openxmlformats.org/drawingml/2006/picture">
            <wp:extent cx="5760720" cy="344018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760720" cy="3440188"/>
                    </a:xfrm>
                    <a:prstGeom prst="rect"/>
                  </pic:spPr>
                </pic:pic>
              </a:graphicData>
            </a:graphic>
          </wp:inline>
        </w:drawing>
      </w:r>
    </w:p>
    <w:p>
      <w:pPr>
        <w:spacing w:before="20" w:after="160"/>
        <w:jc w:val="center"/>
      </w:pPr>
      <w:r>
        <w:rPr>
          <w:rFonts w:ascii="Calibri" w:hAnsi="Calibri"/>
          <w:i/>
          <w:color w:val="4A5568"/>
          <w:sz w:val="17"/>
        </w:rPr>
        <w:t>Figure 1: Complete end-to-end multi-sensor system architecture of the TR-09 Contactless ITMS, illustrating sensor acquisition layers, edge AI multi-rate Kalman synchronization, and presentation telemetry pipelines.</w:t>
      </w:r>
    </w:p>
    <w:p>
      <w:pPr>
        <w:spacing w:before="0" w:after="80" w:line="276" w:lineRule="auto"/>
        <w:jc w:val="both"/>
      </w:pPr>
      <w:r>
        <w:rPr>
          <w:rFonts w:ascii="Calibri" w:hAnsi="Calibri"/>
          <w:b/>
          <w:color w:val="1A202C"/>
          <w:sz w:val="20"/>
        </w:rPr>
        <w:t xml:space="preserve">Chassis &amp; Optical Rigging: </w:t>
      </w:r>
      <w:r>
        <w:rPr>
          <w:rFonts w:ascii="Calibri" w:hAnsi="Calibri"/>
          <w:color w:val="2D3748"/>
          <w:sz w:val="20"/>
        </w:rPr>
        <w:t>The physical sensing rig consists of a lightweight, electrically isolated carbon-fibre and structural aluminium tubular trolley designed for easy assembly and manual demounting from broad gauge track within 60 seconds by a two-person crew. Optical laser profilometers are enclosed within IP67-sealed aluminium housings with quartz optical windows and sun-shielding baffles. Dual Sony IMX477 12.3 megapixel CMOS sensors are angled at 45° downward, providing a 0.85 m transverse field of view covering rail heads, fastening assemblies, concrete sleeper seats, and ballast shoulders.</w:t>
      </w:r>
    </w:p>
    <w:p>
      <w:pPr>
        <w:spacing w:before="0" w:after="80" w:line="276" w:lineRule="auto"/>
        <w:jc w:val="both"/>
      </w:pPr>
      <w:r>
        <w:rPr>
          <w:rFonts w:ascii="Calibri" w:hAnsi="Calibri"/>
          <w:b/>
          <w:color w:val="1A202C"/>
          <w:sz w:val="20"/>
        </w:rPr>
        <w:t xml:space="preserve">Edge Computing &amp; Power Budget: </w:t>
      </w:r>
      <w:r>
        <w:rPr>
          <w:rFonts w:ascii="Calibri" w:hAnsi="Calibri"/>
          <w:color w:val="2D3748"/>
          <w:sz w:val="20"/>
        </w:rPr>
        <w:t>Edge computation is powered by an NVIDIA Jetson embedded platform executing real-time inference under TensorRT optimization. Deep neural network inference (MobileNetV3 spatial backbone + LSTM temporal aggregator) operates with an inference latency of 34 ms per frame, yielding a continuous processing throughput of ~29 frames per second—comfortably exceeding trolley inspection speed requirements. The entire electronics payload consumes 24.8 Watts, powered by a 12V 18Ah LiFePO4 battery pack providing up to 7.2 hours of uninterrupted field inspection.</w:t>
      </w:r>
    </w:p>
    <w:p>
      <w:pPr>
        <w:spacing w:before="0" w:after="80" w:line="276" w:lineRule="auto"/>
        <w:jc w:val="both"/>
      </w:pPr>
      <w:r>
        <w:rPr>
          <w:rFonts w:ascii="Calibri" w:hAnsi="Calibri"/>
          <w:b/>
          <w:color w:val="1A202C"/>
          <w:sz w:val="20"/>
        </w:rPr>
        <w:t xml:space="preserve">Confidence Gating Pipeline: </w:t>
      </w:r>
      <w:r>
        <w:rPr>
          <w:rFonts w:ascii="Calibri" w:hAnsi="Calibri"/>
          <w:color w:val="2D3748"/>
          <w:sz w:val="20"/>
        </w:rPr>
        <w:t>Visual defect classification enforces a rigorous confidence gating threshold: if the inferred probability exceeds &gt;= 91% (0.91), the system emits a validated Defect Event, extracts targeting reticle pixel bounding box coordinates, determines ground-truth chainage, logs algorithmic detection explanations, and classifies structural damage. Lower-confidence frames (&lt; 91%) are discarded or flagged for secondary verification, completely eliminating false-alarm fatigue for railway maintenance crews.</w:t>
      </w:r>
    </w:p>
    <w:p>
      <w:pPr>
        <w:keepNext/>
        <w:spacing w:before="280" w:after="80"/>
        <w:pBdr>
          <w:bottom w:val="single" w:sz="12" w:space="4" w:color="1B365D"/>
        </w:pBdr>
      </w:pPr>
      <w:r>
        <w:rPr>
          <w:rFonts w:ascii="Calibri" w:hAnsi="Calibri"/>
          <w:b/>
          <w:color w:val="1B365D"/>
          <w:sz w:val="26"/>
        </w:rPr>
        <w:t>5. SIMULATION METHODOLOGY &amp; EXPERIMENTAL TESTBED SETUP</w:t>
      </w:r>
    </w:p>
    <w:p>
      <w:pPr>
        <w:spacing w:before="0" w:after="80" w:line="276" w:lineRule="auto"/>
        <w:jc w:val="both"/>
      </w:pPr>
      <w:r>
        <w:rPr>
          <w:rFonts w:ascii="Calibri" w:hAnsi="Calibri"/>
          <w:color w:val="2D3748"/>
          <w:sz w:val="20"/>
        </w:rPr>
        <w:t>To rigorously validate the TR-09 ITMS framework prior to intensive commercial corridor deployment, a comprehensive dynamic simulation testbed was developed representing a 1.500 km broad gauge siding modelled after the SVKM's NMIMS MPSTME Shirpur railway test corridor in Maharashtra, India (Latitude 21.311200° N, Longitude 74.881400° E) [14].</w:t>
      </w:r>
    </w:p>
    <w:p>
      <w:pPr>
        <w:spacing w:before="0" w:after="80" w:line="276" w:lineRule="auto"/>
        <w:jc w:val="both"/>
      </w:pPr>
      <w:r>
        <w:rPr>
          <w:rFonts w:ascii="Calibri" w:hAnsi="Calibri"/>
          <w:b/>
          <w:color w:val="1A202C"/>
          <w:sz w:val="20"/>
        </w:rPr>
        <w:t xml:space="preserve">Stochastic Sensor Noise Modelling: </w:t>
      </w:r>
      <w:r>
        <w:rPr>
          <w:rFonts w:ascii="Calibri" w:hAnsi="Calibri"/>
          <w:color w:val="2D3748"/>
          <w:sz w:val="20"/>
        </w:rPr>
        <w:t>Sensor acquisition models incorporate real-world stochastic perturbations. Optical laser measurements inject Gaussian white noise with zero mean and standard deviation sigma = 0.35 mm, alongside simulated sunlight specular glint spikes. The 6-DoF IMU model simulates accelerometer thermal bias drift (0.02 m/s^2/sqrt(Hz)) and gyroscopic random walk. The GNSS receiver models RTK carrier-phase positioning (sigma = 0.015 m) transitioning to an unassisted dead-reckoning state during simulated satellite occlusion.</w:t>
      </w:r>
    </w:p>
    <w:p>
      <w:pPr>
        <w:spacing w:before="0" w:after="80" w:line="276" w:lineRule="auto"/>
        <w:jc w:val="both"/>
      </w:pPr>
      <w:r>
        <w:rPr>
          <w:rFonts w:ascii="Calibri" w:hAnsi="Calibri"/>
          <w:b/>
          <w:color w:val="1A202C"/>
          <w:sz w:val="20"/>
        </w:rPr>
        <w:t xml:space="preserve">Synthetic Anomaly Injection Matrix: </w:t>
      </w:r>
      <w:r>
        <w:rPr>
          <w:rFonts w:ascii="Calibri" w:hAnsi="Calibri"/>
          <w:color w:val="2D3748"/>
          <w:sz w:val="20"/>
        </w:rPr>
        <w:t>Controlled physical track anomalies were injected at planned chainage intervals along the 1.500 km siding to evaluate detection sensitivity and localization precision:</w:t>
        <w:br/>
        <w:t>• Spot 1 (Km 0.240 – 0.260): Missing Elastic Rail Clip (ERC) on right rail foot (zero toe load).</w:t>
        <w:br/>
        <w:t>• Spot 2 (Km 0.590 – 0.610): Transverse fatigue fracture across joint fishplate web (aperture 2.1 mm).</w:t>
        <w:br/>
        <w:t>• Geometric Gauge Widening (Km 0.840 – 0.880): Continuous dynamic gauge widening peaking at 1685.2 mm (+9.2 mm RDSO violation).</w:t>
        <w:br/>
        <w:t>• Spot 3 (Km 0.940 – 0.960): Ballast washout cavity (&gt;0.42 m^2) creating an unsupported sleeper seat.</w:t>
        <w:br/>
        <w:t>• GNSS Outage Corridor (Km 1.100 – 1.180): Deep cutting / tunnel blackout forcing 90 seconds of inertial dead-reckoning.</w:t>
        <w:br/>
        <w:t>• Spot 4 (Km 1.290 – 1.310): Rail head surface squat and rolling contact fatigue spalling.</w:t>
      </w:r>
    </w:p>
    <w:p>
      <w:pPr>
        <w:keepNext/>
        <w:spacing w:before="280" w:after="80"/>
        <w:pBdr>
          <w:bottom w:val="single" w:sz="12" w:space="4" w:color="1B365D"/>
        </w:pBdr>
      </w:pPr>
      <w:r>
        <w:rPr>
          <w:rFonts w:ascii="Calibri" w:hAnsi="Calibri"/>
          <w:b/>
          <w:color w:val="1B365D"/>
          <w:sz w:val="26"/>
        </w:rPr>
        <w:t>6. SIMULATION RESULTS, DEFECT DETECTION &amp; DISCUSSION</w:t>
      </w:r>
    </w:p>
    <w:p>
      <w:pPr>
        <w:spacing w:before="0" w:after="80" w:line="276" w:lineRule="auto"/>
        <w:jc w:val="both"/>
      </w:pPr>
      <w:r>
        <w:rPr>
          <w:rFonts w:ascii="Calibri" w:hAnsi="Calibri"/>
          <w:color w:val="2D3748"/>
          <w:sz w:val="20"/>
        </w:rPr>
        <w:t>A full-length 1.500 km inspection simulation run was executed through the TR-09 system. This section evaluates the empirical results across geometry profiles, multi-rate fusion telemetry, visual component defect localization, and edge deep learning performance.</w:t>
      </w:r>
    </w:p>
    <w:p>
      <w:pPr>
        <w:keepNext/>
        <w:spacing w:before="200" w:after="60"/>
      </w:pPr>
      <w:r>
        <w:rPr>
          <w:rFonts w:ascii="Calibri" w:hAnsi="Calibri"/>
          <w:b/>
          <w:color w:val="2B6CB0"/>
          <w:sz w:val="23"/>
        </w:rPr>
        <w:t>6.1 Broad Gauge Profile Simulation &amp; RDSO Threshold Evaluation</w:t>
      </w:r>
    </w:p>
    <w:p>
      <w:pPr>
        <w:spacing w:before="0" w:after="80" w:line="276" w:lineRule="auto"/>
        <w:jc w:val="both"/>
      </w:pPr>
      <w:r>
        <w:rPr>
          <w:rFonts w:ascii="Calibri" w:hAnsi="Calibri"/>
          <w:color w:val="2D3748"/>
          <w:sz w:val="20"/>
        </w:rPr>
        <w:t>Figure 2 illustrates the continuous 1.500 km measured broad gauge profile alongside RDSO upper slack (+6.0 mm / 1682.0 mm) and lower tight (-3.0 mm / 1673.0 mm) permissible boundaries.</w:t>
      </w:r>
    </w:p>
    <w:p>
      <w:pPr>
        <w:keepNext/>
        <w:spacing w:before="120" w:after="60"/>
        <w:jc w:val="center"/>
      </w:pPr>
      <w:r>
        <w:drawing>
          <wp:inline xmlns:a="http://schemas.openxmlformats.org/drawingml/2006/main" xmlns:pic="http://schemas.openxmlformats.org/drawingml/2006/picture">
            <wp:extent cx="5760720" cy="3150122"/>
            <wp:docPr id="2" name="Picture 2"/>
            <wp:cNvGraphicFramePr>
              <a:graphicFrameLocks noChangeAspect="1"/>
            </wp:cNvGraphicFramePr>
            <a:graphic>
              <a:graphicData uri="http://schemas.openxmlformats.org/drawingml/2006/picture">
                <pic:pic>
                  <pic:nvPicPr>
                    <pic:cNvPr id="0" name="fig2_full_track_gauge_simulation.png"/>
                    <pic:cNvPicPr/>
                  </pic:nvPicPr>
                  <pic:blipFill>
                    <a:blip r:embed="rId10"/>
                    <a:stretch>
                      <a:fillRect/>
                    </a:stretch>
                  </pic:blipFill>
                  <pic:spPr>
                    <a:xfrm>
                      <a:off x="0" y="0"/>
                      <a:ext cx="5760720" cy="3150122"/>
                    </a:xfrm>
                    <a:prstGeom prst="rect"/>
                  </pic:spPr>
                </pic:pic>
              </a:graphicData>
            </a:graphic>
          </wp:inline>
        </w:drawing>
      </w:r>
    </w:p>
    <w:p>
      <w:pPr>
        <w:spacing w:before="20" w:after="160"/>
        <w:jc w:val="center"/>
      </w:pPr>
      <w:r>
        <w:rPr>
          <w:rFonts w:ascii="Calibri" w:hAnsi="Calibri"/>
          <w:i/>
          <w:color w:val="4A5568"/>
          <w:sz w:val="17"/>
        </w:rPr>
        <w:t>Figure 2: Empirical 1.500 km broad gauge profile simulation under contactless optical triangulation. Top panel: Measured gauge G(x) vs RDSO tolerance band (1673–1682 mm) highlighting critical gauge widening at Km 0.860 and the 4 visual defect spots. Bottom panel: Gauge deviation Delta_G(x) in mm.</w:t>
      </w:r>
    </w:p>
    <w:p>
      <w:pPr>
        <w:spacing w:before="0" w:after="80" w:line="276" w:lineRule="auto"/>
        <w:jc w:val="both"/>
      </w:pPr>
      <w:r>
        <w:rPr>
          <w:rFonts w:ascii="Calibri" w:hAnsi="Calibri"/>
          <w:color w:val="2D3748"/>
          <w:sz w:val="20"/>
        </w:rPr>
        <w:t>Across the nominal track siding, the contactless laser profiler sustained a mean measured gauge of 1676.04 mm with an RMS measurement error of ±0.28 mm, demonstrating excellent agreement with ground-truth track geometry. In the injected anomaly corridor (Km 0.840 to 0.880), the system accurately tracked progressive gauge widening, reaching a peak value of 1685.2 mm (Delta_G = +9.2 mm) at Km 0.860. The automated threshold engine instantaneously flagged this condition as a CRITICAL RDSO VIOLATION, successfully triggering simulated emergency P-Way speed restrictions (30 km/h) in the telemetry buffer.</w:t>
      </w:r>
    </w:p>
    <w:p>
      <w:pPr>
        <w:keepNext/>
        <w:spacing w:before="200" w:after="60"/>
      </w:pPr>
      <w:r>
        <w:rPr>
          <w:rFonts w:ascii="Calibri" w:hAnsi="Calibri"/>
          <w:b/>
          <w:color w:val="2B6CB0"/>
          <w:sz w:val="23"/>
        </w:rPr>
        <w:t>6.2 Cross-Level, Spatial Twist &amp; Dead-Reckoning Kalman Fusion Telemetry</w:t>
      </w:r>
    </w:p>
    <w:p>
      <w:pPr>
        <w:spacing w:before="0" w:after="80" w:line="276" w:lineRule="auto"/>
        <w:jc w:val="both"/>
      </w:pPr>
      <w:r>
        <w:rPr>
          <w:rFonts w:ascii="Calibri" w:hAnsi="Calibri"/>
          <w:color w:val="2D3748"/>
          <w:sz w:val="20"/>
        </w:rPr>
        <w:t>Figure 3 presents the synchronized multi-sensor telemetry outputs for Cross-Level Cant, Spatial Twist over a 3.0 m chord, and GNSS positioning uncertainty.</w:t>
      </w:r>
    </w:p>
    <w:p>
      <w:pPr>
        <w:keepNext/>
        <w:spacing w:before="120" w:after="60"/>
        <w:jc w:val="center"/>
      </w:pPr>
      <w:r>
        <w:drawing>
          <wp:inline xmlns:a="http://schemas.openxmlformats.org/drawingml/2006/main" xmlns:pic="http://schemas.openxmlformats.org/drawingml/2006/picture">
            <wp:extent cx="5760720" cy="3973657"/>
            <wp:docPr id="3" name="Picture 3"/>
            <wp:cNvGraphicFramePr>
              <a:graphicFrameLocks noChangeAspect="1"/>
            </wp:cNvGraphicFramePr>
            <a:graphic>
              <a:graphicData uri="http://schemas.openxmlformats.org/drawingml/2006/picture">
                <pic:pic>
                  <pic:nvPicPr>
                    <pic:cNvPr id="0" name="fig3_crosslevel_twist_gnss_simulation.png"/>
                    <pic:cNvPicPr/>
                  </pic:nvPicPr>
                  <pic:blipFill>
                    <a:blip r:embed="rId11"/>
                    <a:stretch>
                      <a:fillRect/>
                    </a:stretch>
                  </pic:blipFill>
                  <pic:spPr>
                    <a:xfrm>
                      <a:off x="0" y="0"/>
                      <a:ext cx="5760720" cy="3973657"/>
                    </a:xfrm>
                    <a:prstGeom prst="rect"/>
                  </pic:spPr>
                </pic:pic>
              </a:graphicData>
            </a:graphic>
          </wp:inline>
        </w:drawing>
      </w:r>
    </w:p>
    <w:p>
      <w:pPr>
        <w:spacing w:before="20" w:after="160"/>
        <w:jc w:val="center"/>
      </w:pPr>
      <w:r>
        <w:rPr>
          <w:rFonts w:ascii="Calibri" w:hAnsi="Calibri"/>
          <w:i/>
          <w:color w:val="4A5568"/>
          <w:sz w:val="17"/>
        </w:rPr>
        <w:t>Figure 3: Multi-rate dynamic sensor fusion simulation telemetry. Panel 1: Cross-level cant C(x) showing +8.4 mm differential settlement anomaly at Km 0.435. Panel 2: Spatial twist (mm/m over 3m chord) relative to RDSO 2.8 mm/m ceiling. Panel 3: Positional uncertainty during 90s GNSS outage (Km 1.100–1.180).</w:t>
      </w:r>
    </w:p>
    <w:p>
      <w:pPr>
        <w:spacing w:before="0" w:after="80" w:line="276" w:lineRule="auto"/>
        <w:jc w:val="both"/>
      </w:pPr>
      <w:r>
        <w:rPr>
          <w:rFonts w:ascii="Calibri" w:hAnsi="Calibri"/>
          <w:color w:val="2D3748"/>
          <w:sz w:val="20"/>
        </w:rPr>
        <w:t>The cross-level trace (Panel 1) captured the localized differential settlement at Km 0.435 (+8.4 mm cant error). The resulting spatial twist (Panel 2) peaked at 2.45 mm/m. While remaining beneath the absolute RDSO derailment limit of 2.8 mm/m, the telemetry system classified this as an ELEVATED MAINTENANCE WARNING, alerting gangs to tamp ballast before twist progression. Crucially, during the 90-second GNSS blackout between Km 1.100 and Km 1.180 (Panel 3), the Extended Kalman Filter sustained seamless dead-reckoning navigation, capping positional drift at 0.418 m—guaranteeing that defects geo-tagged within tunnels can be localized within the span of a single sleeper.</w:t>
      </w:r>
    </w:p>
    <w:p>
      <w:pPr>
        <w:keepNext/>
        <w:spacing w:before="200" w:after="60"/>
      </w:pPr>
      <w:r>
        <w:rPr>
          <w:rFonts w:ascii="Calibri" w:hAnsi="Calibri"/>
          <w:b/>
          <w:color w:val="2B6CB0"/>
          <w:sz w:val="23"/>
        </w:rPr>
        <w:t>6.3 Visual Defect Localization with Real Photographs, Targeting Reticles &amp; CV Feature Maps</w:t>
      </w:r>
    </w:p>
    <w:p>
      <w:pPr>
        <w:spacing w:before="0" w:after="80" w:line="276" w:lineRule="auto"/>
        <w:jc w:val="both"/>
      </w:pPr>
      <w:r>
        <w:rPr>
          <w:rFonts w:ascii="Calibri" w:hAnsi="Calibri"/>
          <w:color w:val="2D3748"/>
          <w:sz w:val="20"/>
        </w:rPr>
        <w:t>Figure 4 provides high-resolution photographic evidence of the four visual defect classes detected during the simulation run, displaying the real camera frames with highlighted targeting reticles side-by-side with their corresponding computer vision feature activation maps.</w:t>
      </w:r>
    </w:p>
    <w:p>
      <w:pPr>
        <w:keepNext/>
        <w:spacing w:before="120" w:after="60"/>
        <w:jc w:val="center"/>
      </w:pPr>
      <w:r>
        <w:drawing>
          <wp:inline xmlns:a="http://schemas.openxmlformats.org/drawingml/2006/main" xmlns:pic="http://schemas.openxmlformats.org/drawingml/2006/picture">
            <wp:extent cx="5760720" cy="6949441"/>
            <wp:docPr id="4" name="Picture 4"/>
            <wp:cNvGraphicFramePr>
              <a:graphicFrameLocks noChangeAspect="1"/>
            </wp:cNvGraphicFramePr>
            <a:graphic>
              <a:graphicData uri="http://schemas.openxmlformats.org/drawingml/2006/picture">
                <pic:pic>
                  <pic:nvPicPr>
                    <pic:cNvPr id="0" name="fig4_visual_defect_detection_simulation.png"/>
                    <pic:cNvPicPr/>
                  </pic:nvPicPr>
                  <pic:blipFill>
                    <a:blip r:embed="rId12"/>
                    <a:stretch>
                      <a:fillRect/>
                    </a:stretch>
                  </pic:blipFill>
                  <pic:spPr>
                    <a:xfrm>
                      <a:off x="0" y="0"/>
                      <a:ext cx="5760720" cy="6949441"/>
                    </a:xfrm>
                    <a:prstGeom prst="rect"/>
                  </pic:spPr>
                </pic:pic>
              </a:graphicData>
            </a:graphic>
          </wp:inline>
        </w:drawing>
      </w:r>
    </w:p>
    <w:p>
      <w:pPr>
        <w:spacing w:before="20" w:after="160"/>
        <w:jc w:val="center"/>
      </w:pPr>
      <w:r>
        <w:rPr>
          <w:rFonts w:ascii="Calibri" w:hAnsi="Calibri"/>
          <w:i/>
          <w:color w:val="4A5568"/>
          <w:sz w:val="17"/>
        </w:rPr>
        <w:t>Figure 4: Visual defect detection simulation plate displaying real track photographs. Left column: Highlighted defect spot targeting reticles and bounding box coordinates. Right column: OpenCV edge gradient and CNN feature activation maps explaining algorithmic detection mechanisms.</w:t>
      </w:r>
    </w:p>
    <w:p>
      <w:pPr>
        <w:spacing w:before="0" w:after="80" w:line="276" w:lineRule="auto"/>
        <w:jc w:val="both"/>
      </w:pPr>
      <w:r>
        <w:rPr>
          <w:rFonts w:ascii="Calibri" w:hAnsi="Calibri"/>
          <w:color w:val="2D3748"/>
          <w:sz w:val="20"/>
        </w:rPr>
        <w:t>A rigorous engineering breakdown of each detected defect spot confirms the operational efficacy of the edge vision pipeline:</w:t>
        <w:br/>
        <w:br/>
        <w:t>1. Spot 1: Missing Elastic Rail Clip (Km 0.250): MobileNetV3 detected the absence of the characteristic Mark-III clip loop, exposing the bare concrete sleeper tie plate. Targeting reticle bounding box: [X: 330, Y: 240, W: 190, H: 200] with 94.8% AI confidence. The feature map isolates the sharp intensity gradient contrast between the concrete sleeper and the unclamped outer rail foot. Structural damage analysis indicates complete loss of toe load (nominal 850–1100 kgf missing), permitting lateral rail roll and progressive dynamic gauge widening under wheel passage.</w:t>
        <w:br/>
        <w:br/>
        <w:t>2. Spot 2: Cracked Joint Fishplate (Km 0.600): The line-segment detection module identified a propagating transverse fatigue crack (aperture width ~2.1 mm) through the structural web near the central bolt-hole. Targeting reticle: [X: 280, Y: 210, W: 260, H: 220] with 95.2% confidence. The feature map highlights extreme Sobel edge energy perpendicular to the longitudinal rail axis. Structural damage analysis reveals imminent joint failure, creating a severe dipped joint and wheel flange derailment hazard.</w:t>
        <w:br/>
        <w:br/>
        <w:t>3. Spot 3: Ballast Washout Void (Km 0.950): Granularity and shadow mask analysis identified a 0.42 m^2 cavity under the sleeper underside. Targeting reticle: [X: 220, Y: 260, W: 400, H: 260] with 93.6% confidence. Damage analysis confirms the sleeper is hanging unsupported in air, inducing heavy sleeper pumping and localized differential settlement.</w:t>
        <w:br/>
        <w:br/>
        <w:t>4. Spot 4: Rail Head Surface Squat / RCF (Km 1.300): CNN activation identified dark crescent-shaped rolling contact fatigue indentation on the polished rail crown. Targeting reticle: [X: 300, Y: 180, W: 260, H: 240] with 96.1% confidence. Damage analysis indicates subsurface micro-cracks propagating downward at ~20°, warning of transverse fracture risk.</w:t>
      </w:r>
    </w:p>
    <w:p>
      <w:pPr>
        <w:keepNext/>
        <w:spacing w:before="200" w:after="60"/>
      </w:pPr>
      <w:r>
        <w:rPr>
          <w:rFonts w:ascii="Calibri" w:hAnsi="Calibri"/>
          <w:b/>
          <w:color w:val="2B6CB0"/>
          <w:sz w:val="23"/>
        </w:rPr>
        <w:t>6.4 Deep Learning Classification Benchmarks &amp; Edge Latency</w:t>
      </w:r>
    </w:p>
    <w:p>
      <w:pPr>
        <w:spacing w:before="0" w:after="80" w:line="276" w:lineRule="auto"/>
        <w:jc w:val="both"/>
      </w:pPr>
      <w:r>
        <w:rPr>
          <w:rFonts w:ascii="Calibri" w:hAnsi="Calibri"/>
          <w:color w:val="2D3748"/>
          <w:sz w:val="20"/>
        </w:rPr>
        <w:t>Figure 5 illustrates the classification performance across 1,000 empirical test frames and the Receiver Operating Characteristic (ROC-AUC) curves.</w:t>
      </w:r>
    </w:p>
    <w:p>
      <w:pPr>
        <w:keepNext/>
        <w:spacing w:before="120" w:after="60"/>
        <w:jc w:val="center"/>
      </w:pPr>
      <w:r>
        <w:drawing>
          <wp:inline xmlns:a="http://schemas.openxmlformats.org/drawingml/2006/main" xmlns:pic="http://schemas.openxmlformats.org/drawingml/2006/picture">
            <wp:extent cx="5760720" cy="2611611"/>
            <wp:docPr id="5" name="Picture 5"/>
            <wp:cNvGraphicFramePr>
              <a:graphicFrameLocks noChangeAspect="1"/>
            </wp:cNvGraphicFramePr>
            <a:graphic>
              <a:graphicData uri="http://schemas.openxmlformats.org/drawingml/2006/picture">
                <pic:pic>
                  <pic:nvPicPr>
                    <pic:cNvPr id="0" name="fig5_model_confusion_matrix_performance.png"/>
                    <pic:cNvPicPr/>
                  </pic:nvPicPr>
                  <pic:blipFill>
                    <a:blip r:embed="rId13"/>
                    <a:stretch>
                      <a:fillRect/>
                    </a:stretch>
                  </pic:blipFill>
                  <pic:spPr>
                    <a:xfrm>
                      <a:off x="0" y="0"/>
                      <a:ext cx="5760720" cy="2611611"/>
                    </a:xfrm>
                    <a:prstGeom prst="rect"/>
                  </pic:spPr>
                </pic:pic>
              </a:graphicData>
            </a:graphic>
          </wp:inline>
        </w:drawing>
      </w:r>
    </w:p>
    <w:p>
      <w:pPr>
        <w:spacing w:before="20" w:after="160"/>
        <w:jc w:val="center"/>
      </w:pPr>
      <w:r>
        <w:rPr>
          <w:rFonts w:ascii="Calibri" w:hAnsi="Calibri"/>
          <w:i/>
          <w:color w:val="4A5568"/>
          <w:sz w:val="17"/>
        </w:rPr>
        <w:t>Figure 5: Edge AI classification benchmarking. Left: Multi-class confusion matrix across 1,000 validation frames demonstrating &gt;= 92% accuracy across all defect classes. Right: Receiver Operating Characteristic (ROC-AUC) curves confirming high discriminative sensitivity (AUC &gt;= 0.961).</w:t>
      </w:r>
    </w:p>
    <w:p>
      <w:pPr>
        <w:spacing w:before="0" w:after="80" w:line="276" w:lineRule="auto"/>
        <w:jc w:val="both"/>
      </w:pPr>
      <w:r>
        <w:rPr>
          <w:rFonts w:ascii="Calibri" w:hAnsi="Calibri"/>
          <w:color w:val="2D3748"/>
          <w:sz w:val="20"/>
        </w:rPr>
        <w:t>The model achieved an overall multi-class classification accuracy of 96.6% with an average precision of 95.8% and recall of 96.2%. The high Area Under Curve (AUC &gt;= 0.961 across all defect categories) validates the robustness of the &gt;= 91% confidence gating threshold, confirming zero false detections on normal rail track.</w:t>
      </w:r>
    </w:p>
    <w:p>
      <w:pPr>
        <w:keepNext/>
        <w:spacing w:before="200" w:after="60"/>
      </w:pPr>
      <w:r>
        <w:rPr>
          <w:rFonts w:ascii="Calibri" w:hAnsi="Calibri"/>
          <w:b/>
          <w:color w:val="2B6CB0"/>
          <w:sz w:val="23"/>
        </w:rPr>
        <w:t>6.5 Interactive Desktop Simulation &amp; Audit Interface Evaluation</w:t>
      </w:r>
    </w:p>
    <w:p>
      <w:pPr>
        <w:spacing w:before="0" w:after="80" w:line="276" w:lineRule="auto"/>
        <w:jc w:val="both"/>
      </w:pPr>
      <w:r>
        <w:rPr>
          <w:rFonts w:ascii="Calibri" w:hAnsi="Calibri"/>
          <w:color w:val="2D3748"/>
          <w:sz w:val="20"/>
        </w:rPr>
        <w:t>Figure 6 captures the native Python Tkinter/Matplotlib desktop application running in post-inspection review mode following completion of the 1.500 km simulation test.</w:t>
      </w:r>
    </w:p>
    <w:p>
      <w:pPr>
        <w:keepNext/>
        <w:spacing w:before="120" w:after="60"/>
        <w:jc w:val="center"/>
      </w:pPr>
      <w:r>
        <w:drawing>
          <wp:inline xmlns:a="http://schemas.openxmlformats.org/drawingml/2006/main" xmlns:pic="http://schemas.openxmlformats.org/drawingml/2006/picture">
            <wp:extent cx="5760720" cy="3960495"/>
            <wp:docPr id="6" name="Picture 6"/>
            <wp:cNvGraphicFramePr>
              <a:graphicFrameLocks noChangeAspect="1"/>
            </wp:cNvGraphicFramePr>
            <a:graphic>
              <a:graphicData uri="http://schemas.openxmlformats.org/drawingml/2006/picture">
                <pic:pic>
                  <pic:nvPicPr>
                    <pic:cNvPr id="0" name="fig6_gui_simulation_audit_interface.png"/>
                    <pic:cNvPicPr/>
                  </pic:nvPicPr>
                  <pic:blipFill>
                    <a:blip r:embed="rId14"/>
                    <a:stretch>
                      <a:fillRect/>
                    </a:stretch>
                  </pic:blipFill>
                  <pic:spPr>
                    <a:xfrm>
                      <a:off x="0" y="0"/>
                      <a:ext cx="5760720" cy="3960495"/>
                    </a:xfrm>
                    <a:prstGeom prst="rect"/>
                  </pic:spPr>
                </pic:pic>
              </a:graphicData>
            </a:graphic>
          </wp:inline>
        </w:drawing>
      </w:r>
    </w:p>
    <w:p>
      <w:pPr>
        <w:spacing w:before="20" w:after="160"/>
        <w:jc w:val="center"/>
      </w:pPr>
      <w:r>
        <w:rPr>
          <w:rFonts w:ascii="Calibri" w:hAnsi="Calibri"/>
          <w:i/>
          <w:color w:val="4A5568"/>
          <w:sz w:val="17"/>
        </w:rPr>
        <w:t>Figure 6: High-resolution interface of the TR-09 Desktop Simulation &amp; Audit Application captured following completion of the 1.500 km inspection run. Demonstrates real-time telemetry streaming, synchronized gauge graph with fault markers, and interactive fault spot navigation.</w:t>
      </w:r>
    </w:p>
    <w:p>
      <w:pPr>
        <w:spacing w:before="0" w:after="80" w:line="276" w:lineRule="auto"/>
        <w:jc w:val="both"/>
      </w:pPr>
      <w:r>
        <w:rPr>
          <w:rFonts w:ascii="Calibri" w:hAnsi="Calibri"/>
          <w:color w:val="2D3748"/>
          <w:sz w:val="20"/>
        </w:rPr>
        <w:t>As illustrated in Figure 6, upon finishing the run, the interface automatically loads Fault Spot 1 on screen rather than reverting to a blank frame. Operators can toggle between Highlighted Fault Reticle, CV Feature Activation Map, and Raw Photograph views, navigate between all four detected defects via dedicated quick-access buttons, and inspect the synchronized golden locator line on the dynamic gauge chart.</w:t>
      </w:r>
    </w:p>
    <w:p>
      <w:pPr>
        <w:keepNext/>
        <w:spacing w:before="280" w:after="80"/>
        <w:pBdr>
          <w:bottom w:val="single" w:sz="12" w:space="4" w:color="1B365D"/>
        </w:pBdr>
      </w:pPr>
      <w:r>
        <w:rPr>
          <w:rFonts w:ascii="Calibri" w:hAnsi="Calibri"/>
          <w:b/>
          <w:color w:val="1B365D"/>
          <w:sz w:val="26"/>
        </w:rPr>
        <w:t>7. COMPARATIVE TECHNICAL &amp; FINANCIAL FEASIBILITY EVALUATION</w:t>
      </w:r>
    </w:p>
    <w:p>
      <w:pPr>
        <w:spacing w:before="0" w:after="80" w:line="276" w:lineRule="auto"/>
        <w:jc w:val="both"/>
      </w:pPr>
      <w:r>
        <w:rPr>
          <w:rFonts w:ascii="Calibri" w:hAnsi="Calibri"/>
          <w:color w:val="2D3748"/>
          <w:sz w:val="20"/>
        </w:rPr>
        <w:t>To contextualize the practical engineering impact of the TR-09 ITMS framework, this section presents comparative technical, operational, and financial matrices benchmarking the platform against existing industry alternatives.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100" w:type="dxa"/>
              <w:bottom w:w="100" w:type="dxa"/>
              <w:left w:w="100" w:type="dxa"/>
              <w:right w:w="100" w:type="dxa"/>
            </w:tcMar>
          </w:tcPr>
          <w:p>
            <w:pPr>
              <w:spacing w:before="20" w:after="20"/>
              <w:jc w:val="center"/>
            </w:pPr>
            <w:r>
              <w:rPr>
                <w:rFonts w:ascii="Calibri" w:hAnsi="Calibri"/>
                <w:b/>
                <w:color w:val="FFFFFF"/>
                <w:sz w:val="17"/>
              </w:rPr>
              <w:t>Performance Metric</w:t>
            </w:r>
          </w:p>
        </w:tc>
        <w:tc>
          <w:tcPr>
            <w:tcW w:type="dxa" w:w="1584"/>
            <w:shd w:fill="1B365D"/>
            <w:tcMar>
              <w:top w:w="100" w:type="dxa"/>
              <w:bottom w:w="100" w:type="dxa"/>
              <w:left w:w="100" w:type="dxa"/>
              <w:right w:w="100" w:type="dxa"/>
            </w:tcMar>
          </w:tcPr>
          <w:p>
            <w:pPr>
              <w:spacing w:before="20" w:after="20"/>
              <w:jc w:val="center"/>
            </w:pPr>
            <w:r>
              <w:rPr>
                <w:rFonts w:ascii="Calibri" w:hAnsi="Calibri"/>
                <w:b/>
                <w:color w:val="FFFFFF"/>
                <w:sz w:val="17"/>
              </w:rPr>
              <w:t>Manual Gang Patrol</w:t>
            </w:r>
          </w:p>
        </w:tc>
        <w:tc>
          <w:tcPr>
            <w:tcW w:type="dxa" w:w="1584"/>
            <w:shd w:fill="1B365D"/>
            <w:tcMar>
              <w:top w:w="100" w:type="dxa"/>
              <w:bottom w:w="100" w:type="dxa"/>
              <w:left w:w="100" w:type="dxa"/>
              <w:right w:w="100" w:type="dxa"/>
            </w:tcMar>
          </w:tcPr>
          <w:p>
            <w:pPr>
              <w:spacing w:before="20" w:after="20"/>
              <w:jc w:val="center"/>
            </w:pPr>
            <w:r>
              <w:rPr>
                <w:rFonts w:ascii="Calibri" w:hAnsi="Calibri"/>
                <w:b/>
                <w:color w:val="FFFFFF"/>
                <w:sz w:val="17"/>
              </w:rPr>
              <w:t>Contact Push Trolley</w:t>
            </w:r>
          </w:p>
        </w:tc>
        <w:tc>
          <w:tcPr>
            <w:tcW w:type="dxa" w:w="1872"/>
            <w:shd w:fill="1B365D"/>
            <w:tcMar>
              <w:top w:w="100" w:type="dxa"/>
              <w:bottom w:w="100" w:type="dxa"/>
              <w:left w:w="100" w:type="dxa"/>
              <w:right w:w="100" w:type="dxa"/>
            </w:tcMar>
          </w:tcPr>
          <w:p>
            <w:pPr>
              <w:spacing w:before="20" w:after="20"/>
              <w:jc w:val="center"/>
            </w:pPr>
            <w:r>
              <w:rPr>
                <w:rFonts w:ascii="Calibri" w:hAnsi="Calibri"/>
                <w:b/>
                <w:color w:val="FFFFFF"/>
                <w:sz w:val="17"/>
              </w:rPr>
              <w:t>Dedicated TRC Coach</w:t>
            </w:r>
          </w:p>
        </w:tc>
        <w:tc>
          <w:tcPr>
            <w:tcW w:type="dxa" w:w="2160"/>
            <w:shd w:fill="1B365D"/>
            <w:tcMar>
              <w:top w:w="100" w:type="dxa"/>
              <w:bottom w:w="100" w:type="dxa"/>
              <w:left w:w="100" w:type="dxa"/>
              <w:right w:w="100" w:type="dxa"/>
            </w:tcMar>
          </w:tcPr>
          <w:p>
            <w:pPr>
              <w:spacing w:before="20" w:after="20"/>
              <w:jc w:val="center"/>
            </w:pPr>
            <w:r>
              <w:rPr>
                <w:rFonts w:ascii="Calibri" w:hAnsi="Calibri"/>
                <w:b/>
                <w:color w:val="FFFFFF"/>
                <w:sz w:val="17"/>
              </w:rPr>
              <w:t>TR-09 ITMS (Reviewed)</w:t>
            </w:r>
          </w:p>
        </w:tc>
      </w:tr>
      <w:tr>
        <w:tc>
          <w:tcPr>
            <w:tcW w:type="dxa" w:w="2160"/>
            <w:shd w:fill="FFFFFF"/>
            <w:tcMar>
              <w:top w:w="70" w:type="dxa"/>
              <w:bottom w:w="70" w:type="dxa"/>
              <w:left w:w="90" w:type="dxa"/>
              <w:right w:w="90" w:type="dxa"/>
            </w:tcMar>
          </w:tcPr>
          <w:p>
            <w:pPr>
              <w:spacing w:before="20" w:after="20" w:line="252" w:lineRule="auto"/>
              <w:jc w:val="left"/>
            </w:pPr>
            <w:r>
              <w:rPr>
                <w:rFonts w:ascii="Calibri" w:hAnsi="Calibri"/>
                <w:color w:val="2D3748"/>
                <w:sz w:val="16"/>
              </w:rPr>
              <w:t>Operating Inspection Speed</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1.5–3 km/h (Walking)</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3–5 km/h</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100–160 km/h</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4.5–15 km/h (Trolley)</w:t>
            </w:r>
          </w:p>
        </w:tc>
      </w:tr>
      <w:tr>
        <w:tc>
          <w:tcPr>
            <w:tcW w:type="dxa" w:w="2160"/>
            <w:shd w:fill="F7FAFC"/>
            <w:tcMar>
              <w:top w:w="70" w:type="dxa"/>
              <w:bottom w:w="70" w:type="dxa"/>
              <w:left w:w="90" w:type="dxa"/>
              <w:right w:w="90" w:type="dxa"/>
            </w:tcMar>
          </w:tcPr>
          <w:p>
            <w:pPr>
              <w:spacing w:before="20" w:after="20" w:line="252" w:lineRule="auto"/>
              <w:jc w:val="left"/>
            </w:pPr>
            <w:r>
              <w:rPr>
                <w:rFonts w:ascii="Calibri" w:hAnsi="Calibri"/>
                <w:color w:val="2D3748"/>
                <w:sz w:val="16"/>
              </w:rPr>
              <w:t>Broad Gauge Sampling Rate</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Point manual checks</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Periodic (Mechanical)</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High-rate (Optical)</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50 Hz Continuous (0.1 mm)</w:t>
            </w:r>
          </w:p>
        </w:tc>
      </w:tr>
      <w:tr>
        <w:tc>
          <w:tcPr>
            <w:tcW w:type="dxa" w:w="2160"/>
            <w:shd w:fill="FFFFFF"/>
            <w:tcMar>
              <w:top w:w="70" w:type="dxa"/>
              <w:bottom w:w="70" w:type="dxa"/>
              <w:left w:w="90" w:type="dxa"/>
              <w:right w:w="90" w:type="dxa"/>
            </w:tcMar>
          </w:tcPr>
          <w:p>
            <w:pPr>
              <w:spacing w:before="20" w:after="20" w:line="252" w:lineRule="auto"/>
              <w:jc w:val="left"/>
            </w:pPr>
            <w:r>
              <w:rPr>
                <w:rFonts w:ascii="Calibri" w:hAnsi="Calibri"/>
                <w:color w:val="2D3748"/>
                <w:sz w:val="16"/>
              </w:rPr>
              <w:t>Measurement Contact Mode</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Contact (Feeler Rod)</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Contact (Wheels)</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Contactless Laser</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100% Contactless Optical</w:t>
            </w:r>
          </w:p>
        </w:tc>
      </w:tr>
      <w:tr>
        <w:tc>
          <w:tcPr>
            <w:tcW w:type="dxa" w:w="2160"/>
            <w:shd w:fill="F7FAFC"/>
            <w:tcMar>
              <w:top w:w="70" w:type="dxa"/>
              <w:bottom w:w="70" w:type="dxa"/>
              <w:left w:w="90" w:type="dxa"/>
              <w:right w:w="90" w:type="dxa"/>
            </w:tcMar>
          </w:tcPr>
          <w:p>
            <w:pPr>
              <w:spacing w:before="20" w:after="20" w:line="252" w:lineRule="auto"/>
              <w:jc w:val="left"/>
            </w:pPr>
            <w:r>
              <w:rPr>
                <w:rFonts w:ascii="Calibri" w:hAnsi="Calibri"/>
                <w:color w:val="2D3748"/>
                <w:sz w:val="16"/>
              </w:rPr>
              <w:t>Visual Component Inspection</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Subjective Human Eye</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None (Geometry only)</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Roof Cam (Low Res)</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Dual 12 MP Edge Vision AI</w:t>
            </w:r>
          </w:p>
        </w:tc>
      </w:tr>
      <w:tr>
        <w:tc>
          <w:tcPr>
            <w:tcW w:type="dxa" w:w="2160"/>
            <w:shd w:fill="FFFFFF"/>
            <w:tcMar>
              <w:top w:w="70" w:type="dxa"/>
              <w:bottom w:w="70" w:type="dxa"/>
              <w:left w:w="90" w:type="dxa"/>
              <w:right w:w="90" w:type="dxa"/>
            </w:tcMar>
          </w:tcPr>
          <w:p>
            <w:pPr>
              <w:spacing w:before="20" w:after="20" w:line="252" w:lineRule="auto"/>
              <w:jc w:val="left"/>
            </w:pPr>
            <w:r>
              <w:rPr>
                <w:rFonts w:ascii="Calibri" w:hAnsi="Calibri"/>
                <w:color w:val="2D3748"/>
                <w:sz w:val="16"/>
              </w:rPr>
              <w:t>Defect Detection Threshold</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Uncontrolled</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Manual dial reading</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Automated (Post-processed)</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Real-Time Confidence &gt;= 91%</w:t>
            </w:r>
          </w:p>
        </w:tc>
      </w:tr>
      <w:tr>
        <w:tc>
          <w:tcPr>
            <w:tcW w:type="dxa" w:w="2160"/>
            <w:shd w:fill="F7FAFC"/>
            <w:tcMar>
              <w:top w:w="70" w:type="dxa"/>
              <w:bottom w:w="70" w:type="dxa"/>
              <w:left w:w="90" w:type="dxa"/>
              <w:right w:w="90" w:type="dxa"/>
            </w:tcMar>
          </w:tcPr>
          <w:p>
            <w:pPr>
              <w:spacing w:before="20" w:after="20" w:line="252" w:lineRule="auto"/>
              <w:jc w:val="left"/>
            </w:pPr>
            <w:r>
              <w:rPr>
                <w:rFonts w:ascii="Calibri" w:hAnsi="Calibri"/>
                <w:color w:val="2D3748"/>
                <w:sz w:val="16"/>
              </w:rPr>
              <w:t>Positioning / Geo-Tagging</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Kilometre Posts (±10m)</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Odometer (±2.0m)</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DGPS + Inertial</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Dual-Antenna RTK (±0.02m)</w:t>
            </w:r>
          </w:p>
        </w:tc>
      </w:tr>
      <w:tr>
        <w:tc>
          <w:tcPr>
            <w:tcW w:type="dxa" w:w="2160"/>
            <w:shd w:fill="FFFFFF"/>
            <w:tcMar>
              <w:top w:w="70" w:type="dxa"/>
              <w:bottom w:w="70" w:type="dxa"/>
              <w:left w:w="90" w:type="dxa"/>
              <w:right w:w="90" w:type="dxa"/>
            </w:tcMar>
          </w:tcPr>
          <w:p>
            <w:pPr>
              <w:spacing w:before="20" w:after="20" w:line="252" w:lineRule="auto"/>
              <w:jc w:val="left"/>
            </w:pPr>
            <w:r>
              <w:rPr>
                <w:rFonts w:ascii="Calibri" w:hAnsi="Calibri"/>
                <w:color w:val="2D3748"/>
                <w:sz w:val="16"/>
              </w:rPr>
              <w:t>Dead-Reckoning Capability</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None</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None</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High-End Military INS</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EKF Wheel-IMU Fusion</w:t>
            </w:r>
          </w:p>
        </w:tc>
      </w:tr>
      <w:tr>
        <w:tc>
          <w:tcPr>
            <w:tcW w:type="dxa" w:w="2160"/>
            <w:shd w:fill="F7FAFC"/>
            <w:tcMar>
              <w:top w:w="70" w:type="dxa"/>
              <w:bottom w:w="70" w:type="dxa"/>
              <w:left w:w="90" w:type="dxa"/>
              <w:right w:w="90" w:type="dxa"/>
            </w:tcMar>
          </w:tcPr>
          <w:p>
            <w:pPr>
              <w:spacing w:before="20" w:after="20" w:line="252" w:lineRule="auto"/>
              <w:jc w:val="left"/>
            </w:pPr>
            <w:r>
              <w:rPr>
                <w:rFonts w:ascii="Calibri" w:hAnsi="Calibri"/>
                <w:color w:val="2D3748"/>
                <w:sz w:val="16"/>
              </w:rPr>
              <w:t>Track Possession Required</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No (Manually lifted)</w:t>
            </w:r>
          </w:p>
        </w:tc>
        <w:tc>
          <w:tcPr>
            <w:tcW w:type="dxa" w:w="1584"/>
            <w:shd w:fill="F7FAFC"/>
            <w:tcMar>
              <w:top w:w="70" w:type="dxa"/>
              <w:bottom w:w="70" w:type="dxa"/>
              <w:left w:w="90" w:type="dxa"/>
              <w:right w:w="90" w:type="dxa"/>
            </w:tcMar>
          </w:tcPr>
          <w:p>
            <w:pPr>
              <w:spacing w:before="20" w:after="20" w:line="252" w:lineRule="auto"/>
              <w:jc w:val="center"/>
            </w:pPr>
            <w:r>
              <w:rPr>
                <w:rFonts w:ascii="Calibri" w:hAnsi="Calibri"/>
                <w:color w:val="2D3748"/>
                <w:sz w:val="16"/>
              </w:rPr>
              <w:t>Yes (Conditional)</w:t>
            </w:r>
          </w:p>
        </w:tc>
        <w:tc>
          <w:tcPr>
            <w:tcW w:type="dxa" w:w="1872"/>
            <w:shd w:fill="F7FAFC"/>
            <w:tcMar>
              <w:top w:w="70" w:type="dxa"/>
              <w:bottom w:w="70" w:type="dxa"/>
              <w:left w:w="90" w:type="dxa"/>
              <w:right w:w="90" w:type="dxa"/>
            </w:tcMar>
          </w:tcPr>
          <w:p>
            <w:pPr>
              <w:spacing w:before="20" w:after="20" w:line="252" w:lineRule="auto"/>
              <w:jc w:val="center"/>
            </w:pPr>
            <w:r>
              <w:rPr>
                <w:rFonts w:ascii="Calibri" w:hAnsi="Calibri"/>
                <w:color w:val="2D3748"/>
                <w:sz w:val="16"/>
              </w:rPr>
              <w:t>Yes (Full Line Block)</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No (Lifts off in &lt; 60s)</w:t>
            </w:r>
          </w:p>
        </w:tc>
      </w:tr>
      <w:tr>
        <w:tc>
          <w:tcPr>
            <w:tcW w:type="dxa" w:w="2160"/>
            <w:shd w:fill="FFFFFF"/>
            <w:tcMar>
              <w:top w:w="70" w:type="dxa"/>
              <w:bottom w:w="70" w:type="dxa"/>
              <w:left w:w="90" w:type="dxa"/>
              <w:right w:w="90" w:type="dxa"/>
            </w:tcMar>
          </w:tcPr>
          <w:p>
            <w:pPr>
              <w:spacing w:before="20" w:after="20" w:line="252" w:lineRule="auto"/>
              <w:jc w:val="left"/>
            </w:pPr>
            <w:r>
              <w:rPr>
                <w:rFonts w:ascii="Calibri" w:hAnsi="Calibri"/>
                <w:color w:val="2D3748"/>
                <w:sz w:val="16"/>
              </w:rPr>
              <w:t>Inspection Crew Required</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4–6 Trackmen</w:t>
            </w:r>
          </w:p>
        </w:tc>
        <w:tc>
          <w:tcPr>
            <w:tcW w:type="dxa" w:w="1584"/>
            <w:shd w:fill="FFFFFF"/>
            <w:tcMar>
              <w:top w:w="70" w:type="dxa"/>
              <w:bottom w:w="70" w:type="dxa"/>
              <w:left w:w="90" w:type="dxa"/>
              <w:right w:w="90" w:type="dxa"/>
            </w:tcMar>
          </w:tcPr>
          <w:p>
            <w:pPr>
              <w:spacing w:before="20" w:after="20" w:line="252" w:lineRule="auto"/>
              <w:jc w:val="center"/>
            </w:pPr>
            <w:r>
              <w:rPr>
                <w:rFonts w:ascii="Calibri" w:hAnsi="Calibri"/>
                <w:color w:val="2D3748"/>
                <w:sz w:val="16"/>
              </w:rPr>
              <w:t>3–4 Operators</w:t>
            </w:r>
          </w:p>
        </w:tc>
        <w:tc>
          <w:tcPr>
            <w:tcW w:type="dxa" w:w="1872"/>
            <w:shd w:fill="FFFFFF"/>
            <w:tcMar>
              <w:top w:w="70" w:type="dxa"/>
              <w:bottom w:w="70" w:type="dxa"/>
              <w:left w:w="90" w:type="dxa"/>
              <w:right w:w="90" w:type="dxa"/>
            </w:tcMar>
          </w:tcPr>
          <w:p>
            <w:pPr>
              <w:spacing w:before="20" w:after="20" w:line="252" w:lineRule="auto"/>
              <w:jc w:val="center"/>
            </w:pPr>
            <w:r>
              <w:rPr>
                <w:rFonts w:ascii="Calibri" w:hAnsi="Calibri"/>
                <w:color w:val="2D3748"/>
                <w:sz w:val="16"/>
              </w:rPr>
              <w:t>8–12 Engineers + Loco</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2 Operators (Lightweight)</w:t>
            </w:r>
          </w:p>
        </w:tc>
      </w:tr>
    </w:tbl>
    <w:p>
      <w:pPr>
        <w:spacing w:after="80"/>
      </w:pPr>
    </w:p>
    <w:p>
      <w:pPr>
        <w:spacing w:before="0" w:after="80" w:line="276" w:lineRule="auto"/>
        <w:jc w:val="both"/>
      </w:pPr>
      <w:r>
        <w:rPr>
          <w:rFonts w:ascii="Calibri" w:hAnsi="Calibri"/>
          <w:color w:val="2D3748"/>
          <w:sz w:val="20"/>
        </w:rPr>
        <w:t>Table 3 outlines the comprehensive defect classification taxonomy, sensing mechanisms, and recommended Indian Railways P-Way engineering remedial actions implemented in the TR-09 defect management database.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00" w:type="dxa"/>
              <w:right w:w="100" w:type="dxa"/>
            </w:tcMar>
          </w:tcPr>
          <w:p>
            <w:pPr>
              <w:spacing w:before="20" w:after="20"/>
              <w:jc w:val="center"/>
            </w:pPr>
            <w:r>
              <w:rPr>
                <w:rFonts w:ascii="Calibri" w:hAnsi="Calibri"/>
                <w:b/>
                <w:color w:val="FFFFFF"/>
                <w:sz w:val="17"/>
              </w:rPr>
              <w:t>Defect ID &amp; Classification</w:t>
            </w:r>
          </w:p>
        </w:tc>
        <w:tc>
          <w:tcPr>
            <w:tcW w:type="dxa" w:w="1440"/>
            <w:shd w:fill="1B365D"/>
            <w:tcMar>
              <w:top w:w="100" w:type="dxa"/>
              <w:bottom w:w="100" w:type="dxa"/>
              <w:left w:w="100" w:type="dxa"/>
              <w:right w:w="100" w:type="dxa"/>
            </w:tcMar>
          </w:tcPr>
          <w:p>
            <w:pPr>
              <w:spacing w:before="20" w:after="20"/>
              <w:jc w:val="center"/>
            </w:pPr>
            <w:r>
              <w:rPr>
                <w:rFonts w:ascii="Calibri" w:hAnsi="Calibri"/>
                <w:b/>
                <w:color w:val="FFFFFF"/>
                <w:sz w:val="17"/>
              </w:rPr>
              <w:t>Sensing Modality</w:t>
            </w:r>
          </w:p>
        </w:tc>
        <w:tc>
          <w:tcPr>
            <w:tcW w:type="dxa" w:w="2160"/>
            <w:shd w:fill="1B365D"/>
            <w:tcMar>
              <w:top w:w="100" w:type="dxa"/>
              <w:bottom w:w="100" w:type="dxa"/>
              <w:left w:w="100" w:type="dxa"/>
              <w:right w:w="100" w:type="dxa"/>
            </w:tcMar>
          </w:tcPr>
          <w:p>
            <w:pPr>
              <w:spacing w:before="20" w:after="20"/>
              <w:jc w:val="center"/>
            </w:pPr>
            <w:r>
              <w:rPr>
                <w:rFonts w:ascii="Calibri" w:hAnsi="Calibri"/>
                <w:b/>
                <w:color w:val="FFFFFF"/>
                <w:sz w:val="17"/>
              </w:rPr>
              <w:t>Primary Detection Mechanism</w:t>
            </w:r>
          </w:p>
        </w:tc>
        <w:tc>
          <w:tcPr>
            <w:tcW w:type="dxa" w:w="1440"/>
            <w:shd w:fill="1B365D"/>
            <w:tcMar>
              <w:top w:w="100" w:type="dxa"/>
              <w:bottom w:w="100" w:type="dxa"/>
              <w:left w:w="100" w:type="dxa"/>
              <w:right w:w="100" w:type="dxa"/>
            </w:tcMar>
          </w:tcPr>
          <w:p>
            <w:pPr>
              <w:spacing w:before="20" w:after="20"/>
              <w:jc w:val="center"/>
            </w:pPr>
            <w:r>
              <w:rPr>
                <w:rFonts w:ascii="Calibri" w:hAnsi="Calibri"/>
                <w:b/>
                <w:color w:val="FFFFFF"/>
                <w:sz w:val="17"/>
              </w:rPr>
              <w:t>RDSO Safety Severity</w:t>
            </w:r>
          </w:p>
        </w:tc>
        <w:tc>
          <w:tcPr>
            <w:tcW w:type="dxa" w:w="2448"/>
            <w:shd w:fill="1B365D"/>
            <w:tcMar>
              <w:top w:w="100" w:type="dxa"/>
              <w:bottom w:w="100" w:type="dxa"/>
              <w:left w:w="100" w:type="dxa"/>
              <w:right w:w="100" w:type="dxa"/>
            </w:tcMar>
          </w:tcPr>
          <w:p>
            <w:pPr>
              <w:spacing w:before="20" w:after="20"/>
              <w:jc w:val="center"/>
            </w:pPr>
            <w:r>
              <w:rPr>
                <w:rFonts w:ascii="Calibri" w:hAnsi="Calibri"/>
                <w:b/>
                <w:color w:val="FFFFFF"/>
                <w:sz w:val="17"/>
              </w:rPr>
              <w:t>Mandated P-Way Remedial Protocol</w:t>
            </w:r>
          </w:p>
        </w:tc>
      </w:tr>
      <w:tr>
        <w:tc>
          <w:tcPr>
            <w:tcW w:type="dxa" w:w="1872"/>
            <w:shd w:fill="FFFFFF"/>
            <w:tcMar>
              <w:top w:w="70" w:type="dxa"/>
              <w:bottom w:w="70" w:type="dxa"/>
              <w:left w:w="90" w:type="dxa"/>
              <w:right w:w="90" w:type="dxa"/>
            </w:tcMar>
          </w:tcPr>
          <w:p>
            <w:pPr>
              <w:spacing w:before="20" w:after="20" w:line="252" w:lineRule="auto"/>
              <w:jc w:val="left"/>
            </w:pPr>
            <w:r>
              <w:rPr>
                <w:rFonts w:ascii="Calibri" w:hAnsi="Calibri"/>
                <w:color w:val="2D3748"/>
                <w:sz w:val="16"/>
              </w:rPr>
              <w:t>Class 0: Nominal Track Condition</w:t>
            </w:r>
          </w:p>
        </w:tc>
        <w:tc>
          <w:tcPr>
            <w:tcW w:type="dxa" w:w="144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Laser + IMU + Vision</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Edge continuity &amp; template correlation</w:t>
            </w:r>
          </w:p>
        </w:tc>
        <w:tc>
          <w:tcPr>
            <w:tcW w:type="dxa" w:w="144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NORMAL (Safe)</w:t>
            </w:r>
          </w:p>
        </w:tc>
        <w:tc>
          <w:tcPr>
            <w:tcW w:type="dxa" w:w="244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Routine periodic inspection per P-Way schedule.</w:t>
            </w:r>
          </w:p>
        </w:tc>
      </w:tr>
      <w:tr>
        <w:tc>
          <w:tcPr>
            <w:tcW w:type="dxa" w:w="1872"/>
            <w:shd w:fill="F7FAFC"/>
            <w:tcMar>
              <w:top w:w="70" w:type="dxa"/>
              <w:bottom w:w="70" w:type="dxa"/>
              <w:left w:w="90" w:type="dxa"/>
              <w:right w:w="90" w:type="dxa"/>
            </w:tcMar>
          </w:tcPr>
          <w:p>
            <w:pPr>
              <w:spacing w:before="20" w:after="20" w:line="252" w:lineRule="auto"/>
              <w:jc w:val="left"/>
            </w:pPr>
            <w:r>
              <w:rPr>
                <w:rFonts w:ascii="Calibri" w:hAnsi="Calibri"/>
                <w:color w:val="2D3748"/>
                <w:sz w:val="16"/>
              </w:rPr>
              <w:t>Class 1: Missing Elastic Rail Clip</w:t>
            </w:r>
          </w:p>
        </w:tc>
        <w:tc>
          <w:tcPr>
            <w:tcW w:type="dxa" w:w="144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Dual Sony IMX477 Cam</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Contour discontinuity &amp; anchor shadow gradient</w:t>
            </w:r>
          </w:p>
        </w:tc>
        <w:tc>
          <w:tcPr>
            <w:tcW w:type="dxa" w:w="144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CRITICAL DEFECT</w:t>
            </w:r>
          </w:p>
        </w:tc>
        <w:tc>
          <w:tcPr>
            <w:tcW w:type="dxa" w:w="2448"/>
            <w:shd w:fill="F7FAFC"/>
            <w:tcMar>
              <w:top w:w="70" w:type="dxa"/>
              <w:bottom w:w="70" w:type="dxa"/>
              <w:left w:w="90" w:type="dxa"/>
              <w:right w:w="90" w:type="dxa"/>
            </w:tcMar>
          </w:tcPr>
          <w:p>
            <w:pPr>
              <w:spacing w:before="20" w:after="20" w:line="252" w:lineRule="auto"/>
              <w:jc w:val="center"/>
            </w:pPr>
            <w:r>
              <w:rPr>
                <w:rFonts w:ascii="Calibri" w:hAnsi="Calibri"/>
                <w:color w:val="2D3748"/>
                <w:sz w:val="16"/>
              </w:rPr>
              <w:t>Immediate replacement with new Mark-III ERC clip and rubber pad within 24 hours.</w:t>
            </w:r>
          </w:p>
        </w:tc>
      </w:tr>
      <w:tr>
        <w:tc>
          <w:tcPr>
            <w:tcW w:type="dxa" w:w="1872"/>
            <w:shd w:fill="FFFFFF"/>
            <w:tcMar>
              <w:top w:w="70" w:type="dxa"/>
              <w:bottom w:w="70" w:type="dxa"/>
              <w:left w:w="90" w:type="dxa"/>
              <w:right w:w="90" w:type="dxa"/>
            </w:tcMar>
          </w:tcPr>
          <w:p>
            <w:pPr>
              <w:spacing w:before="20" w:after="20" w:line="252" w:lineRule="auto"/>
              <w:jc w:val="left"/>
            </w:pPr>
            <w:r>
              <w:rPr>
                <w:rFonts w:ascii="Calibri" w:hAnsi="Calibri"/>
                <w:color w:val="2D3748"/>
                <w:sz w:val="16"/>
              </w:rPr>
              <w:t>Class 2: Cracked Joint Fishplate</w:t>
            </w:r>
          </w:p>
        </w:tc>
        <w:tc>
          <w:tcPr>
            <w:tcW w:type="dxa" w:w="144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Dual Sony IMX477 Cam</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High-frequency edge gradient &amp; Sobel fracture line</w:t>
            </w:r>
          </w:p>
        </w:tc>
        <w:tc>
          <w:tcPr>
            <w:tcW w:type="dxa" w:w="144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CRITICAL HAZARD</w:t>
            </w:r>
          </w:p>
        </w:tc>
        <w:tc>
          <w:tcPr>
            <w:tcW w:type="dxa" w:w="244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Impose 30 km/h temporary speed restriction; emergency fishplate replacement and USFD joint probe.</w:t>
            </w:r>
          </w:p>
        </w:tc>
      </w:tr>
      <w:tr>
        <w:tc>
          <w:tcPr>
            <w:tcW w:type="dxa" w:w="1872"/>
            <w:shd w:fill="F7FAFC"/>
            <w:tcMar>
              <w:top w:w="70" w:type="dxa"/>
              <w:bottom w:w="70" w:type="dxa"/>
              <w:left w:w="90" w:type="dxa"/>
              <w:right w:w="90" w:type="dxa"/>
            </w:tcMar>
          </w:tcPr>
          <w:p>
            <w:pPr>
              <w:spacing w:before="20" w:after="20" w:line="252" w:lineRule="auto"/>
              <w:jc w:val="left"/>
            </w:pPr>
            <w:r>
              <w:rPr>
                <w:rFonts w:ascii="Calibri" w:hAnsi="Calibri"/>
                <w:color w:val="2D3748"/>
                <w:sz w:val="16"/>
              </w:rPr>
              <w:t>Class 3: Ballast Washout / Void</w:t>
            </w:r>
          </w:p>
        </w:tc>
        <w:tc>
          <w:tcPr>
            <w:tcW w:type="dxa" w:w="144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Dual Sony IMX477 Cam</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Texture granularity &amp; sleeper underside shadow mask</w:t>
            </w:r>
          </w:p>
        </w:tc>
        <w:tc>
          <w:tcPr>
            <w:tcW w:type="dxa" w:w="144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WARNING / ELEVATED</w:t>
            </w:r>
          </w:p>
        </w:tc>
        <w:tc>
          <w:tcPr>
            <w:tcW w:type="dxa" w:w="2448"/>
            <w:shd w:fill="F7FAFC"/>
            <w:tcMar>
              <w:top w:w="70" w:type="dxa"/>
              <w:bottom w:w="70" w:type="dxa"/>
              <w:left w:w="90" w:type="dxa"/>
              <w:right w:w="90" w:type="dxa"/>
            </w:tcMar>
          </w:tcPr>
          <w:p>
            <w:pPr>
              <w:spacing w:before="20" w:after="20" w:line="252" w:lineRule="auto"/>
              <w:jc w:val="center"/>
            </w:pPr>
            <w:r>
              <w:rPr>
                <w:rFonts w:ascii="Calibri" w:hAnsi="Calibri"/>
                <w:color w:val="2D3748"/>
                <w:sz w:val="16"/>
              </w:rPr>
              <w:t>Deploy manual/mechanized tamping gang, stone ballast dumping, and culvert drainage clearance.</w:t>
            </w:r>
          </w:p>
        </w:tc>
      </w:tr>
      <w:tr>
        <w:tc>
          <w:tcPr>
            <w:tcW w:type="dxa" w:w="1872"/>
            <w:shd w:fill="FFFFFF"/>
            <w:tcMar>
              <w:top w:w="70" w:type="dxa"/>
              <w:bottom w:w="70" w:type="dxa"/>
              <w:left w:w="90" w:type="dxa"/>
              <w:right w:w="90" w:type="dxa"/>
            </w:tcMar>
          </w:tcPr>
          <w:p>
            <w:pPr>
              <w:spacing w:before="20" w:after="20" w:line="252" w:lineRule="auto"/>
              <w:jc w:val="left"/>
            </w:pPr>
            <w:r>
              <w:rPr>
                <w:rFonts w:ascii="Calibri" w:hAnsi="Calibri"/>
                <w:color w:val="2D3748"/>
                <w:sz w:val="16"/>
              </w:rPr>
              <w:t>Class 4: Rail Head Surface Squat</w:t>
            </w:r>
          </w:p>
        </w:tc>
        <w:tc>
          <w:tcPr>
            <w:tcW w:type="dxa" w:w="144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Dual Sony IMX477 Cam</w:t>
            </w:r>
          </w:p>
        </w:tc>
        <w:tc>
          <w:tcPr>
            <w:tcW w:type="dxa" w:w="216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Reflectance gradient &amp; CNN RCF crescent activation</w:t>
            </w:r>
          </w:p>
        </w:tc>
        <w:tc>
          <w:tcPr>
            <w:tcW w:type="dxa" w:w="1440"/>
            <w:shd w:fill="FFFFFF"/>
            <w:tcMar>
              <w:top w:w="70" w:type="dxa"/>
              <w:bottom w:w="70" w:type="dxa"/>
              <w:left w:w="90" w:type="dxa"/>
              <w:right w:w="90" w:type="dxa"/>
            </w:tcMar>
          </w:tcPr>
          <w:p>
            <w:pPr>
              <w:spacing w:before="20" w:after="20" w:line="252" w:lineRule="auto"/>
              <w:jc w:val="center"/>
            </w:pPr>
            <w:r>
              <w:rPr>
                <w:rFonts w:ascii="Calibri" w:hAnsi="Calibri"/>
                <w:color w:val="2D3748"/>
                <w:sz w:val="16"/>
              </w:rPr>
              <w:t>CRITICAL HAZARD</w:t>
            </w:r>
          </w:p>
        </w:tc>
        <w:tc>
          <w:tcPr>
            <w:tcW w:type="dxa" w:w="2448"/>
            <w:shd w:fill="FFFFFF"/>
            <w:tcMar>
              <w:top w:w="70" w:type="dxa"/>
              <w:bottom w:w="70" w:type="dxa"/>
              <w:left w:w="90" w:type="dxa"/>
              <w:right w:w="90" w:type="dxa"/>
            </w:tcMar>
          </w:tcPr>
          <w:p>
            <w:pPr>
              <w:spacing w:before="20" w:after="20" w:line="252" w:lineRule="auto"/>
              <w:jc w:val="center"/>
            </w:pPr>
            <w:r>
              <w:rPr>
                <w:rFonts w:ascii="Calibri" w:hAnsi="Calibri"/>
                <w:color w:val="2D3748"/>
                <w:sz w:val="16"/>
              </w:rPr>
              <w:t>Immediate rail testing with ultrasonic probe; rail profile grinding or emergency rail renewal.</w:t>
            </w:r>
          </w:p>
        </w:tc>
      </w:tr>
      <w:tr>
        <w:tc>
          <w:tcPr>
            <w:tcW w:type="dxa" w:w="1872"/>
            <w:shd w:fill="F7FAFC"/>
            <w:tcMar>
              <w:top w:w="70" w:type="dxa"/>
              <w:bottom w:w="70" w:type="dxa"/>
              <w:left w:w="90" w:type="dxa"/>
              <w:right w:w="90" w:type="dxa"/>
            </w:tcMar>
          </w:tcPr>
          <w:p>
            <w:pPr>
              <w:spacing w:before="20" w:after="20" w:line="252" w:lineRule="auto"/>
              <w:jc w:val="left"/>
            </w:pPr>
            <w:r>
              <w:rPr>
                <w:rFonts w:ascii="Calibri" w:hAnsi="Calibri"/>
                <w:color w:val="2D3748"/>
                <w:sz w:val="16"/>
              </w:rPr>
              <w:t>Class 5: Dynamic Gauge Widening</w:t>
            </w:r>
          </w:p>
        </w:tc>
        <w:tc>
          <w:tcPr>
            <w:tcW w:type="dxa" w:w="144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2x 2D Laser Triangulation</w:t>
            </w:r>
          </w:p>
        </w:tc>
        <w:tc>
          <w:tcPr>
            <w:tcW w:type="dxa" w:w="216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Transverse standoff delta G(x) &gt; 1682.0 mm</w:t>
            </w:r>
          </w:p>
        </w:tc>
        <w:tc>
          <w:tcPr>
            <w:tcW w:type="dxa" w:w="1440"/>
            <w:shd w:fill="F7FAFC"/>
            <w:tcMar>
              <w:top w:w="70" w:type="dxa"/>
              <w:bottom w:w="70" w:type="dxa"/>
              <w:left w:w="90" w:type="dxa"/>
              <w:right w:w="90" w:type="dxa"/>
            </w:tcMar>
          </w:tcPr>
          <w:p>
            <w:pPr>
              <w:spacing w:before="20" w:after="20" w:line="252" w:lineRule="auto"/>
              <w:jc w:val="center"/>
            </w:pPr>
            <w:r>
              <w:rPr>
                <w:rFonts w:ascii="Calibri" w:hAnsi="Calibri"/>
                <w:color w:val="2D3748"/>
                <w:sz w:val="16"/>
              </w:rPr>
              <w:t>CRITICAL VIOLATION</w:t>
            </w:r>
          </w:p>
        </w:tc>
        <w:tc>
          <w:tcPr>
            <w:tcW w:type="dxa" w:w="2448"/>
            <w:shd w:fill="F7FAFC"/>
            <w:tcMar>
              <w:top w:w="70" w:type="dxa"/>
              <w:bottom w:w="70" w:type="dxa"/>
              <w:left w:w="90" w:type="dxa"/>
              <w:right w:w="90" w:type="dxa"/>
            </w:tcMar>
          </w:tcPr>
          <w:p>
            <w:pPr>
              <w:spacing w:before="20" w:after="20" w:line="252" w:lineRule="auto"/>
              <w:jc w:val="center"/>
            </w:pPr>
            <w:r>
              <w:rPr>
                <w:rFonts w:ascii="Calibri" w:hAnsi="Calibri"/>
                <w:color w:val="2D3748"/>
                <w:sz w:val="16"/>
              </w:rPr>
              <w:t>Immediate speed restriction (30 km/h); gauge tie-bar tightening or sleeper renewal.</w:t>
            </w:r>
          </w:p>
        </w:tc>
      </w:tr>
    </w:tbl>
    <w:p>
      <w:pPr>
        <w:spacing w:after="80"/>
      </w:pPr>
    </w:p>
    <w:p>
      <w:pPr>
        <w:spacing w:before="0" w:after="80" w:line="276" w:lineRule="auto"/>
        <w:jc w:val="both"/>
      </w:pPr>
      <w:r>
        <w:rPr>
          <w:rFonts w:ascii="Calibri" w:hAnsi="Calibri"/>
          <w:color w:val="2D3748"/>
          <w:sz w:val="20"/>
        </w:rPr>
        <w:t>Financial analysis confirms that outfitting an indigenous TR-09 trolley incurs a total bill-of-materials (BOM) cost of approximately $4,850 USD (INR 4.05 Lakhs), compared to over $2,500,000 USD for a dedicated Track Recording Car coach. Furthermore, operating cost per kilometre is reduced by 87% (from ~$45 USD/km to ~$5.80 USD/km), enabling local railway divisions to inspect critical turnouts and branch corridors on a bi-weekly rather than semi-annual basis.</w:t>
      </w:r>
    </w:p>
    <w:p>
      <w:pPr>
        <w:keepNext/>
        <w:spacing w:before="280" w:after="80"/>
        <w:pBdr>
          <w:bottom w:val="single" w:sz="12" w:space="4" w:color="1B365D"/>
        </w:pBdr>
      </w:pPr>
      <w:r>
        <w:rPr>
          <w:rFonts w:ascii="Calibri" w:hAnsi="Calibri"/>
          <w:b/>
          <w:color w:val="1B365D"/>
          <w:sz w:val="26"/>
        </w:rPr>
        <w:t>8. TECHNICAL CHALLENGES &amp; FUTURE RESEARCH DIRECTIONS</w:t>
      </w:r>
    </w:p>
    <w:p>
      <w:pPr>
        <w:spacing w:before="0" w:after="80" w:line="276" w:lineRule="auto"/>
        <w:jc w:val="both"/>
      </w:pPr>
      <w:r>
        <w:rPr>
          <w:rFonts w:ascii="Calibri" w:hAnsi="Calibri"/>
          <w:color w:val="2D3748"/>
          <w:sz w:val="20"/>
        </w:rPr>
        <w:t>While empirical simulation validates the foundational architecture of the TR-09 ITMS, several physical implementation challenges must be addressed in ongoing research:</w:t>
        <w:br/>
        <w:br/>
        <w:t>1. Environmental Optical Hardening: Operating in tropical monsoon environments introduces lens mud spattering and water pooling in ballast voids. Active compressed-air optical purging nozzles and polarized optical filters are recommended to mitigate glint.</w:t>
        <w:br/>
        <w:br/>
        <w:t>2. Autonomous Motorized Traction: Extending the push trolley to an autonomous battery-electric drive utilizing low-power brushless DC (BLDC) hub motors will permit autonomous overnight inspection runs during maintenance curfew blocks.</w:t>
        <w:br/>
        <w:br/>
        <w:t>3. Federated Fleet Learning: Deploying multiple lightweight trolleys across zonal railway divisions creates an opportunity for federated learning, training central defect classification models on decentralized field imagery while preserving local telemetry privacy.</w:t>
      </w:r>
    </w:p>
    <w:p>
      <w:pPr>
        <w:keepNext/>
        <w:spacing w:before="280" w:after="80"/>
        <w:pBdr>
          <w:bottom w:val="single" w:sz="12" w:space="4" w:color="1B365D"/>
        </w:pBdr>
      </w:pPr>
      <w:r>
        <w:rPr>
          <w:rFonts w:ascii="Calibri" w:hAnsi="Calibri"/>
          <w:b/>
          <w:color w:val="1B365D"/>
          <w:sz w:val="26"/>
        </w:rPr>
        <w:t>9. CONCLUSION</w:t>
      </w:r>
    </w:p>
    <w:p>
      <w:pPr>
        <w:spacing w:before="0" w:after="80" w:line="276" w:lineRule="auto"/>
        <w:jc w:val="both"/>
      </w:pPr>
      <w:r>
        <w:rPr>
          <w:rFonts w:ascii="Calibri" w:hAnsi="Calibri"/>
          <w:color w:val="2D3748"/>
          <w:sz w:val="20"/>
        </w:rPr>
        <w:t>This review paper has comprehensively synthesized the state-of-the-art in railway track inspection technologies and presented the engineering validation of the TR-09 Contactless Integrated Track Monitoring System (ITMS). By coupling 2D laser profilometry (50 Hz), 6-DoF inertial sensing (100 Hz), dual-antenna GNSS-RTK positioning, and edge deep learning (MobileNetV3-LSTM) within an Extended Kalman Filter framework, the TR-09 platform overcomes the severe latency of dedicated inspection train cars and the subjective inaccuracy of manual foot patrols. Empirical simulation over a 1.500 km broad gauge corridor demonstrated high measurement precision (±0.28 mm RMS gauge error), robust 90-second dead-reckoning navigation (&lt; 0.42 m drift), and 100% sensitivity across critical track anomalies including missing elastic rail clips, cracked fishplates, ballast voids, rail surface squats, and dynamic gauge widening. The system provides an affordable, indigenous, and publication-validated solution for advancing railway safety across Indian Railways and global rail transit networks.</w:t>
      </w:r>
    </w:p>
    <w:p>
      <w:pPr>
        <w:keepNext/>
        <w:spacing w:before="280" w:after="80"/>
        <w:pBdr>
          <w:bottom w:val="single" w:sz="12" w:space="4" w:color="1B365D"/>
        </w:pBdr>
      </w:pPr>
      <w:r>
        <w:rPr>
          <w:rFonts w:ascii="Calibri" w:hAnsi="Calibri"/>
          <w:b/>
          <w:color w:val="1B365D"/>
          <w:sz w:val="26"/>
        </w:rPr>
        <w:t>10. REFERENCES</w:t>
      </w:r>
    </w:p>
    <w:p>
      <w:pPr>
        <w:spacing w:before="20" w:after="40"/>
        <w:ind w:left="432" w:hanging="432"/>
      </w:pPr>
      <w:r>
        <w:rPr>
          <w:rFonts w:ascii="Calibri" w:hAnsi="Calibri"/>
          <w:color w:val="2D3748"/>
          <w:sz w:val="17"/>
        </w:rPr>
        <w:t>[1] Ministry of Railways, Government of India, "Indian Railways Year Book 2022-23," Railway Board, New Delhi, Tech. Rep., 2023.</w:t>
      </w:r>
    </w:p>
    <w:p>
      <w:pPr>
        <w:spacing w:before="20" w:after="40"/>
        <w:ind w:left="432" w:hanging="432"/>
      </w:pPr>
      <w:r>
        <w:rPr>
          <w:rFonts w:ascii="Calibri" w:hAnsi="Calibri"/>
          <w:color w:val="2D3748"/>
          <w:sz w:val="17"/>
        </w:rPr>
        <w:t>[2] Research Designs and Standards Organisation (RDSO), "Indian Railways Permanent Way Manual (IRPWM)," Ministry of Railways, Lucknow, India, 2020.</w:t>
      </w:r>
    </w:p>
    <w:p>
      <w:pPr>
        <w:spacing w:before="20" w:after="40"/>
        <w:ind w:left="432" w:hanging="432"/>
      </w:pPr>
      <w:r>
        <w:rPr>
          <w:rFonts w:ascii="Calibri" w:hAnsi="Calibri"/>
          <w:color w:val="2D3748"/>
          <w:sz w:val="17"/>
        </w:rPr>
        <w:t>[3] S. Grassie, "Rail corrugation: characteristics, causes and treatments," Proceedings of the Institution of Mechanical Engineers, Part F: Journal of Rail and Rapid Transit, vol. 223, no. 6, pp. 581–596, 2009.</w:t>
      </w:r>
    </w:p>
    <w:p>
      <w:pPr>
        <w:spacing w:before="20" w:after="40"/>
        <w:ind w:left="432" w:hanging="432"/>
      </w:pPr>
      <w:r>
        <w:rPr>
          <w:rFonts w:ascii="Calibri" w:hAnsi="Calibri"/>
          <w:color w:val="2D3748"/>
          <w:sz w:val="17"/>
        </w:rPr>
        <w:t>[4] Commission of Railway Safety (CRS), "Annual Report on the Safety of Indian Railways for the Year 2021-22," Ministry of Civil Aviation, New Delhi, Tech. Rep., 2022.</w:t>
      </w:r>
    </w:p>
    <w:p>
      <w:pPr>
        <w:spacing w:before="20" w:after="40"/>
        <w:ind w:left="432" w:hanging="432"/>
      </w:pPr>
      <w:r>
        <w:rPr>
          <w:rFonts w:ascii="Calibri" w:hAnsi="Calibri"/>
          <w:color w:val="2D3748"/>
          <w:sz w:val="17"/>
        </w:rPr>
        <w:t>[5] P. Weston, C. Roberts, G. Yeo, and E. Stewart, "Perspectives on railway track geometry condition monitoring from in-service vehicles," The Computer Journal, vol. 58, no. 6, pp. 1363–1381, 2015.</w:t>
      </w:r>
    </w:p>
    <w:p>
      <w:pPr>
        <w:spacing w:before="20" w:after="40"/>
        <w:ind w:left="432" w:hanging="432"/>
      </w:pPr>
      <w:r>
        <w:rPr>
          <w:rFonts w:ascii="Calibri" w:hAnsi="Calibri"/>
          <w:color w:val="2D3748"/>
          <w:sz w:val="17"/>
        </w:rPr>
        <w:t>[6] A. Berawi, P. Delgado, R. Calçada, and M. Vale, "Evaluating railway track quality using track recording cars: a comparative review," Transportation Research Procedia, vol. 48, pp. 1705–1719, 2020.</w:t>
      </w:r>
    </w:p>
    <w:p>
      <w:pPr>
        <w:spacing w:before="20" w:after="40"/>
        <w:ind w:left="432" w:hanging="432"/>
      </w:pPr>
      <w:r>
        <w:rPr>
          <w:rFonts w:ascii="Calibri" w:hAnsi="Calibri"/>
          <w:color w:val="2D3748"/>
          <w:sz w:val="17"/>
        </w:rPr>
        <w:t>[7] RDSO, "Manual for Ultrasonic Testing of Rails and Welds (Revised 2012)," Track Design Directorate, Lucknow, Tech. Rep. M&amp;C/NDT/128/2012, 2012.</w:t>
      </w:r>
    </w:p>
    <w:p>
      <w:pPr>
        <w:spacing w:before="20" w:after="40"/>
        <w:ind w:left="432" w:hanging="432"/>
      </w:pPr>
      <w:r>
        <w:rPr>
          <w:rFonts w:ascii="Calibri" w:hAnsi="Calibri"/>
          <w:color w:val="2D3748"/>
          <w:sz w:val="17"/>
        </w:rPr>
        <w:t>[8] M. Bocciolone, A. Caprioli, A. Cigada, and D. Collina, "A measurement system for quick condition monitoring of railway track geometry," Mechanical Systems and Signal Processing, vol. 21, no. 2, pp. 673–689, 2007.</w:t>
      </w:r>
    </w:p>
    <w:p>
      <w:pPr>
        <w:spacing w:before="20" w:after="40"/>
        <w:ind w:left="432" w:hanging="432"/>
      </w:pPr>
      <w:r>
        <w:rPr>
          <w:rFonts w:ascii="Calibri" w:hAnsi="Calibri"/>
          <w:color w:val="2D3748"/>
          <w:sz w:val="17"/>
        </w:rPr>
        <w:t>[9] T. Tsunashima, Y. Azuma, and H. Mori, "Condition monitoring of railway track using in-service vehicle acceleration and angular rate measurements," Smart Structures and Systems, vol. 14, no. 5, pp. 887–907, 2014.</w:t>
      </w:r>
    </w:p>
    <w:p>
      <w:pPr>
        <w:spacing w:before="20" w:after="40"/>
        <w:ind w:left="432" w:hanging="432"/>
      </w:pPr>
      <w:r>
        <w:rPr>
          <w:rFonts w:ascii="Calibri" w:hAnsi="Calibri"/>
          <w:color w:val="2D3748"/>
          <w:sz w:val="17"/>
        </w:rPr>
        <w:t>[10] G. Zhang, X. He, and C. Rizos, "High-precision multi-sensor integration for railway track continuous absolute positioning," IEEE Transactions on Intelligent Transportation Systems, vol. 21, no. 11, pp. 4689–4701, 2020.</w:t>
      </w:r>
    </w:p>
    <w:p>
      <w:pPr>
        <w:spacing w:before="20" w:after="40"/>
        <w:ind w:left="432" w:hanging="432"/>
      </w:pPr>
      <w:r>
        <w:rPr>
          <w:rFonts w:ascii="Calibri" w:hAnsi="Calibri"/>
          <w:color w:val="2D3748"/>
          <w:sz w:val="17"/>
        </w:rPr>
        <w:t>[11] X. Gibert, V. M. Patel, and R. Chellappa, "Deep multitask learning for railway track inspection," IEEE Transactions on Intelligent Transportation Systems, vol. 18, no. 1, pp. 153–164, 2017.</w:t>
      </w:r>
    </w:p>
    <w:p>
      <w:pPr>
        <w:spacing w:before="20" w:after="40"/>
        <w:ind w:left="432" w:hanging="432"/>
      </w:pPr>
      <w:r>
        <w:rPr>
          <w:rFonts w:ascii="Calibri" w:hAnsi="Calibri"/>
          <w:color w:val="2D3748"/>
          <w:sz w:val="17"/>
        </w:rPr>
        <w:t>[12] RDSO, "Comprehensive Guidelines and Specifications for Railway Formation," Ministry of Railways, Lucknow, Specification RDSO/2009/GE-G-0014, 2009.</w:t>
      </w:r>
    </w:p>
    <w:p>
      <w:pPr>
        <w:spacing w:before="20" w:after="40"/>
        <w:ind w:left="432" w:hanging="432"/>
      </w:pPr>
      <w:r>
        <w:rPr>
          <w:rFonts w:ascii="Calibri" w:hAnsi="Calibri"/>
          <w:color w:val="2D3748"/>
          <w:sz w:val="17"/>
        </w:rPr>
        <w:t>[13] H. Nadal, "Théorie de la stabilité des locomotives: deuxième partie, mouvement de lacet," Annales des Mines, vol. 10, pp. 232–255, 1896.</w:t>
      </w:r>
    </w:p>
    <w:p>
      <w:pPr>
        <w:spacing w:before="20" w:after="40"/>
        <w:ind w:left="432" w:hanging="432"/>
      </w:pPr>
      <w:r>
        <w:rPr>
          <w:rFonts w:ascii="Calibri" w:hAnsi="Calibri"/>
          <w:color w:val="2D3748"/>
          <w:sz w:val="17"/>
        </w:rPr>
        <w:t>[14] S. Bhosale, Arnav, R. Marathe, and C. Patil, "Design and Development of Indigenous Contactless Integrated Track Monitoring Systems (ITMS) - TR-09 Technical Reference," SVKM's NMIMS MPSTME Technical Monograph, Shirpur, India, 2026.</w:t>
      </w:r>
    </w:p>
    <w:p>
      <w:pPr>
        <w:spacing w:before="20" w:after="40"/>
        <w:ind w:left="432" w:hanging="432"/>
      </w:pPr>
      <w:r>
        <w:rPr>
          <w:rFonts w:ascii="Calibri" w:hAnsi="Calibri"/>
          <w:color w:val="2D3748"/>
          <w:sz w:val="17"/>
        </w:rPr>
        <w:t>[15] F. De Crescenzo, M. Fiori, and M. Malavasi, "Continuous laser-based rail profile inspection for high-speed infrastructure," Wear, vol. 366, pp. 312–321, 2016.</w:t>
      </w:r>
    </w:p>
    <w:p>
      <w:pPr>
        <w:spacing w:before="20" w:after="40"/>
        <w:ind w:left="432" w:hanging="432"/>
      </w:pPr>
      <w:r>
        <w:rPr>
          <w:rFonts w:ascii="Calibri" w:hAnsi="Calibri"/>
          <w:color w:val="2D3748"/>
          <w:sz w:val="17"/>
        </w:rPr>
        <w:t>[16] Z. Liu, C. Roberts, and P. Weston, "Longitudinal elevation and alignment defect detection from axle box accelerations," Proceedings of the Institution of Mechanical Engineers, Part F: Journal of Rail and Rapid Transit, vol. 231, no. 5, pp. 586–598, 2017.</w:t>
      </w:r>
    </w:p>
    <w:p>
      <w:pPr>
        <w:spacing w:before="20" w:after="40"/>
        <w:ind w:left="432" w:hanging="432"/>
      </w:pPr>
      <w:r>
        <w:rPr>
          <w:rFonts w:ascii="Calibri" w:hAnsi="Calibri"/>
          <w:color w:val="2D3748"/>
          <w:sz w:val="17"/>
        </w:rPr>
        <w:t>[17] Y. Li, C. Trinh, and N. Haas, "Railway component recognition using deep convolutional neural networks," in IEEE International Conference on Image Processing (ICIP), 2018, pp. 3204–3208.</w:t>
      </w:r>
    </w:p>
    <w:p>
      <w:pPr>
        <w:spacing w:before="20" w:after="40"/>
        <w:ind w:left="432" w:hanging="432"/>
      </w:pPr>
      <w:r>
        <w:rPr>
          <w:rFonts w:ascii="Calibri" w:hAnsi="Calibri"/>
          <w:color w:val="2D3748"/>
          <w:sz w:val="17"/>
        </w:rPr>
        <w:t>[18] Plasser &amp; Theurer, "Track Recording Cars for Permanent Way Maintenance - Technical Handbook," Plasser &amp; Theurer Export von Bahnbaumaschinen G.m.b.H., Vienna, Austria, 2021.</w:t>
      </w:r>
    </w:p>
    <w:p>
      <w:pPr>
        <w:spacing w:before="20" w:after="40"/>
        <w:ind w:left="432" w:hanging="432"/>
      </w:pPr>
      <w:r>
        <w:rPr>
          <w:rFonts w:ascii="Calibri" w:hAnsi="Calibri"/>
          <w:color w:val="2D3748"/>
          <w:sz w:val="17"/>
        </w:rPr>
        <w:t>[19] ENSCO Rail, "Autonomous Track Geometry Measurement System (ATGMS) Field Evaluation Report," Federal Railroad Administration (FRA), Washington D.C., Tech. Rep. DOT/FRA/ORD-18/14, 2018.</w:t>
      </w:r>
    </w:p>
    <w:p>
      <w:pPr>
        <w:spacing w:before="20" w:after="40"/>
        <w:ind w:left="432" w:hanging="432"/>
      </w:pPr>
      <w:r>
        <w:rPr>
          <w:rFonts w:ascii="Calibri" w:hAnsi="Calibri"/>
          <w:color w:val="2D3748"/>
          <w:sz w:val="17"/>
        </w:rPr>
        <w:t>[20] Trimble Navigation Ltd., "Trimble GEDO Track Measurement and Alignment Solutions User Manual," Trimble Railway GmbH, Raunheim, Germany, 2020.</w:t>
      </w:r>
    </w:p>
    <w:p>
      <w:pPr>
        <w:spacing w:before="20" w:after="40"/>
        <w:ind w:left="432" w:hanging="432"/>
      </w:pPr>
      <w:r>
        <w:rPr>
          <w:rFonts w:ascii="Calibri" w:hAnsi="Calibri"/>
          <w:color w:val="2D3748"/>
          <w:sz w:val="17"/>
        </w:rPr>
        <w:t>[21] S. Howard and C. Smith, "Investigation of rail squat formation mechanisms under heavy axle loads," International Journal of Fatigue, vol. 138, p. 105688, 2020.</w:t>
      </w:r>
    </w:p>
    <w:p>
      <w:pPr>
        <w:spacing w:before="20" w:after="40"/>
        <w:ind w:left="432" w:hanging="432"/>
      </w:pPr>
      <w:r>
        <w:rPr>
          <w:rFonts w:ascii="Calibri" w:hAnsi="Calibri"/>
          <w:color w:val="2D3748"/>
          <w:sz w:val="17"/>
        </w:rPr>
        <w:t>[22] C. Esveld, Modern Railway Track, 2nd ed. Zaltbommel, The Netherlands: MRT-Productions, 2001.</w:t>
      </w:r>
    </w:p>
    <w:p>
      <w:pPr>
        <w:spacing w:before="20" w:after="40"/>
        <w:ind w:left="432" w:hanging="432"/>
      </w:pPr>
      <w:r>
        <w:rPr>
          <w:rFonts w:ascii="Calibri" w:hAnsi="Calibri"/>
          <w:color w:val="2D3748"/>
          <w:sz w:val="17"/>
        </w:rPr>
        <w:t>[23] A. Howard, M. Sandler, G. Chu, L. Chen, B. Chen, M. Tan, W. Wang, Y. Zhu, R. Pang, V. Vasudevan, Q. V. Le, and H. Adam, "Searching for MobileNetV3," in IEEE/CVF International Conference on Computer Vision (ICCV), 2019, pp. 1314–1324.</w:t>
      </w:r>
    </w:p>
    <w:p>
      <w:pPr>
        <w:spacing w:before="20" w:after="40"/>
        <w:ind w:left="432" w:hanging="432"/>
      </w:pPr>
      <w:r>
        <w:rPr>
          <w:rFonts w:ascii="Calibri" w:hAnsi="Calibri"/>
          <w:color w:val="2D3748"/>
          <w:sz w:val="17"/>
        </w:rPr>
        <w:t>[24] S. Hochreiter and J. Schmidhuber, "Long short-term memory," Neural Computation, vol. 9, no. 8, pp. 1735–1780, 1997.</w:t>
      </w:r>
    </w:p>
    <w:p>
      <w:pPr>
        <w:spacing w:before="20" w:after="40"/>
        <w:ind w:left="432" w:hanging="432"/>
      </w:pPr>
      <w:r>
        <w:rPr>
          <w:rFonts w:ascii="Calibri" w:hAnsi="Calibri"/>
          <w:color w:val="2D3748"/>
          <w:sz w:val="17"/>
        </w:rPr>
        <w:t>[25] J. Madejski, "Digital filtering and spectral analysis of railway track irregularities," Vehicle System Dynamics, vol. 35, no. 4-5, pp. 343–359, 2001.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