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00"/>
        <w:jc w:val="center"/>
      </w:pPr>
      <w:r>
        <w:drawing>
          <wp:inline xmlns:a="http://schemas.openxmlformats.org/drawingml/2006/main" xmlns:pic="http://schemas.openxmlformats.org/drawingml/2006/picture">
            <wp:extent cx="1645920" cy="1631670"/>
            <wp:docPr id="1" name="Picture 1"/>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1645920" cy="1631670"/>
                    </a:xfrm>
                    <a:prstGeom prst="rect"/>
                  </pic:spPr>
                </pic:pic>
              </a:graphicData>
            </a:graphic>
          </wp:inline>
        </w:drawing>
      </w:r>
    </w:p>
    <w:p>
      <w:pPr>
        <w:spacing w:after="500"/>
        <w:jc w:val="center"/>
      </w:pPr>
      <w:r>
        <w:rPr>
          <w:rFonts w:ascii="Calibri" w:hAnsi="Calibri"/>
          <w:b/>
          <w:color w:val="1B365D"/>
          <w:sz w:val="26"/>
        </w:rPr>
        <w:t>SVKM'S Narsee Monjee Institute of Management Studies</w:t>
        <w:br/>
      </w:r>
      <w:r>
        <w:rPr>
          <w:rFonts w:ascii="Calibri" w:hAnsi="Calibri"/>
          <w:color w:val="4A5568"/>
          <w:sz w:val="22"/>
        </w:rPr>
        <w:t>Mukesh Patel School of Technology Management &amp; Engineering</w:t>
        <w:br/>
        <w:t>Shirpur Campus, Maharashtra</w:t>
      </w:r>
    </w:p>
    <w:p>
      <w:pPr>
        <w:spacing w:after="500"/>
        <w:jc w:val="center"/>
      </w:pPr>
      <w:r>
        <w:rPr>
          <w:rFonts w:ascii="Calibri" w:hAnsi="Calibri"/>
          <w:b/>
          <w:color w:val="1A365D"/>
          <w:sz w:val="34"/>
        </w:rPr>
        <w:t>DEVELOPMENT OF INDIGENOUS CONTACTLESS INTEGRATED TRACK MONITORING SYSTEMS (ITMS)</w:t>
        <w:br/>
      </w:r>
      <w:r>
        <w:rPr>
          <w:b/>
          <w:color w:val="2B6CB0"/>
          <w:sz w:val="25"/>
        </w:rPr>
        <w:t>TR-09 Prototype: Architecture, Working Principle, and Technical Validation</w:t>
      </w:r>
    </w:p>
    <w:p>
      <w:pPr>
        <w:spacing w:after="600"/>
        <w:jc w:val="center"/>
      </w:pPr>
      <w:r>
        <w:rPr>
          <w:rFonts w:ascii="Calibri" w:hAnsi="Calibri"/>
          <w:i/>
          <w:sz w:val="21"/>
        </w:rPr>
        <w:t>A Technical Project Report submitted in partial fulfilment of the requirements for</w:t>
        <w:br/>
      </w:r>
      <w:r>
        <w:rPr>
          <w:b/>
          <w:color w:val="1B365D"/>
          <w:sz w:val="23"/>
        </w:rPr>
        <w:t>Course: Design Experience</w:t>
        <w:br/>
      </w:r>
      <w:r>
        <w:rPr>
          <w:b/>
          <w:sz w:val="22"/>
        </w:rPr>
        <w:t>Programme: MBA Tech &amp; B.Tech Computer Engineering – Second Year</w:t>
        <w:br/>
      </w:r>
      <w:r>
        <w:rPr>
          <w:sz w:val="21"/>
        </w:rPr>
        <w:t>Batch: 2024–2029  |  Academic Year: 2025–26</w:t>
      </w:r>
    </w:p>
    <w:p>
      <w:pPr>
        <w:jc w:val="center"/>
      </w:pPr>
      <w:r>
        <w:rPr>
          <w:b/>
          <w:color w:val="1B365D"/>
          <w:sz w:val="22"/>
        </w:rPr>
        <w:t>Submitted By:</w:t>
        <w:br/>
      </w:r>
      <w:r>
        <w:rPr>
          <w:rFonts w:ascii="Calibri" w:hAnsi="Calibri"/>
          <w:sz w:val="22"/>
        </w:rPr>
        <w:t>1. Soham Bhosale (MBA Tech Computer Engineering)</w:t>
        <w:br/>
        <w:t>2. Arnav (MBA Tech Computer Engineering)</w:t>
        <w:br/>
        <w:t>3. Rudra Marathe (MBA Tech Computer Engineering)</w:t>
        <w:br/>
        <w:br/>
      </w:r>
      <w:r>
        <w:rPr>
          <w:b/>
          <w:color w:val="1B365D"/>
          <w:sz w:val="22"/>
        </w:rPr>
        <w:t>Under the Guidance of:</w:t>
        <w:br/>
      </w:r>
      <w:r>
        <w:rPr>
          <w:rFonts w:ascii="Calibri" w:hAnsi="Calibri"/>
          <w:b/>
          <w:color w:val="2B6CB0"/>
          <w:sz w:val="23"/>
        </w:rPr>
        <w:t>Prof. Chaitali Patil</w:t>
        <w:br/>
        <w:t>Department of Computer Engineering, MPSTME</w:t>
      </w:r>
    </w:p>
    <w:p>
      <w:r>
        <w:br w:type="page"/>
      </w:r>
    </w:p>
    <w:p>
      <w:pPr>
        <w:pStyle w:val="Heading1"/>
        <w:spacing w:before="240" w:after="240"/>
      </w:pPr>
      <w:r>
        <w:rPr>
          <w:color w:val="1B365D"/>
        </w:rPr>
        <w:t>Certificate of Approval</w:t>
      </w:r>
    </w:p>
    <w:p>
      <w:pPr>
        <w:spacing w:line="276" w:lineRule="auto" w:after="800"/>
      </w:pPr>
      <w:r>
        <w:t>This is to certify that the technical project report entitled "Development of Indigenous Contactless Integrated Track Monitoring Systems (ITMS) – TR-09 Prototype" is a bonafide record of work carried out by Soham Bhosale, Arnav, and Rudra Marathe, students of Second Year MBA Tech &amp; B.Tech Computer Engineering at Mukesh Patel School of Technology Management &amp; Engineering, SVKM's NMIMS, Shirpur, under my supervision and guidance in partial fulfilment of the requirements for the Design Experience course during the academic year 2025–26.</w:t>
        <w:br/>
        <w:br/>
        <w:t>The project demonstrates a fully functional, low-cost contactless track inspection system designed in alignment with Research Designs and Standards Organisation (RDSO) Indian Railways broad gauge standards.</w:t>
      </w: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sz w:val="20"/>
              </w:rPr>
              <w:t>______________________________</w:t>
              <w:br/>
              <w:t>Prof. Chaitali Patil</w:t>
              <w:br/>
              <w:t>Project Mentor, MPSTME</w:t>
            </w:r>
          </w:p>
        </w:tc>
        <w:tc>
          <w:tcPr>
            <w:tcW w:type="dxa" w:w="4680"/>
          </w:tcPr>
          <w:p>
            <w:r>
              <w:rPr>
                <w:rFonts w:ascii="Calibri" w:hAnsi="Calibri"/>
                <w:sz w:val="20"/>
              </w:rPr>
              <w:t>______________________________</w:t>
              <w:br/>
              <w:t>Head of Department</w:t>
              <w:br/>
              <w:t>Computer Engineering, MPSTME</w:t>
            </w:r>
          </w:p>
        </w:tc>
      </w:tr>
      <w:tr>
        <w:tc>
          <w:tcPr>
            <w:tcW w:type="dxa" w:w="4680"/>
          </w:tcPr>
          <w:p>
            <w:r>
              <w:rPr>
                <w:rFonts w:ascii="Calibri" w:hAnsi="Calibri"/>
                <w:sz w:val="20"/>
              </w:rPr>
              <w:br/>
              <w:t>Date: 21 October 2026</w:t>
              <w:br/>
              <w:t>Place: Shirpur</w:t>
            </w:r>
          </w:p>
        </w:tc>
        <w:tc>
          <w:tcPr>
            <w:tcW w:type="dxa" w:w="4680"/>
          </w:tcPr>
          <w:p>
            <w:r>
              <w:rPr>
                <w:rFonts w:ascii="Calibri" w:hAnsi="Calibri"/>
                <w:sz w:val="20"/>
              </w:rPr>
              <w:br/>
              <w:t>______________________________</w:t>
              <w:br/>
              <w:t>External Examiner</w:t>
            </w:r>
          </w:p>
        </w:tc>
      </w:tr>
    </w:tbl>
    <w:p>
      <w:r>
        <w:br w:type="page"/>
      </w:r>
    </w:p>
    <w:p>
      <w:pPr>
        <w:pStyle w:val="Heading1"/>
      </w:pPr>
      <w:r>
        <w:rPr>
          <w:color w:val="1B365D"/>
        </w:rPr>
        <w:t>Executive Summary</w:t>
      </w:r>
    </w:p>
    <w:p>
      <w:pPr>
        <w:spacing w:line="276" w:lineRule="auto" w:after="200"/>
      </w:pPr>
      <w:r>
        <w:t>Track geometry degradation and mechanical fastener failures are leading root causes of railway derailments globally. In Indian Railways, which spans over 68,000 route kilometres, approximately 19% of derailments between 2019 and 2024 originated from track-geometry anomalies including slow gauge widening, cross-level imbalance, and missing fasteners. While high-density trunk routes are periodically surveyed by imported Track Recording Cars (TRCs) costing approximately ₹38 Crore per unit, Indian Railways branch lines — representing roughly 35% of the national route network — remain un-instrumented due to severe capital expenditure constraints, relying entirely on manual foot patrols.</w:t>
        <w:br/>
        <w:br/>
        <w:t>This project presents TR-09, an indigenous, hand-trolley-mounted contactless track inspector engineered specifically for Indian Railways broad gauge (1676 mm) track sections. Built under a strict hard parts budget cap of ₹1.35 Lakhs using components sourced entirely from domestic Indian electronics distributors, TR-09 achieves contactless geometry monitoring with ±0.8 mm gauge accuracy, ±1.2 mm cross-level accuracy, and an inference engine detecting four common rail defect classes at ≥ 91% precision. The platform integrates dual laser triangulation distance scanners, a 9-axis MEMS inertial measurement unit (IMU), a multi-band RTK-GNSS receiver, and dual high-resolution inspection cameras onto a lightweight (14.6 kg) steel trolley chassis powered by an NVIDIA Jetson Orin Nano edge computer.</w:t>
        <w:br/>
        <w:br/>
        <w:t>To ensure robust operation in remote rural corridors, TR-09 incorporates a local-first telemetry architecture with an on-device 32 GB persistent buffer, a 90-second inertial dead-reckoning fallback during GNSS outages, and a native standalone Python desktop inspection application with real-time digital gauges and safety tolerance visualization.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36" w:space="0" w:color="1B365D"/>
              <w:top w:val="none"/>
              <w:right w:val="none"/>
              <w:bottom w:val="none"/>
            </w:tcBorders>
          </w:tcPr>
          <w:p>
            <w:pPr>
              <w:spacing w:before="40" w:after="40" w:line="276" w:lineRule="auto"/>
            </w:pPr>
            <w:r>
              <w:rPr>
                <w:rFonts w:ascii="Calibri" w:hAnsi="Calibri"/>
                <w:b/>
                <w:color w:val="1B365D"/>
                <w:sz w:val="21"/>
              </w:rPr>
              <w:t>TR-09 Core Technical Benchmarks</w:t>
              <w:br/>
            </w:r>
            <w:r>
              <w:rPr>
                <w:rFonts w:ascii="Calibri" w:hAnsi="Calibri"/>
                <w:color w:val="2D3748"/>
                <w:sz w:val="19"/>
              </w:rPr>
              <w:t>• Platform Architecture: Hand-trolley-mounted contactless ITMS rig (Total weight: 14.6 kg, Power draw: 24.8 W)</w:t>
              <w:br/>
              <w:t>• Target Geometry Tolerances: ±0.8 mm Gauge Accuracy | ±1.2 mm Cross-Level Accuracy | 2.8 mm/m Twist Limit</w:t>
              <w:br/>
              <w:t>• Edge AI &amp; Detection: NVIDIA Jetson Orin Nano running CNN-LSTM with ≥91% confidence gating across 4 defect classes</w:t>
              <w:br/>
              <w:t>• Economic Benchmark: Hard parts cost of ₹1,35,500 vs. ≈₹38 Crore imported Track Recording Coaches (2,800x cost reduction)</w:t>
            </w:r>
          </w:p>
        </w:tc>
      </w:tr>
    </w:tbl>
    <w:p>
      <w:pPr>
        <w:spacing w:after="80"/>
      </w:pPr>
    </w:p>
    <w:p>
      <w:r>
        <w:br w:type="page"/>
      </w:r>
    </w:p>
    <w:p>
      <w:pPr>
        <w:pStyle w:val="Heading1"/>
      </w:pPr>
      <w:r>
        <w:rPr>
          <w:color w:val="1B365D"/>
        </w:rPr>
        <w:t>Index</w:t>
      </w:r>
    </w:p>
    <w:tbl>
      <w:tblPr>
        <w:tblW w:type="auto" w:w="0"/>
        <w:jc w:val="center"/>
        <w:tblLook w:firstColumn="1" w:firstRow="1" w:lastColumn="0" w:lastRow="0" w:noHBand="0" w:noVBand="1" w:val="04A0"/>
      </w:tblPr>
      <w:tblGrid>
        <w:gridCol w:w="3120"/>
        <w:gridCol w:w="3120"/>
        <w:gridCol w:w="3120"/>
      </w:tblGrid>
      <w:tr>
        <w:tc>
          <w:tcPr>
            <w:tcW w:type="dxa" w:w="1440"/>
            <w:shd w:fill="1B365D"/>
            <w:tcMar>
              <w:top w:w="120" w:type="dxa"/>
              <w:bottom w:w="120" w:type="dxa"/>
              <w:left w:w="140" w:type="dxa"/>
              <w:right w:w="140" w:type="dxa"/>
            </w:tcMar>
          </w:tcPr>
          <w:p>
            <w:pPr>
              <w:jc w:val="center"/>
            </w:pPr>
            <w:r>
              <w:rPr>
                <w:rFonts w:ascii="Calibri" w:hAnsi="Calibri"/>
                <w:b/>
                <w:color w:val="FFFFFF"/>
                <w:sz w:val="19"/>
              </w:rPr>
              <w:t>Section</w:t>
            </w:r>
          </w:p>
        </w:tc>
        <w:tc>
          <w:tcPr>
            <w:tcW w:type="dxa" w:w="6480"/>
            <w:shd w:fill="1B365D"/>
            <w:tcMar>
              <w:top w:w="120" w:type="dxa"/>
              <w:bottom w:w="120" w:type="dxa"/>
              <w:left w:w="140" w:type="dxa"/>
              <w:right w:w="140" w:type="dxa"/>
            </w:tcMar>
          </w:tcPr>
          <w:p>
            <w:pPr>
              <w:jc w:val="center"/>
            </w:pPr>
            <w:r>
              <w:rPr>
                <w:rFonts w:ascii="Calibri" w:hAnsi="Calibri"/>
                <w:b/>
                <w:color w:val="FFFFFF"/>
                <w:sz w:val="19"/>
              </w:rPr>
              <w:t>Technical Title</w:t>
            </w:r>
          </w:p>
        </w:tc>
        <w:tc>
          <w:tcPr>
            <w:tcW w:type="dxa" w:w="1296"/>
            <w:shd w:fill="1B365D"/>
            <w:tcMar>
              <w:top w:w="120" w:type="dxa"/>
              <w:bottom w:w="120" w:type="dxa"/>
              <w:left w:w="140" w:type="dxa"/>
              <w:right w:w="140" w:type="dxa"/>
            </w:tcMar>
          </w:tcPr>
          <w:p>
            <w:pPr>
              <w:jc w:val="center"/>
            </w:pPr>
            <w:r>
              <w:rPr>
                <w:rFonts w:ascii="Calibri" w:hAnsi="Calibri"/>
                <w:b/>
                <w:color w:val="FFFFFF"/>
                <w:sz w:val="19"/>
              </w:rPr>
              <w:t>Page</w:t>
            </w:r>
          </w:p>
        </w:tc>
      </w:tr>
      <w:tr>
        <w:tc>
          <w:tcPr>
            <w:tcW w:type="dxa" w:w="1440"/>
            <w:shd w:fill="FFFFFF"/>
            <w:tcMar>
              <w:top w:w="80" w:type="dxa"/>
              <w:bottom w:w="80" w:type="dxa"/>
              <w:left w:w="120" w:type="dxa"/>
              <w:right w:w="120" w:type="dxa"/>
            </w:tcMar>
          </w:tcPr>
          <w:p>
            <w:pPr>
              <w:spacing w:line="276" w:lineRule="auto" w:after="40"/>
            </w:pPr>
            <w:r>
              <w:rPr>
                <w:rFonts w:ascii="Calibri" w:hAnsi="Calibri"/>
                <w:b/>
                <w:color w:val="2D3748"/>
                <w:sz w:val="18"/>
              </w:rPr>
              <w:t>01</w:t>
            </w:r>
          </w:p>
        </w:tc>
        <w:tc>
          <w:tcPr>
            <w:tcW w:type="dxa" w:w="6480"/>
            <w:shd w:fill="FFFFFF"/>
            <w:tcMar>
              <w:top w:w="80" w:type="dxa"/>
              <w:bottom w:w="80" w:type="dxa"/>
              <w:left w:w="120" w:type="dxa"/>
              <w:right w:w="120" w:type="dxa"/>
            </w:tcMar>
          </w:tcPr>
          <w:p>
            <w:pPr>
              <w:spacing w:line="276" w:lineRule="auto" w:after="40"/>
            </w:pPr>
            <w:r>
              <w:rPr>
                <w:rFonts w:ascii="Calibri" w:hAnsi="Calibri"/>
                <w:color w:val="2D3748"/>
                <w:sz w:val="18"/>
              </w:rPr>
              <w:t>Introduction &amp; Problem Definition</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w:t>
            </w:r>
          </w:p>
        </w:tc>
      </w:tr>
      <w:tr>
        <w:tc>
          <w:tcPr>
            <w:tcW w:type="dxa" w:w="1440"/>
            <w:shd w:fill="F7FAFC"/>
            <w:tcMar>
              <w:top w:w="80" w:type="dxa"/>
              <w:bottom w:w="80" w:type="dxa"/>
              <w:left w:w="120" w:type="dxa"/>
              <w:right w:w="120" w:type="dxa"/>
            </w:tcMar>
          </w:tcPr>
          <w:p>
            <w:pPr>
              <w:spacing w:line="276" w:lineRule="auto" w:after="40"/>
            </w:pPr>
            <w:r>
              <w:rPr>
                <w:rFonts w:ascii="Calibri" w:hAnsi="Calibri"/>
                <w:b/>
                <w:color w:val="2D3748"/>
                <w:sz w:val="18"/>
              </w:rPr>
              <w:t>02</w:t>
            </w:r>
          </w:p>
        </w:tc>
        <w:tc>
          <w:tcPr>
            <w:tcW w:type="dxa" w:w="6480"/>
            <w:shd w:fill="F7FAFC"/>
            <w:tcMar>
              <w:top w:w="80" w:type="dxa"/>
              <w:bottom w:w="80" w:type="dxa"/>
              <w:left w:w="120" w:type="dxa"/>
              <w:right w:w="120" w:type="dxa"/>
            </w:tcMar>
          </w:tcPr>
          <w:p>
            <w:pPr>
              <w:spacing w:line="276" w:lineRule="auto" w:after="40"/>
            </w:pPr>
            <w:r>
              <w:rPr>
                <w:rFonts w:ascii="Calibri" w:hAnsi="Calibri"/>
                <w:color w:val="2D3748"/>
                <w:sz w:val="18"/>
              </w:rPr>
              <w:t>System Specifications &amp; Bill of Materials (BoM)</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3</w:t>
            </w:r>
          </w:p>
        </w:tc>
      </w:tr>
      <w:tr>
        <w:tc>
          <w:tcPr>
            <w:tcW w:type="dxa" w:w="1440"/>
            <w:shd w:fill="FFFFFF"/>
            <w:tcMar>
              <w:top w:w="80" w:type="dxa"/>
              <w:bottom w:w="80" w:type="dxa"/>
              <w:left w:w="120" w:type="dxa"/>
              <w:right w:w="120" w:type="dxa"/>
            </w:tcMar>
          </w:tcPr>
          <w:p>
            <w:pPr>
              <w:spacing w:line="276" w:lineRule="auto" w:after="40"/>
            </w:pPr>
            <w:r>
              <w:rPr>
                <w:rFonts w:ascii="Calibri" w:hAnsi="Calibri"/>
                <w:b/>
                <w:color w:val="2D3748"/>
                <w:sz w:val="18"/>
              </w:rPr>
              <w:t>03</w:t>
            </w:r>
          </w:p>
        </w:tc>
        <w:tc>
          <w:tcPr>
            <w:tcW w:type="dxa" w:w="6480"/>
            <w:shd w:fill="FFFFFF"/>
            <w:tcMar>
              <w:top w:w="80" w:type="dxa"/>
              <w:bottom w:w="80" w:type="dxa"/>
              <w:left w:w="120" w:type="dxa"/>
              <w:right w:w="120" w:type="dxa"/>
            </w:tcMar>
          </w:tcPr>
          <w:p>
            <w:pPr>
              <w:spacing w:line="276" w:lineRule="auto" w:after="40"/>
            </w:pPr>
            <w:r>
              <w:rPr>
                <w:rFonts w:ascii="Calibri" w:hAnsi="Calibri"/>
                <w:color w:val="2D3748"/>
                <w:sz w:val="18"/>
              </w:rPr>
              <w:t>System Architecture &amp; Hardware Integration</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5</w:t>
            </w:r>
          </w:p>
        </w:tc>
      </w:tr>
      <w:tr>
        <w:tc>
          <w:tcPr>
            <w:tcW w:type="dxa" w:w="1440"/>
            <w:shd w:fill="F7FAFC"/>
            <w:tcMar>
              <w:top w:w="80" w:type="dxa"/>
              <w:bottom w:w="80" w:type="dxa"/>
              <w:left w:w="120" w:type="dxa"/>
              <w:right w:w="120" w:type="dxa"/>
            </w:tcMar>
          </w:tcPr>
          <w:p>
            <w:pPr>
              <w:spacing w:line="276" w:lineRule="auto" w:after="40"/>
            </w:pPr>
            <w:r>
              <w:rPr>
                <w:rFonts w:ascii="Calibri" w:hAnsi="Calibri"/>
                <w:b/>
                <w:color w:val="2D3748"/>
                <w:sz w:val="18"/>
              </w:rPr>
              <w:t>04</w:t>
            </w:r>
          </w:p>
        </w:tc>
        <w:tc>
          <w:tcPr>
            <w:tcW w:type="dxa" w:w="6480"/>
            <w:shd w:fill="F7FAFC"/>
            <w:tcMar>
              <w:top w:w="80" w:type="dxa"/>
              <w:bottom w:w="80" w:type="dxa"/>
              <w:left w:w="120" w:type="dxa"/>
              <w:right w:w="120" w:type="dxa"/>
            </w:tcMar>
          </w:tcPr>
          <w:p>
            <w:pPr>
              <w:spacing w:line="276" w:lineRule="auto" w:after="40"/>
            </w:pPr>
            <w:r>
              <w:rPr>
                <w:rFonts w:ascii="Calibri" w:hAnsi="Calibri"/>
                <w:color w:val="2D3748"/>
                <w:sz w:val="18"/>
              </w:rPr>
              <w:t>Mathematical Modeling &amp; Working Principles</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7</w:t>
            </w:r>
          </w:p>
        </w:tc>
      </w:tr>
      <w:tr>
        <w:tc>
          <w:tcPr>
            <w:tcW w:type="dxa" w:w="1440"/>
            <w:shd w:fill="FFFFFF"/>
            <w:tcMar>
              <w:top w:w="80" w:type="dxa"/>
              <w:bottom w:w="80" w:type="dxa"/>
              <w:left w:w="120" w:type="dxa"/>
              <w:right w:w="120" w:type="dxa"/>
            </w:tcMar>
          </w:tcPr>
          <w:p>
            <w:pPr>
              <w:spacing w:line="276" w:lineRule="auto" w:after="40"/>
            </w:pPr>
            <w:r>
              <w:rPr>
                <w:rFonts w:ascii="Calibri" w:hAnsi="Calibri"/>
                <w:b/>
                <w:color w:val="2D3748"/>
                <w:sz w:val="18"/>
              </w:rPr>
              <w:t>05</w:t>
            </w:r>
          </w:p>
        </w:tc>
        <w:tc>
          <w:tcPr>
            <w:tcW w:type="dxa" w:w="6480"/>
            <w:shd w:fill="FFFFFF"/>
            <w:tcMar>
              <w:top w:w="80" w:type="dxa"/>
              <w:bottom w:w="80" w:type="dxa"/>
              <w:left w:w="120" w:type="dxa"/>
              <w:right w:w="120" w:type="dxa"/>
            </w:tcMar>
          </w:tcPr>
          <w:p>
            <w:pPr>
              <w:spacing w:line="276" w:lineRule="auto" w:after="40"/>
            </w:pPr>
            <w:r>
              <w:rPr>
                <w:rFonts w:ascii="Calibri" w:hAnsi="Calibri"/>
                <w:color w:val="2D3748"/>
                <w:sz w:val="18"/>
              </w:rPr>
              <w:t>Sensor Fusion &amp; Fail-Safe Telemetry Pipeline</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9</w:t>
            </w:r>
          </w:p>
        </w:tc>
      </w:tr>
      <w:tr>
        <w:tc>
          <w:tcPr>
            <w:tcW w:type="dxa" w:w="1440"/>
            <w:shd w:fill="F7FAFC"/>
            <w:tcMar>
              <w:top w:w="80" w:type="dxa"/>
              <w:bottom w:w="80" w:type="dxa"/>
              <w:left w:w="120" w:type="dxa"/>
              <w:right w:w="120" w:type="dxa"/>
            </w:tcMar>
          </w:tcPr>
          <w:p>
            <w:pPr>
              <w:spacing w:line="276" w:lineRule="auto" w:after="40"/>
            </w:pPr>
            <w:r>
              <w:rPr>
                <w:rFonts w:ascii="Calibri" w:hAnsi="Calibri"/>
                <w:b/>
                <w:color w:val="2D3748"/>
                <w:sz w:val="18"/>
              </w:rPr>
              <w:t>06</w:t>
            </w:r>
          </w:p>
        </w:tc>
        <w:tc>
          <w:tcPr>
            <w:tcW w:type="dxa" w:w="6480"/>
            <w:shd w:fill="F7FAFC"/>
            <w:tcMar>
              <w:top w:w="80" w:type="dxa"/>
              <w:bottom w:w="80" w:type="dxa"/>
              <w:left w:w="120" w:type="dxa"/>
              <w:right w:w="120" w:type="dxa"/>
            </w:tcMar>
          </w:tcPr>
          <w:p>
            <w:pPr>
              <w:spacing w:line="276" w:lineRule="auto" w:after="40"/>
            </w:pPr>
            <w:r>
              <w:rPr>
                <w:rFonts w:ascii="Calibri" w:hAnsi="Calibri"/>
                <w:color w:val="2D3748"/>
                <w:sz w:val="18"/>
              </w:rPr>
              <w:t>Computer Vision &amp; Defect Detection Pipeline</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11</w:t>
            </w:r>
          </w:p>
        </w:tc>
      </w:tr>
      <w:tr>
        <w:tc>
          <w:tcPr>
            <w:tcW w:type="dxa" w:w="1440"/>
            <w:shd w:fill="FFFFFF"/>
            <w:tcMar>
              <w:top w:w="80" w:type="dxa"/>
              <w:bottom w:w="80" w:type="dxa"/>
              <w:left w:w="120" w:type="dxa"/>
              <w:right w:w="120" w:type="dxa"/>
            </w:tcMar>
          </w:tcPr>
          <w:p>
            <w:pPr>
              <w:spacing w:line="276" w:lineRule="auto" w:after="40"/>
            </w:pPr>
            <w:r>
              <w:rPr>
                <w:rFonts w:ascii="Calibri" w:hAnsi="Calibri"/>
                <w:b/>
                <w:color w:val="2D3748"/>
                <w:sz w:val="18"/>
              </w:rPr>
              <w:t>07</w:t>
            </w:r>
          </w:p>
        </w:tc>
        <w:tc>
          <w:tcPr>
            <w:tcW w:type="dxa" w:w="6480"/>
            <w:shd w:fill="FFFFFF"/>
            <w:tcMar>
              <w:top w:w="80" w:type="dxa"/>
              <w:bottom w:w="80" w:type="dxa"/>
              <w:left w:w="120" w:type="dxa"/>
              <w:right w:w="120" w:type="dxa"/>
            </w:tcMar>
          </w:tcPr>
          <w:p>
            <w:pPr>
              <w:spacing w:line="276" w:lineRule="auto" w:after="40"/>
            </w:pPr>
            <w:r>
              <w:rPr>
                <w:rFonts w:ascii="Calibri" w:hAnsi="Calibri"/>
                <w:color w:val="2D3748"/>
                <w:sz w:val="18"/>
              </w:rPr>
              <w:t>Native Desktop Inspection Software</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13</w:t>
            </w:r>
          </w:p>
        </w:tc>
      </w:tr>
      <w:tr>
        <w:tc>
          <w:tcPr>
            <w:tcW w:type="dxa" w:w="1440"/>
            <w:shd w:fill="F7FAFC"/>
            <w:tcMar>
              <w:top w:w="80" w:type="dxa"/>
              <w:bottom w:w="80" w:type="dxa"/>
              <w:left w:w="120" w:type="dxa"/>
              <w:right w:w="120" w:type="dxa"/>
            </w:tcMar>
          </w:tcPr>
          <w:p>
            <w:pPr>
              <w:spacing w:line="276" w:lineRule="auto" w:after="40"/>
            </w:pPr>
            <w:r>
              <w:rPr>
                <w:rFonts w:ascii="Calibri" w:hAnsi="Calibri"/>
                <w:b/>
                <w:color w:val="2D3748"/>
                <w:sz w:val="18"/>
              </w:rPr>
              <w:t>08</w:t>
            </w:r>
          </w:p>
        </w:tc>
        <w:tc>
          <w:tcPr>
            <w:tcW w:type="dxa" w:w="6480"/>
            <w:shd w:fill="F7FAFC"/>
            <w:tcMar>
              <w:top w:w="80" w:type="dxa"/>
              <w:bottom w:w="80" w:type="dxa"/>
              <w:left w:w="120" w:type="dxa"/>
              <w:right w:w="120" w:type="dxa"/>
            </w:tcMar>
          </w:tcPr>
          <w:p>
            <w:pPr>
              <w:spacing w:line="276" w:lineRule="auto" w:after="40"/>
            </w:pPr>
            <w:r>
              <w:rPr>
                <w:rFonts w:ascii="Calibri" w:hAnsi="Calibri"/>
                <w:color w:val="2D3748"/>
                <w:sz w:val="18"/>
              </w:rPr>
              <w:t>Experimental Validation &amp; Results</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15</w:t>
            </w:r>
          </w:p>
        </w:tc>
      </w:tr>
      <w:tr>
        <w:tc>
          <w:tcPr>
            <w:tcW w:type="dxa" w:w="1440"/>
            <w:shd w:fill="FFFFFF"/>
            <w:tcMar>
              <w:top w:w="80" w:type="dxa"/>
              <w:bottom w:w="80" w:type="dxa"/>
              <w:left w:w="120" w:type="dxa"/>
              <w:right w:w="120" w:type="dxa"/>
            </w:tcMar>
          </w:tcPr>
          <w:p>
            <w:pPr>
              <w:spacing w:line="276" w:lineRule="auto" w:after="40"/>
            </w:pPr>
            <w:r>
              <w:rPr>
                <w:rFonts w:ascii="Calibri" w:hAnsi="Calibri"/>
                <w:b/>
                <w:color w:val="2D3748"/>
                <w:sz w:val="18"/>
              </w:rPr>
              <w:t>09</w:t>
            </w:r>
          </w:p>
        </w:tc>
        <w:tc>
          <w:tcPr>
            <w:tcW w:type="dxa" w:w="6480"/>
            <w:shd w:fill="FFFFFF"/>
            <w:tcMar>
              <w:top w:w="80" w:type="dxa"/>
              <w:bottom w:w="80" w:type="dxa"/>
              <w:left w:w="120" w:type="dxa"/>
              <w:right w:w="120" w:type="dxa"/>
            </w:tcMar>
          </w:tcPr>
          <w:p>
            <w:pPr>
              <w:spacing w:line="276" w:lineRule="auto" w:after="40"/>
            </w:pPr>
            <w:r>
              <w:rPr>
                <w:rFonts w:ascii="Calibri" w:hAnsi="Calibri"/>
                <w:color w:val="2D3748"/>
                <w:sz w:val="18"/>
              </w:rPr>
              <w:t>Economic Feasibility &amp; Cost-Benefit Analysis</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17</w:t>
            </w:r>
          </w:p>
        </w:tc>
      </w:tr>
      <w:tr>
        <w:tc>
          <w:tcPr>
            <w:tcW w:type="dxa" w:w="1440"/>
            <w:shd w:fill="F7FAFC"/>
            <w:tcMar>
              <w:top w:w="80" w:type="dxa"/>
              <w:bottom w:w="80" w:type="dxa"/>
              <w:left w:w="120" w:type="dxa"/>
              <w:right w:w="120" w:type="dxa"/>
            </w:tcMar>
          </w:tcPr>
          <w:p>
            <w:pPr>
              <w:spacing w:line="276" w:lineRule="auto" w:after="40"/>
            </w:pPr>
            <w:r>
              <w:rPr>
                <w:rFonts w:ascii="Calibri" w:hAnsi="Calibri"/>
                <w:b/>
                <w:color w:val="2D3748"/>
                <w:sz w:val="18"/>
              </w:rPr>
              <w:t>10</w:t>
            </w:r>
          </w:p>
        </w:tc>
        <w:tc>
          <w:tcPr>
            <w:tcW w:type="dxa" w:w="6480"/>
            <w:shd w:fill="F7FAFC"/>
            <w:tcMar>
              <w:top w:w="80" w:type="dxa"/>
              <w:bottom w:w="80" w:type="dxa"/>
              <w:left w:w="120" w:type="dxa"/>
              <w:right w:w="120" w:type="dxa"/>
            </w:tcMar>
          </w:tcPr>
          <w:p>
            <w:pPr>
              <w:spacing w:line="276" w:lineRule="auto" w:after="40"/>
            </w:pPr>
            <w:r>
              <w:rPr>
                <w:rFonts w:ascii="Calibri" w:hAnsi="Calibri"/>
                <w:color w:val="2D3748"/>
                <w:sz w:val="18"/>
              </w:rPr>
              <w:t>Conclusion &amp; Technical Future Scope</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18</w:t>
            </w:r>
          </w:p>
        </w:tc>
      </w:tr>
      <w:tr>
        <w:tc>
          <w:tcPr>
            <w:tcW w:type="dxa" w:w="1440"/>
            <w:shd w:fill="FFFFFF"/>
            <w:tcMar>
              <w:top w:w="80" w:type="dxa"/>
              <w:bottom w:w="80" w:type="dxa"/>
              <w:left w:w="120" w:type="dxa"/>
              <w:right w:w="120" w:type="dxa"/>
            </w:tcMar>
          </w:tcPr>
          <w:p>
            <w:pPr>
              <w:spacing w:line="276" w:lineRule="auto" w:after="40"/>
            </w:pPr>
            <w:r>
              <w:rPr>
                <w:rFonts w:ascii="Calibri" w:hAnsi="Calibri"/>
                <w:b/>
                <w:color w:val="2D3748"/>
                <w:sz w:val="18"/>
              </w:rPr>
              <w:t>11</w:t>
            </w:r>
          </w:p>
        </w:tc>
        <w:tc>
          <w:tcPr>
            <w:tcW w:type="dxa" w:w="6480"/>
            <w:shd w:fill="FFFFFF"/>
            <w:tcMar>
              <w:top w:w="80" w:type="dxa"/>
              <w:bottom w:w="80" w:type="dxa"/>
              <w:left w:w="120" w:type="dxa"/>
              <w:right w:w="120" w:type="dxa"/>
            </w:tcMar>
          </w:tcPr>
          <w:p>
            <w:pPr>
              <w:spacing w:line="276" w:lineRule="auto" w:after="40"/>
            </w:pPr>
            <w:r>
              <w:rPr>
                <w:rFonts w:ascii="Calibri" w:hAnsi="Calibri"/>
                <w:color w:val="2D3748"/>
                <w:sz w:val="18"/>
              </w:rPr>
              <w:t>References (IEEE Format)</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19</w:t>
            </w:r>
          </w:p>
        </w:tc>
      </w:tr>
    </w:tbl>
    <w:p>
      <w:pPr>
        <w:spacing w:after="300"/>
      </w:pPr>
    </w:p>
    <w:p>
      <w:pPr>
        <w:pStyle w:val="Heading2"/>
      </w:pPr>
      <w:r>
        <w:rPr>
          <w:color w:val="2B6CB0"/>
        </w:rPr>
        <w:t>List of Tables</w:t>
      </w:r>
    </w:p>
    <w:tbl>
      <w:tblPr>
        <w:tblW w:type="auto" w:w="0"/>
        <w:jc w:val="center"/>
        <w:tblLook w:firstColumn="1" w:firstRow="1" w:lastColumn="0" w:lastRow="0" w:noHBand="0" w:noVBand="1" w:val="04A0"/>
      </w:tblPr>
      <w:tblGrid>
        <w:gridCol w:w="3120"/>
        <w:gridCol w:w="3120"/>
        <w:gridCol w:w="3120"/>
      </w:tblGrid>
      <w:tr>
        <w:tc>
          <w:tcPr>
            <w:tcW w:type="dxa" w:w="1728"/>
            <w:shd w:fill="1B365D"/>
            <w:tcMar>
              <w:top w:w="120" w:type="dxa"/>
              <w:bottom w:w="120" w:type="dxa"/>
              <w:left w:w="140" w:type="dxa"/>
              <w:right w:w="140" w:type="dxa"/>
            </w:tcMar>
          </w:tcPr>
          <w:p>
            <w:pPr>
              <w:jc w:val="center"/>
            </w:pPr>
            <w:r>
              <w:rPr>
                <w:rFonts w:ascii="Calibri" w:hAnsi="Calibri"/>
                <w:b/>
                <w:color w:val="FFFFFF"/>
                <w:sz w:val="19"/>
              </w:rPr>
              <w:t>Table No.</w:t>
            </w:r>
          </w:p>
        </w:tc>
        <w:tc>
          <w:tcPr>
            <w:tcW w:type="dxa" w:w="6192"/>
            <w:shd w:fill="1B365D"/>
            <w:tcMar>
              <w:top w:w="120" w:type="dxa"/>
              <w:bottom w:w="120" w:type="dxa"/>
              <w:left w:w="140" w:type="dxa"/>
              <w:right w:w="140" w:type="dxa"/>
            </w:tcMar>
          </w:tcPr>
          <w:p>
            <w:pPr>
              <w:jc w:val="center"/>
            </w:pPr>
            <w:r>
              <w:rPr>
                <w:rFonts w:ascii="Calibri" w:hAnsi="Calibri"/>
                <w:b/>
                <w:color w:val="FFFFFF"/>
                <w:sz w:val="19"/>
              </w:rPr>
              <w:t>Table Caption</w:t>
            </w:r>
          </w:p>
        </w:tc>
        <w:tc>
          <w:tcPr>
            <w:tcW w:type="dxa" w:w="1296"/>
            <w:shd w:fill="1B365D"/>
            <w:tcMar>
              <w:top w:w="120" w:type="dxa"/>
              <w:bottom w:w="120" w:type="dxa"/>
              <w:left w:w="140" w:type="dxa"/>
              <w:right w:w="140" w:type="dxa"/>
            </w:tcMar>
          </w:tcPr>
          <w:p>
            <w:pPr>
              <w:jc w:val="center"/>
            </w:pPr>
            <w:r>
              <w:rPr>
                <w:rFonts w:ascii="Calibri" w:hAnsi="Calibri"/>
                <w:b/>
                <w:color w:val="FFFFFF"/>
                <w:sz w:val="19"/>
              </w:rPr>
              <w:t>Page</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2.1</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Engineering Bill of Materials (Hard Budget: ₹1.35 Lakhs)</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4</w:t>
            </w:r>
          </w:p>
        </w:tc>
      </w:tr>
      <w:tr>
        <w:tc>
          <w:tcPr>
            <w:tcW w:type="dxa" w:w="1728"/>
            <w:shd w:fill="F7FAFC"/>
            <w:tcMar>
              <w:top w:w="80" w:type="dxa"/>
              <w:bottom w:w="80" w:type="dxa"/>
              <w:left w:w="120" w:type="dxa"/>
              <w:right w:w="120" w:type="dxa"/>
            </w:tcMar>
          </w:tcPr>
          <w:p>
            <w:pPr>
              <w:spacing w:line="276" w:lineRule="auto" w:after="40"/>
            </w:pPr>
            <w:r>
              <w:rPr>
                <w:rFonts w:ascii="Calibri" w:hAnsi="Calibri"/>
                <w:b/>
                <w:color w:val="2D3748"/>
                <w:sz w:val="18"/>
              </w:rPr>
              <w:t>2.2</w:t>
            </w:r>
          </w:p>
        </w:tc>
        <w:tc>
          <w:tcPr>
            <w:tcW w:type="dxa" w:w="6192"/>
            <w:shd w:fill="F7FAFC"/>
            <w:tcMar>
              <w:top w:w="80" w:type="dxa"/>
              <w:bottom w:w="80" w:type="dxa"/>
              <w:left w:w="120" w:type="dxa"/>
              <w:right w:w="120" w:type="dxa"/>
            </w:tcMar>
          </w:tcPr>
          <w:p>
            <w:pPr>
              <w:spacing w:line="276" w:lineRule="auto" w:after="40"/>
            </w:pPr>
            <w:r>
              <w:rPr>
                <w:rFonts w:ascii="Calibri" w:hAnsi="Calibri"/>
                <w:color w:val="2D3748"/>
                <w:sz w:val="18"/>
              </w:rPr>
              <w:t>System Scope &amp; Boundary Condition Matrix</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4</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4.1</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Indian Railways RDSO Broad Gauge Geometry Tolerance Standards</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8</w:t>
            </w:r>
          </w:p>
        </w:tc>
      </w:tr>
      <w:tr>
        <w:tc>
          <w:tcPr>
            <w:tcW w:type="dxa" w:w="1728"/>
            <w:shd w:fill="F7FAFC"/>
            <w:tcMar>
              <w:top w:w="80" w:type="dxa"/>
              <w:bottom w:w="80" w:type="dxa"/>
              <w:left w:w="120" w:type="dxa"/>
              <w:right w:w="120" w:type="dxa"/>
            </w:tcMar>
          </w:tcPr>
          <w:p>
            <w:pPr>
              <w:spacing w:line="276" w:lineRule="auto" w:after="40"/>
            </w:pPr>
            <w:r>
              <w:rPr>
                <w:rFonts w:ascii="Calibri" w:hAnsi="Calibri"/>
                <w:b/>
                <w:color w:val="2D3748"/>
                <w:sz w:val="18"/>
              </w:rPr>
              <w:t>6.1</w:t>
            </w:r>
          </w:p>
        </w:tc>
        <w:tc>
          <w:tcPr>
            <w:tcW w:type="dxa" w:w="6192"/>
            <w:shd w:fill="F7FAFC"/>
            <w:tcMar>
              <w:top w:w="80" w:type="dxa"/>
              <w:bottom w:w="80" w:type="dxa"/>
              <w:left w:w="120" w:type="dxa"/>
              <w:right w:w="120" w:type="dxa"/>
            </w:tcMar>
          </w:tcPr>
          <w:p>
            <w:pPr>
              <w:spacing w:line="276" w:lineRule="auto" w:after="40"/>
            </w:pPr>
            <w:r>
              <w:rPr>
                <w:rFonts w:ascii="Calibri" w:hAnsi="Calibri"/>
                <w:color w:val="2D3748"/>
                <w:sz w:val="18"/>
              </w:rPr>
              <w:t>Target Rail Defect Classes and Detection Taxonomy</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11</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7.1</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TR-09 Software Architecture Modules and Core Functions</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13</w:t>
            </w:r>
          </w:p>
        </w:tc>
      </w:tr>
      <w:tr>
        <w:tc>
          <w:tcPr>
            <w:tcW w:type="dxa" w:w="1728"/>
            <w:shd w:fill="F7FAFC"/>
            <w:tcMar>
              <w:top w:w="80" w:type="dxa"/>
              <w:bottom w:w="80" w:type="dxa"/>
              <w:left w:w="120" w:type="dxa"/>
              <w:right w:w="120" w:type="dxa"/>
            </w:tcMar>
          </w:tcPr>
          <w:p>
            <w:pPr>
              <w:spacing w:line="276" w:lineRule="auto" w:after="40"/>
            </w:pPr>
            <w:r>
              <w:rPr>
                <w:rFonts w:ascii="Calibri" w:hAnsi="Calibri"/>
                <w:b/>
                <w:color w:val="2D3748"/>
                <w:sz w:val="18"/>
              </w:rPr>
              <w:t>8.1</w:t>
            </w:r>
          </w:p>
        </w:tc>
        <w:tc>
          <w:tcPr>
            <w:tcW w:type="dxa" w:w="6192"/>
            <w:shd w:fill="F7FAFC"/>
            <w:tcMar>
              <w:top w:w="80" w:type="dxa"/>
              <w:bottom w:w="80" w:type="dxa"/>
              <w:left w:w="120" w:type="dxa"/>
              <w:right w:w="120" w:type="dxa"/>
            </w:tcMar>
          </w:tcPr>
          <w:p>
            <w:pPr>
              <w:spacing w:line="276" w:lineRule="auto" w:after="40"/>
            </w:pPr>
            <w:r>
              <w:rPr>
                <w:rFonts w:ascii="Calibri" w:hAnsi="Calibri"/>
                <w:color w:val="2D3748"/>
                <w:sz w:val="18"/>
              </w:rPr>
              <w:t>Experimental Validation Stages and Pass/Fail Criteria</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16</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9.1</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Comparative Cost-Benefit Analysis Across Inspection Technologies</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17</w:t>
            </w:r>
          </w:p>
        </w:tc>
      </w:tr>
    </w:tbl>
    <w:p>
      <w:pPr>
        <w:spacing w:after="300"/>
      </w:pPr>
    </w:p>
    <w:p>
      <w:pPr>
        <w:pStyle w:val="Heading2"/>
      </w:pPr>
      <w:r>
        <w:rPr>
          <w:color w:val="2B6CB0"/>
        </w:rPr>
        <w:t>List of Figures</w:t>
      </w:r>
    </w:p>
    <w:tbl>
      <w:tblPr>
        <w:tblW w:type="auto" w:w="0"/>
        <w:jc w:val="center"/>
        <w:tblLook w:firstColumn="1" w:firstRow="1" w:lastColumn="0" w:lastRow="0" w:noHBand="0" w:noVBand="1" w:val="04A0"/>
      </w:tblPr>
      <w:tblGrid>
        <w:gridCol w:w="3120"/>
        <w:gridCol w:w="3120"/>
        <w:gridCol w:w="3120"/>
      </w:tblGrid>
      <w:tr>
        <w:tc>
          <w:tcPr>
            <w:tcW w:type="dxa" w:w="1728"/>
            <w:shd w:fill="1B365D"/>
            <w:tcMar>
              <w:top w:w="120" w:type="dxa"/>
              <w:bottom w:w="120" w:type="dxa"/>
              <w:left w:w="140" w:type="dxa"/>
              <w:right w:w="140" w:type="dxa"/>
            </w:tcMar>
          </w:tcPr>
          <w:p>
            <w:pPr>
              <w:jc w:val="center"/>
            </w:pPr>
            <w:r>
              <w:rPr>
                <w:rFonts w:ascii="Calibri" w:hAnsi="Calibri"/>
                <w:b/>
                <w:color w:val="FFFFFF"/>
                <w:sz w:val="19"/>
              </w:rPr>
              <w:t>Fig No.</w:t>
            </w:r>
          </w:p>
        </w:tc>
        <w:tc>
          <w:tcPr>
            <w:tcW w:type="dxa" w:w="6192"/>
            <w:shd w:fill="1B365D"/>
            <w:tcMar>
              <w:top w:w="120" w:type="dxa"/>
              <w:bottom w:w="120" w:type="dxa"/>
              <w:left w:w="140" w:type="dxa"/>
              <w:right w:w="140" w:type="dxa"/>
            </w:tcMar>
          </w:tcPr>
          <w:p>
            <w:pPr>
              <w:jc w:val="center"/>
            </w:pPr>
            <w:r>
              <w:rPr>
                <w:rFonts w:ascii="Calibri" w:hAnsi="Calibri"/>
                <w:b/>
                <w:color w:val="FFFFFF"/>
                <w:sz w:val="19"/>
              </w:rPr>
              <w:t>Figure Caption</w:t>
            </w:r>
          </w:p>
        </w:tc>
        <w:tc>
          <w:tcPr>
            <w:tcW w:type="dxa" w:w="1296"/>
            <w:shd w:fill="1B365D"/>
            <w:tcMar>
              <w:top w:w="120" w:type="dxa"/>
              <w:bottom w:w="120" w:type="dxa"/>
              <w:left w:w="140" w:type="dxa"/>
              <w:right w:w="140" w:type="dxa"/>
            </w:tcMar>
          </w:tcPr>
          <w:p>
            <w:pPr>
              <w:jc w:val="center"/>
            </w:pPr>
            <w:r>
              <w:rPr>
                <w:rFonts w:ascii="Calibri" w:hAnsi="Calibri"/>
                <w:b/>
                <w:color w:val="FFFFFF"/>
                <w:sz w:val="19"/>
              </w:rPr>
              <w:t>Page</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Fig 1</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TR-09 System Architecture (Sensors, Edge Compute, LTE &amp; Desktop GUI)</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5</w:t>
            </w:r>
          </w:p>
        </w:tc>
      </w:tr>
      <w:tr>
        <w:tc>
          <w:tcPr>
            <w:tcW w:type="dxa" w:w="1728"/>
            <w:shd w:fill="F7FAFC"/>
            <w:tcMar>
              <w:top w:w="80" w:type="dxa"/>
              <w:bottom w:w="80" w:type="dxa"/>
              <w:left w:w="120" w:type="dxa"/>
              <w:right w:w="120" w:type="dxa"/>
            </w:tcMar>
          </w:tcPr>
          <w:p>
            <w:pPr>
              <w:spacing w:line="276" w:lineRule="auto" w:after="40"/>
            </w:pPr>
            <w:r>
              <w:rPr>
                <w:rFonts w:ascii="Calibri" w:hAnsi="Calibri"/>
                <w:b/>
                <w:color w:val="2D3748"/>
                <w:sz w:val="18"/>
              </w:rPr>
              <w:t>Fig 2</w:t>
            </w:r>
          </w:p>
        </w:tc>
        <w:tc>
          <w:tcPr>
            <w:tcW w:type="dxa" w:w="6192"/>
            <w:shd w:fill="F7FAFC"/>
            <w:tcMar>
              <w:top w:w="80" w:type="dxa"/>
              <w:bottom w:w="80" w:type="dxa"/>
              <w:left w:w="120" w:type="dxa"/>
              <w:right w:w="120" w:type="dxa"/>
            </w:tcMar>
          </w:tcPr>
          <w:p>
            <w:pPr>
              <w:spacing w:line="276" w:lineRule="auto" w:after="40"/>
            </w:pPr>
            <w:r>
              <w:rPr>
                <w:rFonts w:ascii="Calibri" w:hAnsi="Calibri"/>
                <w:color w:val="2D3748"/>
                <w:sz w:val="18"/>
              </w:rPr>
              <w:t>Sensor Fusion and Data Processing Pipeline (Multi-rate to 5 Hz)</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9</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Fig 3</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Defect Detection Workflow (CNN Backbone + LSTM Temporal Head)</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12</w:t>
            </w:r>
          </w:p>
        </w:tc>
      </w:tr>
      <w:tr>
        <w:tc>
          <w:tcPr>
            <w:tcW w:type="dxa" w:w="1728"/>
            <w:shd w:fill="F7FAFC"/>
            <w:tcMar>
              <w:top w:w="80" w:type="dxa"/>
              <w:bottom w:w="80" w:type="dxa"/>
              <w:left w:w="120" w:type="dxa"/>
              <w:right w:w="120" w:type="dxa"/>
            </w:tcMar>
          </w:tcPr>
          <w:p>
            <w:pPr>
              <w:spacing w:line="276" w:lineRule="auto" w:after="40"/>
            </w:pPr>
            <w:r>
              <w:rPr>
                <w:rFonts w:ascii="Calibri" w:hAnsi="Calibri"/>
                <w:b/>
                <w:color w:val="2D3748"/>
                <w:sz w:val="18"/>
              </w:rPr>
              <w:t>Fig 4</w:t>
            </w:r>
          </w:p>
        </w:tc>
        <w:tc>
          <w:tcPr>
            <w:tcW w:type="dxa" w:w="6192"/>
            <w:shd w:fill="F7FAFC"/>
            <w:tcMar>
              <w:top w:w="80" w:type="dxa"/>
              <w:bottom w:w="80" w:type="dxa"/>
              <w:left w:w="120" w:type="dxa"/>
              <w:right w:w="120" w:type="dxa"/>
            </w:tcMar>
          </w:tcPr>
          <w:p>
            <w:pPr>
              <w:spacing w:line="276" w:lineRule="auto" w:after="40"/>
            </w:pPr>
            <w:r>
              <w:rPr>
                <w:rFonts w:ascii="Calibri" w:hAnsi="Calibri"/>
                <w:color w:val="2D3748"/>
                <w:sz w:val="18"/>
              </w:rPr>
              <w:t>Project Engineering &amp; Multi-Stage Validation Timeline</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15</w:t>
            </w:r>
          </w:p>
        </w:tc>
      </w:tr>
      <w:tr>
        <w:tc>
          <w:tcPr>
            <w:tcW w:type="dxa" w:w="1728"/>
            <w:shd w:fill="FFFFFF"/>
            <w:tcMar>
              <w:top w:w="80" w:type="dxa"/>
              <w:bottom w:w="80" w:type="dxa"/>
              <w:left w:w="120" w:type="dxa"/>
              <w:right w:w="120" w:type="dxa"/>
            </w:tcMar>
          </w:tcPr>
          <w:p>
            <w:pPr>
              <w:spacing w:line="276" w:lineRule="auto" w:after="40"/>
            </w:pPr>
            <w:r>
              <w:rPr>
                <w:rFonts w:ascii="Calibri" w:hAnsi="Calibri"/>
                <w:b/>
                <w:color w:val="2D3748"/>
                <w:sz w:val="18"/>
              </w:rPr>
              <w:t>Fig 5</w:t>
            </w:r>
          </w:p>
        </w:tc>
        <w:tc>
          <w:tcPr>
            <w:tcW w:type="dxa" w:w="6192"/>
            <w:shd w:fill="FFFFFF"/>
            <w:tcMar>
              <w:top w:w="80" w:type="dxa"/>
              <w:bottom w:w="80" w:type="dxa"/>
              <w:left w:w="120" w:type="dxa"/>
              <w:right w:w="120" w:type="dxa"/>
            </w:tcMar>
          </w:tcPr>
          <w:p>
            <w:pPr>
              <w:spacing w:line="276" w:lineRule="auto" w:after="40"/>
            </w:pPr>
            <w:r>
              <w:rPr>
                <w:rFonts w:ascii="Calibri" w:hAnsi="Calibri"/>
                <w:color w:val="2D3748"/>
                <w:sz w:val="18"/>
              </w:rPr>
              <w:t>Cost-per-Unit Comparison Across Inspection Approaches (Log Scale)</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17</w:t>
            </w:r>
          </w:p>
        </w:tc>
      </w:tr>
    </w:tbl>
    <w:p>
      <w:r>
        <w:br w:type="page"/>
      </w:r>
    </w:p>
    <w:p>
      <w:pPr>
        <w:pStyle w:val="Heading1"/>
      </w:pPr>
      <w:r>
        <w:rPr>
          <w:color w:val="1B365D"/>
        </w:rPr>
        <w:t>01. Introduction &amp; Problem Definition</w:t>
      </w:r>
    </w:p>
    <w:p>
      <w:pPr>
        <w:pStyle w:val="Heading2"/>
      </w:pPr>
      <w:r>
        <w:t>1.1 Track Safety in Indian Railways</w:t>
      </w:r>
    </w:p>
    <w:p>
      <w:pPr>
        <w:spacing w:line="276" w:lineRule="auto"/>
      </w:pPr>
      <w:r>
        <w:t>Indian Railways represents one of the largest transportation networks in the world, transporting approximately 24 million passengers and 3.5 million tonnes of freight daily across an operational route network exceeding 68,000 kilometres. The integrity of this critical infrastructure depends fundamentally on maintaining the geometric alignment of two continuous steel rails within tight millimetre-scale tolerances.</w:t>
        <w:br/>
        <w:br/>
        <w:t>According to the official Ministry of Railways Safety Review (2024), track-geometry-related defects accounted for approximately 19% of all train derailments between 2019 and 2024. These incidents trace directly to progressive structural failure modes: lateral gauge widening from wooden/concrete sleeper wear, cross-level unevenness causing uneven wheel load distribution, and missing or fatigued elastic rail clips (ERCs) that allow rail displacement under dynamic dynamic loads.</w:t>
      </w:r>
    </w:p>
    <w:p>
      <w:pPr>
        <w:pStyle w:val="Heading2"/>
      </w:pPr>
      <w:r>
        <w:t>1.2 The Branch-Line Inspection Gap</w:t>
      </w:r>
    </w:p>
    <w:p>
      <w:pPr>
        <w:spacing w:line="276" w:lineRule="auto"/>
      </w:pPr>
      <w:r>
        <w:t>To monitor track geometry, Indian Railways deploys Track Recording Cars (TRCs) such as the Plasser EM-120 and EM-SAT series. While these coaches deliver comprehensive high-speed recording on golden quadrilateral and trunk passenger routes, their deployment is severely constrained:</w:t>
        <w:br/>
        <w:br/>
        <w:t>1. High Capital Cost: An imported TRC requires a capital expenditure of approximately ₹38 Crore to ₹110 Crore per unit.</w:t>
        <w:br/>
        <w:t>2. Proprietary Spare Parts: Maintenance depends on European original equipment manufacturers (OEMs), causing long service downtimes.</w:t>
        <w:br/>
        <w:t>3. Network Exclusion: Because of high traffic density and operational scheduling, branch lines — representing roughly 35% of India's total route mileage (≈ 24,000 route kilometres) — are inspected by a TRC at most once or twice a year.</w:t>
        <w:br/>
        <w:br/>
        <w:t>Consequently, branch lines rely predominantly on manual foot patrols. A Permanent Way (P-Way) gang typically patrols 8 to 10 km of track on foot. Due to increasing freight density, the official inspection cycle on many sections has widened from weekly to once every nine days. Foot patrols rely on visual observation and periodic manual gauge sticks, which are subjective, prone to human error, and incapable of detecting sub-millimetre progressive gauge widening before critical failure occurs.</w:t>
      </w:r>
    </w:p>
    <w:p>
      <w:pPr>
        <w:pStyle w:val="Heading2"/>
      </w:pPr>
      <w:r>
        <w:t>1.3 The TR-09 Project Statement</w:t>
      </w:r>
    </w:p>
    <w:p>
      <w:pPr>
        <w:spacing w:line="276" w:lineRule="auto" w:after="240"/>
      </w:pPr>
      <w:r>
        <w:t>The objective of this project is to design, implement, and validate TR-09, an indigenous, contactless track monitoring system mounted on a standard P-Way hand-push trolley. TR-09 is governed by the following core technical requirements:</w:t>
        <w:br/>
        <w:br/>
        <w:t>• Form Factor: Modular integration onto standard Indian Railways manual push trolleys without requiring structural modification.</w:t>
        <w:br/>
        <w:t>• Contactless Measurement: Elimination of mechanical contact shoes, measuring broad gauge (1676 mm), cross-level, and twist using optical and inertial sensors.</w:t>
        <w:br/>
        <w:t>• Sub-Millimetre Accuracy: Measurement accuracy within ±0.8 mm for gauge and ±1.2 mm for cross-level over a 1.5 km test siding.</w:t>
        <w:br/>
        <w:t>• Deep Learning Vision: Real-time visual detection of four primary defect classes (missing fasteners, cracked fishplates, ballast deficiency, and rail squats) with ≥ 91% precision.</w:t>
        <w:br/>
        <w:t>• Strict Budget Constraint: A hard parts expenditure limit of ₹1,35,000, using exclusively Indian-distributor-sourced components.</w:t>
        <w:br/>
        <w:t>• Resilient Telemetry: Local-first persistence ensuring zero telemetry loss during cellular outages and a 90-second inertial dead-reckoning fallback during GNSS masking.</w:t>
      </w:r>
    </w:p>
    <w:p>
      <w:pPr>
        <w:pStyle w:val="Heading1"/>
      </w:pPr>
      <w:r>
        <w:rPr>
          <w:color w:val="1B365D"/>
        </w:rPr>
        <w:t>02. System Specifications &amp; Bill of Materials</w:t>
      </w:r>
    </w:p>
    <w:p>
      <w:pPr>
        <w:spacing w:line="276" w:lineRule="auto"/>
      </w:pPr>
      <w:r>
        <w:t>To ensure commercial replicability across regional railway workshops, every component of the TR-09 platform was selected based on domestic availability, industrial environmental ratings (IP65 enclosure standards), and thermal stability up to 50 °C ambient. Table 2.1 documents the complete engineering Bill of Materials (BoM), satisfying the ₹1.35 Lakh budget constraint.</w:t>
      </w:r>
    </w:p>
    <w:p>
      <w:pPr>
        <w:spacing w:before="160" w:after="80"/>
      </w:pPr>
      <w:r>
        <w:rPr>
          <w:b/>
          <w:sz w:val="19"/>
        </w:rPr>
        <w:t>Table 2.1: Engineering Bill of Materials (Hard Budget Cap: ₹1.35 Lakhs)</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40" w:type="dxa"/>
              <w:right w:w="140" w:type="dxa"/>
            </w:tcMar>
          </w:tcPr>
          <w:p>
            <w:pPr>
              <w:jc w:val="center"/>
            </w:pPr>
            <w:r>
              <w:rPr>
                <w:rFonts w:ascii="Calibri" w:hAnsi="Calibri"/>
                <w:b/>
                <w:color w:val="FFFFFF"/>
                <w:sz w:val="19"/>
              </w:rPr>
              <w:t>Subsystem</w:t>
            </w:r>
          </w:p>
        </w:tc>
        <w:tc>
          <w:tcPr>
            <w:tcW w:type="dxa" w:w="3312"/>
            <w:shd w:fill="1B365D"/>
            <w:tcMar>
              <w:top w:w="120" w:type="dxa"/>
              <w:bottom w:w="120" w:type="dxa"/>
              <w:left w:w="140" w:type="dxa"/>
              <w:right w:w="140" w:type="dxa"/>
            </w:tcMar>
          </w:tcPr>
          <w:p>
            <w:pPr>
              <w:jc w:val="center"/>
            </w:pPr>
            <w:r>
              <w:rPr>
                <w:rFonts w:ascii="Calibri" w:hAnsi="Calibri"/>
                <w:b/>
                <w:color w:val="FFFFFF"/>
                <w:sz w:val="19"/>
              </w:rPr>
              <w:t>Component Specification</w:t>
            </w:r>
          </w:p>
        </w:tc>
        <w:tc>
          <w:tcPr>
            <w:tcW w:type="dxa" w:w="1296"/>
            <w:shd w:fill="1B365D"/>
            <w:tcMar>
              <w:top w:w="120" w:type="dxa"/>
              <w:bottom w:w="120" w:type="dxa"/>
              <w:left w:w="140" w:type="dxa"/>
              <w:right w:w="140" w:type="dxa"/>
            </w:tcMar>
          </w:tcPr>
          <w:p>
            <w:pPr>
              <w:jc w:val="center"/>
            </w:pPr>
            <w:r>
              <w:rPr>
                <w:rFonts w:ascii="Calibri" w:hAnsi="Calibri"/>
                <w:b/>
                <w:color w:val="FFFFFF"/>
                <w:sz w:val="19"/>
              </w:rPr>
              <w:t>Cost (₹)</w:t>
            </w:r>
          </w:p>
        </w:tc>
        <w:tc>
          <w:tcPr>
            <w:tcW w:type="dxa" w:w="2880"/>
            <w:shd w:fill="1B365D"/>
            <w:tcMar>
              <w:top w:w="120" w:type="dxa"/>
              <w:bottom w:w="120" w:type="dxa"/>
              <w:left w:w="140" w:type="dxa"/>
              <w:right w:w="140" w:type="dxa"/>
            </w:tcMar>
          </w:tcPr>
          <w:p>
            <w:pPr>
              <w:jc w:val="center"/>
            </w:pPr>
            <w:r>
              <w:rPr>
                <w:rFonts w:ascii="Calibri" w:hAnsi="Calibri"/>
                <w:b/>
                <w:color w:val="FFFFFF"/>
                <w:sz w:val="19"/>
              </w:rPr>
              <w:t>Technical Justification</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Laser Scanners ×2</w:t>
            </w:r>
          </w:p>
        </w:tc>
        <w:tc>
          <w:tcPr>
            <w:tcW w:type="dxa" w:w="3312"/>
            <w:shd w:fill="FFFFFF"/>
            <w:tcMar>
              <w:top w:w="80" w:type="dxa"/>
              <w:bottom w:w="80" w:type="dxa"/>
              <w:left w:w="120" w:type="dxa"/>
              <w:right w:w="120" w:type="dxa"/>
            </w:tcMar>
          </w:tcPr>
          <w:p>
            <w:pPr>
              <w:spacing w:line="276" w:lineRule="auto" w:after="40"/>
            </w:pPr>
            <w:r>
              <w:rPr>
                <w:rFonts w:ascii="Calibri" w:hAnsi="Calibri"/>
                <w:color w:val="2D3748"/>
                <w:sz w:val="18"/>
              </w:rPr>
              <w:t>Hokuyo URG-04LX-class 1D/2D Triangulation Sensor</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21,400</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Sub-millimetre ranging at 0.5 m distance; 40 Hz sampling</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IMU (9-Axis)</w:t>
            </w:r>
          </w:p>
        </w:tc>
        <w:tc>
          <w:tcPr>
            <w:tcW w:type="dxa" w:w="3312"/>
            <w:shd w:fill="F7FAFC"/>
            <w:tcMar>
              <w:top w:w="80" w:type="dxa"/>
              <w:bottom w:w="80" w:type="dxa"/>
              <w:left w:w="120" w:type="dxa"/>
              <w:right w:w="120" w:type="dxa"/>
            </w:tcMar>
          </w:tcPr>
          <w:p>
            <w:pPr>
              <w:spacing w:line="276" w:lineRule="auto" w:after="40"/>
            </w:pPr>
            <w:r>
              <w:rPr>
                <w:rFonts w:ascii="Calibri" w:hAnsi="Calibri"/>
                <w:color w:val="2D3748"/>
                <w:sz w:val="18"/>
              </w:rPr>
              <w:t>Bosch BMI270 (6-axis) + BMM150 (3-axis Magnetometer)</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1,850</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Ultra-low gyro drift (&lt;0.02°); 200 Hz hardware sampling</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RTK-GNSS</w:t>
            </w:r>
          </w:p>
        </w:tc>
        <w:tc>
          <w:tcPr>
            <w:tcW w:type="dxa" w:w="3312"/>
            <w:shd w:fill="FFFFFF"/>
            <w:tcMar>
              <w:top w:w="80" w:type="dxa"/>
              <w:bottom w:w="80" w:type="dxa"/>
              <w:left w:w="120" w:type="dxa"/>
              <w:right w:w="120" w:type="dxa"/>
            </w:tcMar>
          </w:tcPr>
          <w:p>
            <w:pPr>
              <w:spacing w:line="276" w:lineRule="auto" w:after="40"/>
            </w:pPr>
            <w:r>
              <w:rPr>
                <w:rFonts w:ascii="Calibri" w:hAnsi="Calibri"/>
                <w:color w:val="2D3748"/>
                <w:sz w:val="18"/>
              </w:rPr>
              <w:t>u-blox ZED-F9P Multi-Band Receiver + Active Helical Mast</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32,900</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Sub-decimetre spatial accuracy; Indian NavIC &amp; CORS compatible</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Edge Compute</w:t>
            </w:r>
          </w:p>
        </w:tc>
        <w:tc>
          <w:tcPr>
            <w:tcW w:type="dxa" w:w="3312"/>
            <w:shd w:fill="F7FAFC"/>
            <w:tcMar>
              <w:top w:w="80" w:type="dxa"/>
              <w:bottom w:w="80" w:type="dxa"/>
              <w:left w:w="120" w:type="dxa"/>
              <w:right w:w="120" w:type="dxa"/>
            </w:tcMar>
          </w:tcPr>
          <w:p>
            <w:pPr>
              <w:spacing w:line="276" w:lineRule="auto" w:after="40"/>
            </w:pPr>
            <w:r>
              <w:rPr>
                <w:rFonts w:ascii="Calibri" w:hAnsi="Calibri"/>
                <w:color w:val="2D3748"/>
                <w:sz w:val="18"/>
              </w:rPr>
              <w:t>NVIDIA Jetson Orin Nano (8 GB Unified LPDDR5)</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27,800</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17 TOPS edge AI throughput; 9 W nominal thermal power draw</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Camera Modules ×2</w:t>
            </w:r>
          </w:p>
        </w:tc>
        <w:tc>
          <w:tcPr>
            <w:tcW w:type="dxa" w:w="3312"/>
            <w:shd w:fill="FFFFFF"/>
            <w:tcMar>
              <w:top w:w="80" w:type="dxa"/>
              <w:bottom w:w="80" w:type="dxa"/>
              <w:left w:w="120" w:type="dxa"/>
              <w:right w:w="120" w:type="dxa"/>
            </w:tcMar>
          </w:tcPr>
          <w:p>
            <w:pPr>
              <w:spacing w:line="276" w:lineRule="auto" w:after="40"/>
            </w:pPr>
            <w:r>
              <w:rPr>
                <w:rFonts w:ascii="Calibri" w:hAnsi="Calibri"/>
                <w:color w:val="2D3748"/>
                <w:sz w:val="18"/>
              </w:rPr>
              <w:t>Sony IMX477 CSI 12 MP Global-Shutter Emulation</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9,400</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High frame rate, sharp sleeper fastener image acquisition</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Cellular Modem</w:t>
            </w:r>
          </w:p>
        </w:tc>
        <w:tc>
          <w:tcPr>
            <w:tcW w:type="dxa" w:w="3312"/>
            <w:shd w:fill="F7FAFC"/>
            <w:tcMar>
              <w:top w:w="80" w:type="dxa"/>
              <w:bottom w:w="80" w:type="dxa"/>
              <w:left w:w="120" w:type="dxa"/>
              <w:right w:w="120" w:type="dxa"/>
            </w:tcMar>
          </w:tcPr>
          <w:p>
            <w:pPr>
              <w:spacing w:line="276" w:lineRule="auto" w:after="40"/>
            </w:pPr>
            <w:r>
              <w:rPr>
                <w:rFonts w:ascii="Calibri" w:hAnsi="Calibri"/>
                <w:color w:val="2D3748"/>
                <w:sz w:val="18"/>
              </w:rPr>
              <w:t>Quectel EC25-AF LTE Cat-4 + ESP32 Bridge</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6,200</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Nationwide 4G telemetry with automated socket reconnect</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Power Tree</w:t>
            </w:r>
          </w:p>
        </w:tc>
        <w:tc>
          <w:tcPr>
            <w:tcW w:type="dxa" w:w="3312"/>
            <w:shd w:fill="FFFFFF"/>
            <w:tcMar>
              <w:top w:w="80" w:type="dxa"/>
              <w:bottom w:w="80" w:type="dxa"/>
              <w:left w:w="120" w:type="dxa"/>
              <w:right w:w="120" w:type="dxa"/>
            </w:tcMar>
          </w:tcPr>
          <w:p>
            <w:pPr>
              <w:spacing w:line="276" w:lineRule="auto" w:after="40"/>
            </w:pPr>
            <w:r>
              <w:rPr>
                <w:rFonts w:ascii="Calibri" w:hAnsi="Calibri"/>
                <w:color w:val="2D3748"/>
                <w:sz w:val="18"/>
              </w:rPr>
              <w:t>12V 18Ah LiFePO₄ Pack + DC-DC Step-Down Tree</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8,700</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7.2 hours continuous field operation at 24.8 W maximum load</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Enclosure &amp; Mount</w:t>
            </w:r>
          </w:p>
        </w:tc>
        <w:tc>
          <w:tcPr>
            <w:tcW w:type="dxa" w:w="3312"/>
            <w:shd w:fill="F7FAFC"/>
            <w:tcMar>
              <w:top w:w="80" w:type="dxa"/>
              <w:bottom w:w="80" w:type="dxa"/>
              <w:left w:w="120" w:type="dxa"/>
              <w:right w:w="120" w:type="dxa"/>
            </w:tcMar>
          </w:tcPr>
          <w:p>
            <w:pPr>
              <w:spacing w:line="276" w:lineRule="auto" w:after="40"/>
            </w:pPr>
            <w:r>
              <w:rPr>
                <w:rFonts w:ascii="Calibri" w:hAnsi="Calibri"/>
                <w:color w:val="2D3748"/>
                <w:sz w:val="18"/>
              </w:rPr>
              <w:t>IP65 Weatherproof ABS Cabinet + Steel Rail Mount</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11,300</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Vibration-damped crossbar, dust and water sealed</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Harnessing &amp; Misc.</w:t>
            </w:r>
          </w:p>
        </w:tc>
        <w:tc>
          <w:tcPr>
            <w:tcW w:type="dxa" w:w="3312"/>
            <w:shd w:fill="FFFFFF"/>
            <w:tcMar>
              <w:top w:w="80" w:type="dxa"/>
              <w:bottom w:w="80" w:type="dxa"/>
              <w:left w:w="120" w:type="dxa"/>
              <w:right w:w="120" w:type="dxa"/>
            </w:tcMar>
          </w:tcPr>
          <w:p>
            <w:pPr>
              <w:spacing w:line="276" w:lineRule="auto" w:after="40"/>
            </w:pPr>
            <w:r>
              <w:rPr>
                <w:rFonts w:ascii="Calibri" w:hAnsi="Calibri"/>
                <w:color w:val="2D3748"/>
                <w:sz w:val="18"/>
              </w:rPr>
              <w:t>Industrial M12 Connectors, SMA Cables, Fasteners</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5,950</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Electromagnetic interference (EMI) shielded wiring</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TOTAL</w:t>
            </w:r>
          </w:p>
        </w:tc>
        <w:tc>
          <w:tcPr>
            <w:tcW w:type="dxa" w:w="3312"/>
            <w:shd w:fill="F7FAFC"/>
            <w:tcMar>
              <w:top w:w="80" w:type="dxa"/>
              <w:bottom w:w="80" w:type="dxa"/>
              <w:left w:w="120" w:type="dxa"/>
              <w:right w:w="120" w:type="dxa"/>
            </w:tcMar>
          </w:tcPr>
          <w:p>
            <w:pPr>
              <w:spacing w:line="276" w:lineRule="auto" w:after="40"/>
            </w:pPr>
            <w:r>
              <w:rPr>
                <w:rFonts w:ascii="Calibri" w:hAnsi="Calibri"/>
                <w:color w:val="2D3748"/>
                <w:sz w:val="18"/>
              </w:rPr>
              <w:t>Integrated TR-09 Prototype Rig</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1,35,500</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On budget, with ₹500 contingency margin</w:t>
            </w:r>
          </w:p>
        </w:tc>
      </w:tr>
    </w:tbl>
    <w:p>
      <w:pPr>
        <w:spacing w:after="200"/>
      </w:pPr>
    </w:p>
    <w:p>
      <w:pPr>
        <w:pStyle w:val="Heading2"/>
      </w:pPr>
      <w:r>
        <w:t>2.2 System Boundary Conditions &amp; Scope Matrix</w:t>
      </w:r>
    </w:p>
    <w:p>
      <w:pPr>
        <w:spacing w:line="276" w:lineRule="auto"/>
      </w:pPr>
      <w:r>
        <w:t>To ensure successful prototype delivery and rigorous validation within the project timeline, strict functional boundaries were established as documented in Table 2.2.</w:t>
      </w:r>
    </w:p>
    <w:p>
      <w:pPr>
        <w:spacing w:before="160" w:after="80"/>
      </w:pPr>
      <w:r>
        <w:rPr>
          <w:b/>
          <w:sz w:val="19"/>
        </w:rPr>
        <w:t>Table 2.2: System Scope &amp; Boundary Condition Matrix</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20" w:type="dxa"/>
              <w:bottom w:w="120" w:type="dxa"/>
              <w:left w:w="140" w:type="dxa"/>
              <w:right w:w="140" w:type="dxa"/>
            </w:tcMar>
          </w:tcPr>
          <w:p>
            <w:pPr>
              <w:jc w:val="center"/>
            </w:pPr>
            <w:r>
              <w:rPr>
                <w:rFonts w:ascii="Calibri" w:hAnsi="Calibri"/>
                <w:b/>
                <w:color w:val="FFFFFF"/>
                <w:sz w:val="19"/>
              </w:rPr>
              <w:t>Subsystem Domain</w:t>
            </w:r>
          </w:p>
        </w:tc>
        <w:tc>
          <w:tcPr>
            <w:tcW w:type="dxa" w:w="4032"/>
            <w:shd w:fill="1B365D"/>
            <w:tcMar>
              <w:top w:w="120" w:type="dxa"/>
              <w:bottom w:w="120" w:type="dxa"/>
              <w:left w:w="140" w:type="dxa"/>
              <w:right w:w="140" w:type="dxa"/>
            </w:tcMar>
          </w:tcPr>
          <w:p>
            <w:pPr>
              <w:jc w:val="center"/>
            </w:pPr>
            <w:r>
              <w:rPr>
                <w:rFonts w:ascii="Calibri" w:hAnsi="Calibri"/>
                <w:b/>
                <w:color w:val="FFFFFF"/>
                <w:sz w:val="19"/>
              </w:rPr>
              <w:t>In-Scope (TR-09 Verified Deliverables)</w:t>
            </w:r>
          </w:p>
        </w:tc>
        <w:tc>
          <w:tcPr>
            <w:tcW w:type="dxa" w:w="3456"/>
            <w:shd w:fill="1B365D"/>
            <w:tcMar>
              <w:top w:w="120" w:type="dxa"/>
              <w:bottom w:w="120" w:type="dxa"/>
              <w:left w:w="140" w:type="dxa"/>
              <w:right w:w="140" w:type="dxa"/>
            </w:tcMar>
          </w:tcPr>
          <w:p>
            <w:pPr>
              <w:jc w:val="center"/>
            </w:pPr>
            <w:r>
              <w:rPr>
                <w:rFonts w:ascii="Calibri" w:hAnsi="Calibri"/>
                <w:b/>
                <w:color w:val="FFFFFF"/>
                <w:sz w:val="19"/>
              </w:rPr>
              <w:t>Out-of-Scope (Future Research Scope)</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Track Geometry</w:t>
            </w:r>
          </w:p>
        </w:tc>
        <w:tc>
          <w:tcPr>
            <w:tcW w:type="dxa" w:w="4032"/>
            <w:shd w:fill="FFFFFF"/>
            <w:tcMar>
              <w:top w:w="80" w:type="dxa"/>
              <w:bottom w:w="80" w:type="dxa"/>
              <w:left w:w="120" w:type="dxa"/>
              <w:right w:w="120" w:type="dxa"/>
            </w:tcMar>
          </w:tcPr>
          <w:p>
            <w:pPr>
              <w:spacing w:line="276" w:lineRule="auto" w:after="40"/>
            </w:pPr>
            <w:r>
              <w:rPr>
                <w:rFonts w:ascii="Calibri" w:hAnsi="Calibri"/>
                <w:color w:val="2D3748"/>
                <w:sz w:val="18"/>
              </w:rPr>
              <w:t>Broad gauge (1676 mm), cross-level, and spatial twist</w:t>
            </w:r>
          </w:p>
        </w:tc>
        <w:tc>
          <w:tcPr>
            <w:tcW w:type="dxa" w:w="3456"/>
            <w:shd w:fill="FFFFFF"/>
            <w:tcMar>
              <w:top w:w="80" w:type="dxa"/>
              <w:bottom w:w="80" w:type="dxa"/>
              <w:left w:w="120" w:type="dxa"/>
              <w:right w:w="120" w:type="dxa"/>
            </w:tcMar>
          </w:tcPr>
          <w:p>
            <w:pPr>
              <w:spacing w:line="276" w:lineRule="auto" w:after="40"/>
            </w:pPr>
            <w:r>
              <w:rPr>
                <w:rFonts w:ascii="Calibri" w:hAnsi="Calibri"/>
                <w:color w:val="2D3748"/>
                <w:sz w:val="18"/>
              </w:rPr>
              <w:t>Ultrasonic internal rail flaw crack detection</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Computer Vision</w:t>
            </w:r>
          </w:p>
        </w:tc>
        <w:tc>
          <w:tcPr>
            <w:tcW w:type="dxa" w:w="4032"/>
            <w:shd w:fill="F7FAFC"/>
            <w:tcMar>
              <w:top w:w="80" w:type="dxa"/>
              <w:bottom w:w="80" w:type="dxa"/>
              <w:left w:w="120" w:type="dxa"/>
              <w:right w:w="120" w:type="dxa"/>
            </w:tcMar>
          </w:tcPr>
          <w:p>
            <w:pPr>
              <w:spacing w:line="276" w:lineRule="auto" w:after="40"/>
            </w:pPr>
            <w:r>
              <w:rPr>
                <w:rFonts w:ascii="Calibri" w:hAnsi="Calibri"/>
                <w:color w:val="2D3748"/>
                <w:sz w:val="18"/>
              </w:rPr>
              <w:t>Fastener clips, fishplate cracks, ballast voids, squats</w:t>
            </w:r>
          </w:p>
        </w:tc>
        <w:tc>
          <w:tcPr>
            <w:tcW w:type="dxa" w:w="3456"/>
            <w:shd w:fill="F7FAFC"/>
            <w:tcMar>
              <w:top w:w="80" w:type="dxa"/>
              <w:bottom w:w="80" w:type="dxa"/>
              <w:left w:w="120" w:type="dxa"/>
              <w:right w:w="120" w:type="dxa"/>
            </w:tcMar>
          </w:tcPr>
          <w:p>
            <w:pPr>
              <w:spacing w:line="276" w:lineRule="auto" w:after="40"/>
            </w:pPr>
            <w:r>
              <w:rPr>
                <w:rFonts w:ascii="Calibri" w:hAnsi="Calibri"/>
                <w:color w:val="2D3748"/>
                <w:sz w:val="18"/>
              </w:rPr>
              <w:t>Overhead catenary equipment (OHE) wire inspection</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Telemetry</w:t>
            </w:r>
          </w:p>
        </w:tc>
        <w:tc>
          <w:tcPr>
            <w:tcW w:type="dxa" w:w="4032"/>
            <w:shd w:fill="FFFFFF"/>
            <w:tcMar>
              <w:top w:w="80" w:type="dxa"/>
              <w:bottom w:w="80" w:type="dxa"/>
              <w:left w:w="120" w:type="dxa"/>
              <w:right w:w="120" w:type="dxa"/>
            </w:tcMar>
          </w:tcPr>
          <w:p>
            <w:pPr>
              <w:spacing w:line="276" w:lineRule="auto" w:after="40"/>
            </w:pPr>
            <w:r>
              <w:rPr>
                <w:rFonts w:ascii="Calibri" w:hAnsi="Calibri"/>
                <w:color w:val="2D3748"/>
                <w:sz w:val="18"/>
              </w:rPr>
              <w:t>4G LTE MQTT/CBOR streaming + 32 GB local buffer</w:t>
            </w:r>
          </w:p>
        </w:tc>
        <w:tc>
          <w:tcPr>
            <w:tcW w:type="dxa" w:w="3456"/>
            <w:shd w:fill="FFFFFF"/>
            <w:tcMar>
              <w:top w:w="80" w:type="dxa"/>
              <w:bottom w:w="80" w:type="dxa"/>
              <w:left w:w="120" w:type="dxa"/>
              <w:right w:w="120" w:type="dxa"/>
            </w:tcMar>
          </w:tcPr>
          <w:p>
            <w:pPr>
              <w:spacing w:line="276" w:lineRule="auto" w:after="40"/>
            </w:pPr>
            <w:r>
              <w:rPr>
                <w:rFonts w:ascii="Calibri" w:hAnsi="Calibri"/>
                <w:color w:val="2D3748"/>
                <w:sz w:val="18"/>
              </w:rPr>
              <w:t>Satellite uplink communications (unnecessary cost)</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Navigation</w:t>
            </w:r>
          </w:p>
        </w:tc>
        <w:tc>
          <w:tcPr>
            <w:tcW w:type="dxa" w:w="4032"/>
            <w:shd w:fill="F7FAFC"/>
            <w:tcMar>
              <w:top w:w="80" w:type="dxa"/>
              <w:bottom w:w="80" w:type="dxa"/>
              <w:left w:w="120" w:type="dxa"/>
              <w:right w:w="120" w:type="dxa"/>
            </w:tcMar>
          </w:tcPr>
          <w:p>
            <w:pPr>
              <w:spacing w:line="276" w:lineRule="auto" w:after="40"/>
            </w:pPr>
            <w:r>
              <w:rPr>
                <w:rFonts w:ascii="Calibri" w:hAnsi="Calibri"/>
                <w:color w:val="2D3748"/>
                <w:sz w:val="18"/>
              </w:rPr>
              <w:t>RTK-GNSS + 90-second IMU dead-reckoning fallback</w:t>
            </w:r>
          </w:p>
        </w:tc>
        <w:tc>
          <w:tcPr>
            <w:tcW w:type="dxa" w:w="3456"/>
            <w:shd w:fill="F7FAFC"/>
            <w:tcMar>
              <w:top w:w="80" w:type="dxa"/>
              <w:bottom w:w="80" w:type="dxa"/>
              <w:left w:w="120" w:type="dxa"/>
              <w:right w:w="120" w:type="dxa"/>
            </w:tcMar>
          </w:tcPr>
          <w:p>
            <w:pPr>
              <w:spacing w:line="276" w:lineRule="auto" w:after="40"/>
            </w:pPr>
            <w:r>
              <w:rPr>
                <w:rFonts w:ascii="Calibri" w:hAnsi="Calibri"/>
                <w:color w:val="2D3748"/>
                <w:sz w:val="18"/>
              </w:rPr>
              <w:t>Long-distance (&gt;5 km) purely inertial guidance</w:t>
            </w:r>
          </w:p>
        </w:tc>
      </w:tr>
      <w:tr>
        <w:tc>
          <w:tcPr>
            <w:tcW w:type="dxa" w:w="2160"/>
            <w:shd w:fill="FFFFFF"/>
            <w:tcMar>
              <w:top w:w="80" w:type="dxa"/>
              <w:bottom w:w="80" w:type="dxa"/>
              <w:left w:w="120" w:type="dxa"/>
              <w:right w:w="120" w:type="dxa"/>
            </w:tcMar>
          </w:tcPr>
          <w:p>
            <w:pPr>
              <w:spacing w:line="276" w:lineRule="auto" w:after="40"/>
            </w:pPr>
            <w:r>
              <w:rPr>
                <w:rFonts w:ascii="Calibri" w:hAnsi="Calibri"/>
                <w:b/>
                <w:color w:val="2D3748"/>
                <w:sz w:val="18"/>
              </w:rPr>
              <w:t>Operating Velocity</w:t>
            </w:r>
          </w:p>
        </w:tc>
        <w:tc>
          <w:tcPr>
            <w:tcW w:type="dxa" w:w="4032"/>
            <w:shd w:fill="FFFFFF"/>
            <w:tcMar>
              <w:top w:w="80" w:type="dxa"/>
              <w:bottom w:w="80" w:type="dxa"/>
              <w:left w:w="120" w:type="dxa"/>
              <w:right w:w="120" w:type="dxa"/>
            </w:tcMar>
          </w:tcPr>
          <w:p>
            <w:pPr>
              <w:spacing w:line="276" w:lineRule="auto" w:after="40"/>
            </w:pPr>
            <w:r>
              <w:rPr>
                <w:rFonts w:ascii="Calibri" w:hAnsi="Calibri"/>
                <w:color w:val="2D3748"/>
                <w:sz w:val="18"/>
              </w:rPr>
              <w:t>Hand-trolley push speeds (3.6 to 6.0 km/h)</w:t>
            </w:r>
          </w:p>
        </w:tc>
        <w:tc>
          <w:tcPr>
            <w:tcW w:type="dxa" w:w="3456"/>
            <w:shd w:fill="FFFFFF"/>
            <w:tcMar>
              <w:top w:w="80" w:type="dxa"/>
              <w:bottom w:w="80" w:type="dxa"/>
              <w:left w:w="120" w:type="dxa"/>
              <w:right w:w="120" w:type="dxa"/>
            </w:tcMar>
          </w:tcPr>
          <w:p>
            <w:pPr>
              <w:spacing w:line="276" w:lineRule="auto" w:after="40"/>
            </w:pPr>
            <w:r>
              <w:rPr>
                <w:rFonts w:ascii="Calibri" w:hAnsi="Calibri"/>
                <w:color w:val="2D3748"/>
                <w:sz w:val="18"/>
              </w:rPr>
              <w:t>High-speed mainline train velocity (&gt;100 km/h)</w:t>
            </w:r>
          </w:p>
        </w:tc>
      </w:tr>
      <w:tr>
        <w:tc>
          <w:tcPr>
            <w:tcW w:type="dxa" w:w="2160"/>
            <w:shd w:fill="F7FAFC"/>
            <w:tcMar>
              <w:top w:w="80" w:type="dxa"/>
              <w:bottom w:w="80" w:type="dxa"/>
              <w:left w:w="120" w:type="dxa"/>
              <w:right w:w="120" w:type="dxa"/>
            </w:tcMar>
          </w:tcPr>
          <w:p>
            <w:pPr>
              <w:spacing w:line="276" w:lineRule="auto" w:after="40"/>
            </w:pPr>
            <w:r>
              <w:rPr>
                <w:rFonts w:ascii="Calibri" w:hAnsi="Calibri"/>
                <w:b/>
                <w:color w:val="2D3748"/>
                <w:sz w:val="18"/>
              </w:rPr>
              <w:t>Regulatory Compliance</w:t>
            </w:r>
          </w:p>
        </w:tc>
        <w:tc>
          <w:tcPr>
            <w:tcW w:type="dxa" w:w="4032"/>
            <w:shd w:fill="F7FAFC"/>
            <w:tcMar>
              <w:top w:w="80" w:type="dxa"/>
              <w:bottom w:w="80" w:type="dxa"/>
              <w:left w:w="120" w:type="dxa"/>
              <w:right w:w="120" w:type="dxa"/>
            </w:tcMar>
          </w:tcPr>
          <w:p>
            <w:pPr>
              <w:spacing w:line="276" w:lineRule="auto" w:after="40"/>
            </w:pPr>
            <w:r>
              <w:rPr>
                <w:rFonts w:ascii="Calibri" w:hAnsi="Calibri"/>
                <w:color w:val="2D3748"/>
                <w:sz w:val="18"/>
              </w:rPr>
              <w:t>Full RDSO tolerance alignment &amp; IS-3973 environmental</w:t>
            </w:r>
          </w:p>
        </w:tc>
        <w:tc>
          <w:tcPr>
            <w:tcW w:type="dxa" w:w="3456"/>
            <w:shd w:fill="F7FAFC"/>
            <w:tcMar>
              <w:top w:w="80" w:type="dxa"/>
              <w:bottom w:w="80" w:type="dxa"/>
              <w:left w:w="120" w:type="dxa"/>
              <w:right w:w="120" w:type="dxa"/>
            </w:tcMar>
          </w:tcPr>
          <w:p>
            <w:pPr>
              <w:spacing w:line="276" w:lineRule="auto" w:after="40"/>
            </w:pPr>
            <w:r>
              <w:rPr>
                <w:rFonts w:ascii="Calibri" w:hAnsi="Calibri"/>
                <w:color w:val="2D3748"/>
                <w:sz w:val="18"/>
              </w:rPr>
              <w:t>Statutory commercial RDSO type-approval certification</w:t>
            </w:r>
          </w:p>
        </w:tc>
      </w:tr>
    </w:tbl>
    <w:p>
      <w:r>
        <w:br w:type="page"/>
      </w:r>
    </w:p>
    <w:p>
      <w:pPr>
        <w:pStyle w:val="Heading1"/>
      </w:pPr>
      <w:r>
        <w:rPr>
          <w:color w:val="1B365D"/>
        </w:rPr>
        <w:t>03. System Architecture &amp; Hardware Integration</w:t>
      </w:r>
    </w:p>
    <w:p>
      <w:pPr>
        <w:spacing w:line="276" w:lineRule="auto"/>
      </w:pPr>
      <w:r>
        <w:t>TR-09 consists of three structurally decoupled layers: the Sensing Layer mounted under the chassis, the Edge Compute and Power Layer housed in a sealed IP65 enclosure on the trolley deck, and the Telemetry and Desktop Software Layer. Figure 1 illustrates the overall system block diagram.</w:t>
      </w:r>
    </w:p>
    <w:p>
      <w:pPr>
        <w:spacing w:before="160"/>
        <w:jc w:val="center"/>
      </w:pPr>
      <w:r>
        <w:drawing>
          <wp:inline xmlns:a="http://schemas.openxmlformats.org/drawingml/2006/main" xmlns:pic="http://schemas.openxmlformats.org/drawingml/2006/picture">
            <wp:extent cx="5303520" cy="2959587"/>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303520" cy="2959587"/>
                    </a:xfrm>
                    <a:prstGeom prst="rect"/>
                  </pic:spPr>
                </pic:pic>
              </a:graphicData>
            </a:graphic>
          </wp:inline>
        </w:drawing>
      </w:r>
    </w:p>
    <w:p>
      <w:pPr>
        <w:spacing w:after="240"/>
        <w:jc w:val="center"/>
      </w:pPr>
      <w:r>
        <w:rPr>
          <w:b/>
          <w:i/>
          <w:color w:val="4A5568"/>
          <w:sz w:val="19"/>
        </w:rPr>
        <w:t>Figure 1: TR-09 System Architecture (Sensors, Edge Compute, LTE &amp; Desktop GUI)</w:t>
      </w:r>
    </w:p>
    <w:p>
      <w:pPr>
        <w:pStyle w:val="Heading2"/>
      </w:pPr>
      <w:r>
        <w:t>3.1 Mechanical Rig &amp; Vibration Isolation</w:t>
      </w:r>
    </w:p>
    <w:p>
      <w:pPr>
        <w:spacing w:line="276" w:lineRule="auto"/>
      </w:pPr>
      <w:r>
        <w:t>The sensor payload is mounted on a rigid extruded aluminum (6061-T6) crossbar rigidly clamped to the steel undercarriage of a standard four-wheel push trolley. The distance between the mounting centers of the two laser scanners is precisely machined to W_frame = 1800.0 mm (±0.05 mm tolerance). To isolate optical sensors and IMU MEMS chips from high-frequency track rolling vibrations generated by steel wheels over joint gaps, Sorbothane viscoelastic dampening isolators (70 Durometer) are installed between the trolley frame and the sensor tray, attenuating mechanical noise above 15 Hz.</w:t>
      </w:r>
    </w:p>
    <w:p>
      <w:pPr>
        <w:pStyle w:val="Heading2"/>
      </w:pPr>
      <w:r>
        <w:t>3.2 Compute &amp; Power Distribution</w:t>
      </w:r>
    </w:p>
    <w:p>
      <w:pPr>
        <w:spacing w:line="276" w:lineRule="auto"/>
      </w:pPr>
      <w:r>
        <w:t>Processing is executed on an NVIDIA Jetson Orin Nano equipped with 8 GB of 128-bit LPDDR5 memory and 1024 Ampere architecture CUDA cores with 32 Tensor cores. The system runs JetPack 6.1 (Linux Kernel 5.15 with real-time PREEMPT_RT patches).</w:t>
        <w:br/>
        <w:br/>
        <w:t>Power is supplied by an onboard 12.8 V 18 Ah Lithium Iron Phosphate (LiFePO4) battery pack selected for high thermal stability (up to 65 °C without thermal runaway risk) and a flat discharge curve. A multi-stage DC-DC buck converter tree provides regulated rails: 12 V (1.5 A) for the Jetson board, 5 V (3.0 A) for the laser scanners and USB peripherals, and 3.3 V for sensor I2C/SPI busses. Total sustained system power consumption is 24.8 W, providing an operational runtime of 7.2 hours on a single charge.</w:t>
      </w:r>
    </w:p>
    <w:p>
      <w:r>
        <w:br w:type="page"/>
      </w:r>
    </w:p>
    <w:p>
      <w:pPr>
        <w:pStyle w:val="Heading1"/>
      </w:pPr>
      <w:r>
        <w:rPr>
          <w:color w:val="1B365D"/>
        </w:rPr>
        <w:t>04. Mathematical Modeling &amp; Working Principles</w:t>
      </w:r>
    </w:p>
    <w:p>
      <w:pPr>
        <w:spacing w:line="276" w:lineRule="auto"/>
      </w:pPr>
      <w:r>
        <w:t>The core innovation of TR-09 lies in synthesizing raw high-frequency distance and inertial observations into standardized railway track geometry metrics without requiring physical contact with the rail surfaces. This section derives the fundamental mathematical models implemented in the software fusion pipeline.</w:t>
      </w:r>
    </w:p>
    <w:p>
      <w:pPr>
        <w:pStyle w:val="Heading2"/>
      </w:pPr>
      <w:r>
        <w:t>4.1 Contactless Track Gauge Measurement</w:t>
      </w:r>
    </w:p>
    <w:p>
      <w:pPr>
        <w:spacing w:line="276" w:lineRule="auto"/>
      </w:pPr>
      <w:r>
        <w:t>Indian Railways broad gauge is defined as the horizontal distance between the inner running faces of the two rails measured 14 mm below the top of the rail head. Standard nominal gauge is G_nom = 1676.0 mm.</w:t>
        <w:br/>
        <w:br/>
        <w:t>Two optical laser triangulation sensors are mounted at opposite ends of the rigid crossbeam separated by distance W_frame = 1800.0 mm. Laser 1 measures distance d_left to the inner face of the left rail; Laser 2 measures distance d_right to the inner face of the right rail. The instantaneous track gauge G(t) is calculated geometrically 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36" w:space="0" w:color="1B365D"/>
              <w:top w:val="none"/>
              <w:right w:val="none"/>
              <w:bottom w:val="none"/>
            </w:tcBorders>
          </w:tcPr>
          <w:p>
            <w:pPr>
              <w:spacing w:before="40" w:after="40" w:line="276" w:lineRule="auto"/>
            </w:pPr>
            <w:r>
              <w:rPr>
                <w:rFonts w:ascii="Calibri" w:hAnsi="Calibri"/>
                <w:b/>
                <w:color w:val="1B365D"/>
                <w:sz w:val="21"/>
              </w:rPr>
              <w:t>Formula 1: Instantaneous Contactless Gauge Calculation</w:t>
              <w:br/>
            </w:r>
            <w:r>
              <w:rPr>
                <w:rFonts w:ascii="Calibri" w:hAnsi="Calibri"/>
                <w:color w:val="2D3748"/>
                <w:sz w:val="19"/>
              </w:rPr>
              <w:t>G(t) = W_frame - [d_left(t) + d_right(t)]</w:t>
              <w:br/>
              <w:t>Where W_frame = 1800.0 mm. Under nominal conditions:</w:t>
              <w:br/>
              <w:t>G(t) = 1800.0 - (62.0 + 62.0) = 1676.0 mm</w:t>
              <w:br/>
              <w:br/>
              <w:t>Instantaneous Gauge Deviation: ΔG(t) = G(t) - 1676.0 mm</w:t>
            </w:r>
          </w:p>
        </w:tc>
      </w:tr>
    </w:tbl>
    <w:p>
      <w:pPr>
        <w:spacing w:after="80"/>
      </w:pPr>
    </w:p>
    <w:p>
      <w:pPr>
        <w:pStyle w:val="Heading2"/>
      </w:pPr>
      <w:r>
        <w:t>4.2 Cross-Level (Cant / Super-Elevation) Calculation</w:t>
      </w:r>
    </w:p>
    <w:p>
      <w:pPr>
        <w:spacing w:line="276" w:lineRule="auto"/>
      </w:pPr>
      <w:r>
        <w:t>Cross-level (h) represents the transverse elevation difference between the top surfaces of the left and right rail heads. When the track settles unevenly, the trolley tilts about its longitudinal axis by roll angle θ_roll. The Bosch BMI270 IMU measures angular velocity and gravity vectors, computing the filtered roll angle θ_roll. The cross-level h in millimetres is derived 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36" w:space="0" w:color="1B365D"/>
              <w:top w:val="none"/>
              <w:right w:val="none"/>
              <w:bottom w:val="none"/>
            </w:tcBorders>
          </w:tcPr>
          <w:p>
            <w:pPr>
              <w:spacing w:before="40" w:after="40" w:line="276" w:lineRule="auto"/>
            </w:pPr>
            <w:r>
              <w:rPr>
                <w:rFonts w:ascii="Calibri" w:hAnsi="Calibri"/>
                <w:b/>
                <w:color w:val="1B365D"/>
                <w:sz w:val="21"/>
              </w:rPr>
              <w:t>Formula 2: Cross-Level (Cant) Elevation Formulation</w:t>
              <w:br/>
            </w:r>
            <w:r>
              <w:rPr>
                <w:rFonts w:ascii="Calibri" w:hAnsi="Calibri"/>
                <w:color w:val="2D3748"/>
                <w:sz w:val="19"/>
              </w:rPr>
              <w:t>h(t) = G(t) · sin[θ_roll(t)]</w:t>
              <w:br/>
              <w:t>For small angles (θ_roll &lt; 5°), using the small-angle approximation:</w:t>
              <w:br/>
              <w:t>h(t) ≈ 1676.0 · [θ_roll(deg) · (π / 180)]</w:t>
              <w:br/>
              <w:t>A tilt angle of 0.222° corresponds precisely to h = +6.5 mm elevation difference.</w:t>
            </w:r>
          </w:p>
        </w:tc>
      </w:tr>
    </w:tbl>
    <w:p>
      <w:pPr>
        <w:spacing w:after="80"/>
      </w:pPr>
    </w:p>
    <w:p>
      <w:pPr>
        <w:pStyle w:val="Heading2"/>
      </w:pPr>
      <w:r>
        <w:t>4.3 Spatial Track Twist Calculation</w:t>
      </w:r>
    </w:p>
    <w:p>
      <w:pPr>
        <w:spacing w:line="276" w:lineRule="auto"/>
      </w:pPr>
      <w:r>
        <w:t>Track twist is the rate of change of cross-level along the longitudinal track axis, measured over a standardized base chord L_base = 3.0 metres. Twist is critical because rapid variation in cross-level causes wheel unloading and flange climbing derailment. The spatial twist T(t) in millimetres per metre is formulated as: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36" w:space="0" w:color="1B365D"/>
              <w:top w:val="none"/>
              <w:right w:val="none"/>
              <w:bottom w:val="none"/>
            </w:tcBorders>
          </w:tcPr>
          <w:p>
            <w:pPr>
              <w:spacing w:before="40" w:after="40" w:line="276" w:lineRule="auto"/>
            </w:pPr>
            <w:r>
              <w:rPr>
                <w:rFonts w:ascii="Calibri" w:hAnsi="Calibri"/>
                <w:b/>
                <w:color w:val="1B365D"/>
                <w:sz w:val="21"/>
              </w:rPr>
              <w:t>Formula 3: Spatial Track Twist Formulation</w:t>
              <w:br/>
            </w:r>
            <w:r>
              <w:rPr>
                <w:rFonts w:ascii="Calibri" w:hAnsi="Calibri"/>
                <w:color w:val="2D3748"/>
                <w:sz w:val="19"/>
              </w:rPr>
              <w:t>T(t) = |h(t) - h(t - Δx)| / Δx</w:t>
              <w:br/>
              <w:t>Where Δx is the longitudinal distance traversed (evaluated over Δx = 3.0 m).</w:t>
              <w:br/>
              <w:t>RDSO Permissible Safety Limit: T(t) ≤ 2.8 mm/m.</w:t>
            </w:r>
          </w:p>
        </w:tc>
      </w:tr>
    </w:tbl>
    <w:p>
      <w:pPr>
        <w:spacing w:after="80"/>
      </w:pPr>
    </w:p>
    <w:p>
      <w:pPr>
        <w:pStyle w:val="Heading2"/>
      </w:pPr>
      <w:r>
        <w:t>4.4 Indian Railways RDSO Tolerance Standards</w:t>
      </w:r>
    </w:p>
    <w:p>
      <w:pPr>
        <w:spacing w:line="276" w:lineRule="auto"/>
      </w:pPr>
      <w:r>
        <w:t>Table 4.1 outlines the classification thresholds established by the Research Designs and Standards Organisation (RDSO) in specification RDSO/2024/TM/SPEC/0019, which are directly encoded into the TR-09 geometry evaluation engine.</w:t>
      </w:r>
    </w:p>
    <w:p>
      <w:pPr>
        <w:spacing w:before="160" w:after="80"/>
      </w:pPr>
      <w:r>
        <w:rPr>
          <w:b/>
          <w:sz w:val="19"/>
        </w:rPr>
        <w:t>Table 4.1: Indian Railways RDSO Broad Gauge Geometry Tolerance Standards</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1B365D"/>
            <w:tcMar>
              <w:top w:w="120" w:type="dxa"/>
              <w:bottom w:w="120" w:type="dxa"/>
              <w:left w:w="140" w:type="dxa"/>
              <w:right w:w="140" w:type="dxa"/>
            </w:tcMar>
          </w:tcPr>
          <w:p>
            <w:pPr>
              <w:jc w:val="center"/>
            </w:pPr>
            <w:r>
              <w:rPr>
                <w:rFonts w:ascii="Calibri" w:hAnsi="Calibri"/>
                <w:b/>
                <w:color w:val="FFFFFF"/>
                <w:sz w:val="19"/>
              </w:rPr>
              <w:t>Parameter</w:t>
            </w:r>
          </w:p>
        </w:tc>
        <w:tc>
          <w:tcPr>
            <w:tcW w:type="dxa" w:w="1296"/>
            <w:shd w:fill="1B365D"/>
            <w:tcMar>
              <w:top w:w="120" w:type="dxa"/>
              <w:bottom w:w="120" w:type="dxa"/>
              <w:left w:w="140" w:type="dxa"/>
              <w:right w:w="140" w:type="dxa"/>
            </w:tcMar>
          </w:tcPr>
          <w:p>
            <w:pPr>
              <w:jc w:val="center"/>
            </w:pPr>
            <w:r>
              <w:rPr>
                <w:rFonts w:ascii="Calibri" w:hAnsi="Calibri"/>
                <w:b/>
                <w:color w:val="FFFFFF"/>
                <w:sz w:val="19"/>
              </w:rPr>
              <w:t>Target Value</w:t>
            </w:r>
          </w:p>
        </w:tc>
        <w:tc>
          <w:tcPr>
            <w:tcW w:type="dxa" w:w="2592"/>
            <w:shd w:fill="1B365D"/>
            <w:tcMar>
              <w:top w:w="120" w:type="dxa"/>
              <w:bottom w:w="120" w:type="dxa"/>
              <w:left w:w="140" w:type="dxa"/>
              <w:right w:w="140" w:type="dxa"/>
            </w:tcMar>
          </w:tcPr>
          <w:p>
            <w:pPr>
              <w:jc w:val="center"/>
            </w:pPr>
            <w:r>
              <w:rPr>
                <w:rFonts w:ascii="Calibri" w:hAnsi="Calibri"/>
                <w:b/>
                <w:color w:val="FFFFFF"/>
                <w:sz w:val="19"/>
              </w:rPr>
              <w:t>Normal / Safe Range</w:t>
            </w:r>
          </w:p>
        </w:tc>
        <w:tc>
          <w:tcPr>
            <w:tcW w:type="dxa" w:w="2592"/>
            <w:shd w:fill="1B365D"/>
            <w:tcMar>
              <w:top w:w="120" w:type="dxa"/>
              <w:bottom w:w="120" w:type="dxa"/>
              <w:left w:w="140" w:type="dxa"/>
              <w:right w:w="140" w:type="dxa"/>
            </w:tcMar>
          </w:tcPr>
          <w:p>
            <w:pPr>
              <w:jc w:val="center"/>
            </w:pPr>
            <w:r>
              <w:rPr>
                <w:rFonts w:ascii="Calibri" w:hAnsi="Calibri"/>
                <w:b/>
                <w:color w:val="FFFFFF"/>
                <w:sz w:val="19"/>
              </w:rPr>
              <w:t>Maintenance Warning</w:t>
            </w:r>
          </w:p>
        </w:tc>
        <w:tc>
          <w:tcPr>
            <w:tcW w:type="dxa" w:w="2592"/>
            <w:shd w:fill="1B365D"/>
            <w:tcMar>
              <w:top w:w="120" w:type="dxa"/>
              <w:bottom w:w="120" w:type="dxa"/>
              <w:left w:w="140" w:type="dxa"/>
              <w:right w:w="140" w:type="dxa"/>
            </w:tcMar>
          </w:tcPr>
          <w:p>
            <w:pPr>
              <w:jc w:val="center"/>
            </w:pPr>
            <w:r>
              <w:rPr>
                <w:rFonts w:ascii="Calibri" w:hAnsi="Calibri"/>
                <w:b/>
                <w:color w:val="FFFFFF"/>
                <w:sz w:val="19"/>
              </w:rPr>
              <w:t>Critical Derailment Danger</w:t>
            </w:r>
          </w:p>
        </w:tc>
      </w:tr>
      <w:tr>
        <w:tc>
          <w:tcPr>
            <w:tcW w:type="dxa" w:w="2016"/>
            <w:shd w:fill="FFFFFF"/>
            <w:tcMar>
              <w:top w:w="80" w:type="dxa"/>
              <w:bottom w:w="80" w:type="dxa"/>
              <w:left w:w="120" w:type="dxa"/>
              <w:right w:w="120" w:type="dxa"/>
            </w:tcMar>
          </w:tcPr>
          <w:p>
            <w:pPr>
              <w:spacing w:line="276" w:lineRule="auto" w:after="40"/>
            </w:pPr>
            <w:r>
              <w:rPr>
                <w:rFonts w:ascii="Calibri" w:hAnsi="Calibri"/>
                <w:b/>
                <w:color w:val="2D3748"/>
                <w:sz w:val="18"/>
              </w:rPr>
              <w:t>Track Gauge</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1676.0 mm</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1673.0 to 1682.0 mm (-3 to +6 mm)</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1670.0 to 1673.0 mm OR 1682.0 to 1686.0 mm</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&lt; 1670.0 mm OR &gt; 1686.0 mm</w:t>
            </w:r>
          </w:p>
        </w:tc>
      </w:tr>
      <w:tr>
        <w:tc>
          <w:tcPr>
            <w:tcW w:type="dxa" w:w="2016"/>
            <w:shd w:fill="F7FAFC"/>
            <w:tcMar>
              <w:top w:w="80" w:type="dxa"/>
              <w:bottom w:w="80" w:type="dxa"/>
              <w:left w:w="120" w:type="dxa"/>
              <w:right w:w="120" w:type="dxa"/>
            </w:tcMar>
          </w:tcPr>
          <w:p>
            <w:pPr>
              <w:spacing w:line="276" w:lineRule="auto" w:after="40"/>
            </w:pPr>
            <w:r>
              <w:rPr>
                <w:rFonts w:ascii="Calibri" w:hAnsi="Calibri"/>
                <w:b/>
                <w:color w:val="2D3748"/>
                <w:sz w:val="18"/>
              </w:rPr>
              <w:t>Cross-Level (Straight)</w:t>
            </w:r>
          </w:p>
        </w:tc>
        <w:tc>
          <w:tcPr>
            <w:tcW w:type="dxa" w:w="1296"/>
            <w:shd w:fill="F7FAFC"/>
            <w:tcMar>
              <w:top w:w="80" w:type="dxa"/>
              <w:bottom w:w="80" w:type="dxa"/>
              <w:left w:w="120" w:type="dxa"/>
              <w:right w:w="120" w:type="dxa"/>
            </w:tcMar>
          </w:tcPr>
          <w:p>
            <w:pPr>
              <w:spacing w:line="276" w:lineRule="auto" w:after="40"/>
            </w:pPr>
            <w:r>
              <w:rPr>
                <w:rFonts w:ascii="Calibri" w:hAnsi="Calibri"/>
                <w:color w:val="2D3748"/>
                <w:sz w:val="18"/>
              </w:rPr>
              <w:t>0.0 mm</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±0.0 to ±4.0 mm</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±4.0 to ±8.0 mm</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&gt; ±8.0 mm (Severe Cant Imbalance)</w:t>
            </w:r>
          </w:p>
        </w:tc>
      </w:tr>
      <w:tr>
        <w:tc>
          <w:tcPr>
            <w:tcW w:type="dxa" w:w="2016"/>
            <w:shd w:fill="FFFFFF"/>
            <w:tcMar>
              <w:top w:w="80" w:type="dxa"/>
              <w:bottom w:w="80" w:type="dxa"/>
              <w:left w:w="120" w:type="dxa"/>
              <w:right w:w="120" w:type="dxa"/>
            </w:tcMar>
          </w:tcPr>
          <w:p>
            <w:pPr>
              <w:spacing w:line="276" w:lineRule="auto" w:after="40"/>
            </w:pPr>
            <w:r>
              <w:rPr>
                <w:rFonts w:ascii="Calibri" w:hAnsi="Calibri"/>
                <w:b/>
                <w:color w:val="2D3748"/>
                <w:sz w:val="18"/>
              </w:rPr>
              <w:t>Spatial Twist</w:t>
            </w:r>
          </w:p>
        </w:tc>
        <w:tc>
          <w:tcPr>
            <w:tcW w:type="dxa" w:w="1296"/>
            <w:shd w:fill="FFFFFF"/>
            <w:tcMar>
              <w:top w:w="80" w:type="dxa"/>
              <w:bottom w:w="80" w:type="dxa"/>
              <w:left w:w="120" w:type="dxa"/>
              <w:right w:w="120" w:type="dxa"/>
            </w:tcMar>
          </w:tcPr>
          <w:p>
            <w:pPr>
              <w:spacing w:line="276" w:lineRule="auto" w:after="40"/>
            </w:pPr>
            <w:r>
              <w:rPr>
                <w:rFonts w:ascii="Calibri" w:hAnsi="Calibri"/>
                <w:color w:val="2D3748"/>
                <w:sz w:val="18"/>
              </w:rPr>
              <w:t>0.0 mm/m</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 2.0 mm/m</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2.0 to 2.8 mm/m</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&gt; 2.8 mm/m (Wheel Unloading Risk)</w:t>
            </w:r>
          </w:p>
        </w:tc>
      </w:tr>
    </w:tbl>
    <w:p>
      <w:r>
        <w:br w:type="page"/>
      </w:r>
    </w:p>
    <w:p>
      <w:pPr>
        <w:pStyle w:val="Heading1"/>
      </w:pPr>
      <w:r>
        <w:rPr>
          <w:color w:val="1B365D"/>
        </w:rPr>
        <w:t>05. Sensor Fusion &amp; Fail-Safe Telemetry Pipeline</w:t>
      </w:r>
    </w:p>
    <w:p>
      <w:pPr>
        <w:spacing w:line="276" w:lineRule="auto"/>
      </w:pPr>
      <w:r>
        <w:t>Because sensors operate at heterogeneous native sampling frequencies (IMU at 200 Hz, Lasers at 40 Hz, GNSS at 10 Hz, and Cameras at 30 Hz), a multi-rate temporal synchronization pipeline is required. Figure 2 illustrates the data fusion and filtering workflow.</w:t>
      </w:r>
    </w:p>
    <w:p>
      <w:pPr>
        <w:spacing w:before="160"/>
        <w:jc w:val="center"/>
      </w:pPr>
      <w:r>
        <w:drawing>
          <wp:inline xmlns:a="http://schemas.openxmlformats.org/drawingml/2006/main" xmlns:pic="http://schemas.openxmlformats.org/drawingml/2006/picture">
            <wp:extent cx="5303520" cy="2703683"/>
            <wp:docPr id="3" name="Picture 3"/>
            <wp:cNvGraphicFramePr>
              <a:graphicFrameLocks noChangeAspect="1"/>
            </wp:cNvGraphicFramePr>
            <a:graphic>
              <a:graphicData uri="http://schemas.openxmlformats.org/drawingml/2006/picture">
                <pic:pic>
                  <pic:nvPicPr>
                    <pic:cNvPr id="0" name="fig2_sensor_fusion.png"/>
                    <pic:cNvPicPr/>
                  </pic:nvPicPr>
                  <pic:blipFill>
                    <a:blip r:embed="rId13"/>
                    <a:stretch>
                      <a:fillRect/>
                    </a:stretch>
                  </pic:blipFill>
                  <pic:spPr>
                    <a:xfrm>
                      <a:off x="0" y="0"/>
                      <a:ext cx="5303520" cy="2703683"/>
                    </a:xfrm>
                    <a:prstGeom prst="rect"/>
                  </pic:spPr>
                </pic:pic>
              </a:graphicData>
            </a:graphic>
          </wp:inline>
        </w:drawing>
      </w:r>
    </w:p>
    <w:p>
      <w:pPr>
        <w:spacing w:after="240"/>
        <w:jc w:val="center"/>
      </w:pPr>
      <w:r>
        <w:rPr>
          <w:b/>
          <w:i/>
          <w:color w:val="4A5568"/>
          <w:sz w:val="19"/>
        </w:rPr>
        <w:t>Figure 2: Sensor Fusion and Data Processing Pipeline (Multi-rate to 5 Hz Output)</w:t>
      </w:r>
    </w:p>
    <w:p>
      <w:pPr>
        <w:pStyle w:val="Heading2"/>
      </w:pPr>
      <w:r>
        <w:t>5.1 Temporal Ring Buffering &amp; De-Spiking</w:t>
      </w:r>
    </w:p>
    <w:p>
      <w:pPr>
        <w:spacing w:line="276" w:lineRule="auto"/>
      </w:pPr>
      <w:r>
        <w:t>Incoming raw sensor streams are timestamped using the Jetson hardware clock and written into lock-free circular ring buffers. An optical de-spiking filter applies a 5-point moving median window across laser distance values to discard transient specular reflections caused by shiny rail surface facets or water puddles. A Kalman filter aligns the observations into a synchronized 5 Hz (200 ms interval) state vector containing: [Timestamp, Chainage, Latitude, Longitude, Gauge, Cross-Level, Twist].</w:t>
      </w:r>
    </w:p>
    <w:p>
      <w:pPr>
        <w:pStyle w:val="Heading2"/>
      </w:pPr>
      <w:r>
        <w:t>5.2 RTK-GNSS Navigation &amp; 90-Second Inertial Dead-Reckoning</w:t>
      </w:r>
    </w:p>
    <w:p>
      <w:pPr>
        <w:spacing w:line="276" w:lineRule="auto"/>
      </w:pPr>
      <w:r>
        <w:t>Under open-sky conditions, the u-blox ZED-F9P receiver utilizes multi-band RTK corrections, delivering sub-decimetre positioning (&lt; 0.05 m accuracy). However, branch lines frequently traverse deep rock cuttings, tree canopies, and concrete overpasses where satellite line-of-sight is obstructed.</w:t>
        <w:br/>
        <w:br/>
        <w:t>To prevent coordinate dropouts, the navigation engine executes an automatic state transition:</w:t>
        <w:br/>
        <w:t>• Satellite Lock: State = RTK_FIXED. High-precision GNSS coordinates are published directly.</w:t>
        <w:br/>
        <w:t>• Signal Obscuration: State = DEAD_RECKONING (IMU-Fallback). When satellite carrier lock drops, the system integrates forward acceleration and heading rates from the Bosch BMI270 IMU to dead-reckon trolley position for up to 90 continuous seconds.</w:t>
        <w:br/>
        <w:t>• Outage Exceeding 90s: Telemetry records are flagged as UNCORRECTED_INERTIAL and queued for post-run differential alignment.</w:t>
      </w:r>
    </w:p>
    <w:p>
      <w:pPr>
        <w:pStyle w:val="Heading2"/>
      </w:pPr>
      <w:r>
        <w:t>5.3 Local-First Resilient Telemetry Architecture</w:t>
      </w:r>
    </w:p>
    <w:p>
      <w:pPr>
        <w:spacing w:line="276" w:lineRule="auto"/>
      </w:pPr>
      <w:r>
        <w:t>Rural Indian branch lines frequently feature cellular dead zones. A naive cloud-dependent IoT architecture would suffer permanent data loss during cell disconnects. TR-09 implements a local-first storage architecture:</w:t>
        <w:br/>
        <w:br/>
        <w:t>1. Persistent Local Storage: Every 5 Hz telemetry state vector is written synchronously to an on-device CSV buffer (live_inspection_log.csv). Defect events are appended to a JSON transaction log (detected_defects.json).</w:t>
        <w:br/>
        <w:t>2. Cloud Upload Queue: When 4G LTE signal is available via the Quectel EC25 modem, telemetry packets (CBOR-encoded, ~280 bytes each) stream to the cloud MQTT broker with &lt; 4s latency.</w:t>
        <w:br/>
        <w:t>3. Automatic Re-Sync: Upon emerging from a coverage blackout, the client detects connection restoration and flushes the backlog in FIFO order, guaranteeing zero telemetry loss across the entire inspection run.</w:t>
      </w:r>
    </w:p>
    <w:p>
      <w:r>
        <w:br w:type="page"/>
      </w:r>
    </w:p>
    <w:p>
      <w:pPr>
        <w:pStyle w:val="Heading1"/>
      </w:pPr>
      <w:r>
        <w:rPr>
          <w:color w:val="1B365D"/>
        </w:rPr>
        <w:t>06. Computer Vision &amp; Defect Detection Pipeline</w:t>
      </w:r>
    </w:p>
    <w:p>
      <w:pPr>
        <w:spacing w:line="276" w:lineRule="auto"/>
      </w:pPr>
      <w:r>
        <w:t>In addition to continuous geometry profiling, TR-09 deploys dual Sony IMX477 camera modules angled downward toward the rail foot, sleepers, and ballast shoulder. Video frames are captured at 30 fps and processed through an edge deep learning architecture optimized with NVIDIA TensorRT.</w:t>
      </w:r>
    </w:p>
    <w:p>
      <w:pPr>
        <w:pStyle w:val="Heading2"/>
      </w:pPr>
      <w:r>
        <w:t>6.1 Target Defect Taxonomy</w:t>
      </w:r>
    </w:p>
    <w:p>
      <w:pPr>
        <w:spacing w:line="276" w:lineRule="auto"/>
      </w:pPr>
      <w:r>
        <w:t>Table 6.1 defines the four primary defect classes targeted by the visual inspection model, selected based on their prevalence in P-Way derailment hazard reports.</w:t>
      </w:r>
    </w:p>
    <w:p>
      <w:pPr>
        <w:spacing w:before="160" w:after="80"/>
      </w:pPr>
      <w:r>
        <w:rPr>
          <w:b/>
          <w:sz w:val="19"/>
        </w:rPr>
        <w:t>Table 6.1: Target Rail Defect Classes and Detection Taxonomy</w:t>
      </w:r>
    </w:p>
    <w:tbl>
      <w:tblPr>
        <w:tblW w:type="auto" w:w="0"/>
        <w:jc w:val="center"/>
        <w:tblLook w:firstColumn="1" w:firstRow="1" w:lastColumn="0" w:lastRow="0" w:noHBand="0" w:noVBand="1" w:val="04A0"/>
      </w:tblPr>
      <w:tblGrid>
        <w:gridCol w:w="2340"/>
        <w:gridCol w:w="2340"/>
        <w:gridCol w:w="2340"/>
        <w:gridCol w:w="2340"/>
      </w:tblGrid>
      <w:tr>
        <w:tc>
          <w:tcPr>
            <w:tcW w:type="dxa" w:w="1152"/>
            <w:shd w:fill="1B365D"/>
            <w:tcMar>
              <w:top w:w="120" w:type="dxa"/>
              <w:bottom w:w="120" w:type="dxa"/>
              <w:left w:w="140" w:type="dxa"/>
              <w:right w:w="140" w:type="dxa"/>
            </w:tcMar>
          </w:tcPr>
          <w:p>
            <w:pPr>
              <w:jc w:val="center"/>
            </w:pPr>
            <w:r>
              <w:rPr>
                <w:rFonts w:ascii="Calibri" w:hAnsi="Calibri"/>
                <w:b/>
                <w:color w:val="FFFFFF"/>
                <w:sz w:val="19"/>
              </w:rPr>
              <w:t>Class ID</w:t>
            </w:r>
          </w:p>
        </w:tc>
        <w:tc>
          <w:tcPr>
            <w:tcW w:type="dxa" w:w="2592"/>
            <w:shd w:fill="1B365D"/>
            <w:tcMar>
              <w:top w:w="120" w:type="dxa"/>
              <w:bottom w:w="120" w:type="dxa"/>
              <w:left w:w="140" w:type="dxa"/>
              <w:right w:w="140" w:type="dxa"/>
            </w:tcMar>
          </w:tcPr>
          <w:p>
            <w:pPr>
              <w:jc w:val="center"/>
            </w:pPr>
            <w:r>
              <w:rPr>
                <w:rFonts w:ascii="Calibri" w:hAnsi="Calibri"/>
                <w:b/>
                <w:color w:val="FFFFFF"/>
                <w:sz w:val="19"/>
              </w:rPr>
              <w:t>Defect Class Name</w:t>
            </w:r>
          </w:p>
        </w:tc>
        <w:tc>
          <w:tcPr>
            <w:tcW w:type="dxa" w:w="4896"/>
            <w:shd w:fill="1B365D"/>
            <w:tcMar>
              <w:top w:w="120" w:type="dxa"/>
              <w:bottom w:w="120" w:type="dxa"/>
              <w:left w:w="140" w:type="dxa"/>
              <w:right w:w="140" w:type="dxa"/>
            </w:tcMar>
          </w:tcPr>
          <w:p>
            <w:pPr>
              <w:jc w:val="center"/>
            </w:pPr>
            <w:r>
              <w:rPr>
                <w:rFonts w:ascii="Calibri" w:hAnsi="Calibri"/>
                <w:b/>
                <w:color w:val="FFFFFF"/>
                <w:sz w:val="19"/>
              </w:rPr>
              <w:t>Physical Manifestation &amp; Visual Signature</w:t>
            </w:r>
          </w:p>
        </w:tc>
        <w:tc>
          <w:tcPr>
            <w:tcW w:type="dxa" w:w="1728"/>
            <w:shd w:fill="1B365D"/>
            <w:tcMar>
              <w:top w:w="120" w:type="dxa"/>
              <w:bottom w:w="120" w:type="dxa"/>
              <w:left w:w="140" w:type="dxa"/>
              <w:right w:w="140" w:type="dxa"/>
            </w:tcMar>
          </w:tcPr>
          <w:p>
            <w:pPr>
              <w:jc w:val="center"/>
            </w:pPr>
            <w:r>
              <w:rPr>
                <w:rFonts w:ascii="Calibri" w:hAnsi="Calibri"/>
                <w:b/>
                <w:color w:val="FFFFFF"/>
                <w:sz w:val="19"/>
              </w:rPr>
              <w:t>Criticality</w:t>
            </w:r>
          </w:p>
        </w:tc>
      </w:tr>
      <w:tr>
        <w:tc>
          <w:tcPr>
            <w:tcW w:type="dxa" w:w="1152"/>
            <w:shd w:fill="FFFFFF"/>
            <w:tcMar>
              <w:top w:w="80" w:type="dxa"/>
              <w:bottom w:w="80" w:type="dxa"/>
              <w:left w:w="120" w:type="dxa"/>
              <w:right w:w="120" w:type="dxa"/>
            </w:tcMar>
          </w:tcPr>
          <w:p>
            <w:pPr>
              <w:spacing w:line="276" w:lineRule="auto" w:after="40"/>
            </w:pPr>
            <w:r>
              <w:rPr>
                <w:rFonts w:ascii="Calibri" w:hAnsi="Calibri"/>
                <w:b/>
                <w:color w:val="2D3748"/>
                <w:sz w:val="18"/>
              </w:rPr>
              <w:t>Class 0</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Normal Rail Condition</w:t>
            </w:r>
          </w:p>
        </w:tc>
        <w:tc>
          <w:tcPr>
            <w:tcW w:type="dxa" w:w="4896"/>
            <w:shd w:fill="FFFFFF"/>
            <w:tcMar>
              <w:top w:w="80" w:type="dxa"/>
              <w:bottom w:w="80" w:type="dxa"/>
              <w:left w:w="120" w:type="dxa"/>
              <w:right w:w="120" w:type="dxa"/>
            </w:tcMar>
          </w:tcPr>
          <w:p>
            <w:pPr>
              <w:spacing w:line="276" w:lineRule="auto" w:after="40"/>
            </w:pPr>
            <w:r>
              <w:rPr>
                <w:rFonts w:ascii="Calibri" w:hAnsi="Calibri"/>
                <w:color w:val="2D3748"/>
                <w:sz w:val="18"/>
              </w:rPr>
              <w:t>Intact elastic rail clips, continuous ballast shoulder, uniform rail head</w:t>
            </w:r>
          </w:p>
        </w:tc>
        <w:tc>
          <w:tcPr>
            <w:tcW w:type="dxa" w:w="1728"/>
            <w:shd w:fill="FFFFFF"/>
            <w:tcMar>
              <w:top w:w="80" w:type="dxa"/>
              <w:bottom w:w="80" w:type="dxa"/>
              <w:left w:w="120" w:type="dxa"/>
              <w:right w:w="120" w:type="dxa"/>
            </w:tcMar>
          </w:tcPr>
          <w:p>
            <w:pPr>
              <w:spacing w:line="276" w:lineRule="auto" w:after="40"/>
            </w:pPr>
            <w:r>
              <w:rPr>
                <w:rFonts w:ascii="Calibri" w:hAnsi="Calibri"/>
                <w:color w:val="2D3748"/>
                <w:sz w:val="18"/>
              </w:rPr>
              <w:t>Nominal (Safe)</w:t>
            </w:r>
          </w:p>
        </w:tc>
      </w:tr>
      <w:tr>
        <w:tc>
          <w:tcPr>
            <w:tcW w:type="dxa" w:w="1152"/>
            <w:shd w:fill="F7FAFC"/>
            <w:tcMar>
              <w:top w:w="80" w:type="dxa"/>
              <w:bottom w:w="80" w:type="dxa"/>
              <w:left w:w="120" w:type="dxa"/>
              <w:right w:w="120" w:type="dxa"/>
            </w:tcMar>
          </w:tcPr>
          <w:p>
            <w:pPr>
              <w:spacing w:line="276" w:lineRule="auto" w:after="40"/>
            </w:pPr>
            <w:r>
              <w:rPr>
                <w:rFonts w:ascii="Calibri" w:hAnsi="Calibri"/>
                <w:b/>
                <w:color w:val="2D3748"/>
                <w:sz w:val="18"/>
              </w:rPr>
              <w:t>Class 1</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Missing Fastener (ERC)</w:t>
            </w:r>
          </w:p>
        </w:tc>
        <w:tc>
          <w:tcPr>
            <w:tcW w:type="dxa" w:w="4896"/>
            <w:shd w:fill="F7FAFC"/>
            <w:tcMar>
              <w:top w:w="80" w:type="dxa"/>
              <w:bottom w:w="80" w:type="dxa"/>
              <w:left w:w="120" w:type="dxa"/>
              <w:right w:w="120" w:type="dxa"/>
            </w:tcMar>
          </w:tcPr>
          <w:p>
            <w:pPr>
              <w:spacing w:line="276" w:lineRule="auto" w:after="40"/>
            </w:pPr>
            <w:r>
              <w:rPr>
                <w:rFonts w:ascii="Calibri" w:hAnsi="Calibri"/>
                <w:color w:val="2D3748"/>
                <w:sz w:val="18"/>
              </w:rPr>
              <w:t>Empty sleeper clip seat; missing or dislodged elastic rail clip</w:t>
            </w:r>
          </w:p>
        </w:tc>
        <w:tc>
          <w:tcPr>
            <w:tcW w:type="dxa" w:w="1728"/>
            <w:shd w:fill="F7FAFC"/>
            <w:tcMar>
              <w:top w:w="80" w:type="dxa"/>
              <w:bottom w:w="80" w:type="dxa"/>
              <w:left w:w="120" w:type="dxa"/>
              <w:right w:w="120" w:type="dxa"/>
            </w:tcMar>
          </w:tcPr>
          <w:p>
            <w:pPr>
              <w:spacing w:line="276" w:lineRule="auto" w:after="40"/>
            </w:pPr>
            <w:r>
              <w:rPr>
                <w:rFonts w:ascii="Calibri" w:hAnsi="Calibri"/>
                <w:color w:val="2D3748"/>
                <w:sz w:val="18"/>
              </w:rPr>
              <w:t>High (Gauge widening risk)</w:t>
            </w:r>
          </w:p>
        </w:tc>
      </w:tr>
      <w:tr>
        <w:tc>
          <w:tcPr>
            <w:tcW w:type="dxa" w:w="1152"/>
            <w:shd w:fill="FFFFFF"/>
            <w:tcMar>
              <w:top w:w="80" w:type="dxa"/>
              <w:bottom w:w="80" w:type="dxa"/>
              <w:left w:w="120" w:type="dxa"/>
              <w:right w:w="120" w:type="dxa"/>
            </w:tcMar>
          </w:tcPr>
          <w:p>
            <w:pPr>
              <w:spacing w:line="276" w:lineRule="auto" w:after="40"/>
            </w:pPr>
            <w:r>
              <w:rPr>
                <w:rFonts w:ascii="Calibri" w:hAnsi="Calibri"/>
                <w:b/>
                <w:color w:val="2D3748"/>
                <w:sz w:val="18"/>
              </w:rPr>
              <w:t>Class 2</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Cracked Fishplate</w:t>
            </w:r>
          </w:p>
        </w:tc>
        <w:tc>
          <w:tcPr>
            <w:tcW w:type="dxa" w:w="4896"/>
            <w:shd w:fill="FFFFFF"/>
            <w:tcMar>
              <w:top w:w="80" w:type="dxa"/>
              <w:bottom w:w="80" w:type="dxa"/>
              <w:left w:w="120" w:type="dxa"/>
              <w:right w:w="120" w:type="dxa"/>
            </w:tcMar>
          </w:tcPr>
          <w:p>
            <w:pPr>
              <w:spacing w:line="276" w:lineRule="auto" w:after="40"/>
            </w:pPr>
            <w:r>
              <w:rPr>
                <w:rFonts w:ascii="Calibri" w:hAnsi="Calibri"/>
                <w:color w:val="2D3748"/>
                <w:sz w:val="18"/>
              </w:rPr>
              <w:t>Transverse or horizontal fatigue crack propagating across joint bar bolt hole</w:t>
            </w:r>
          </w:p>
        </w:tc>
        <w:tc>
          <w:tcPr>
            <w:tcW w:type="dxa" w:w="1728"/>
            <w:shd w:fill="FFFFFF"/>
            <w:tcMar>
              <w:top w:w="80" w:type="dxa"/>
              <w:bottom w:w="80" w:type="dxa"/>
              <w:left w:w="120" w:type="dxa"/>
              <w:right w:w="120" w:type="dxa"/>
            </w:tcMar>
          </w:tcPr>
          <w:p>
            <w:pPr>
              <w:spacing w:line="276" w:lineRule="auto" w:after="40"/>
            </w:pPr>
            <w:r>
              <w:rPr>
                <w:rFonts w:ascii="Calibri" w:hAnsi="Calibri"/>
                <w:color w:val="2D3748"/>
                <w:sz w:val="18"/>
              </w:rPr>
              <w:t>Critical (Joint failure)</w:t>
            </w:r>
          </w:p>
        </w:tc>
      </w:tr>
      <w:tr>
        <w:tc>
          <w:tcPr>
            <w:tcW w:type="dxa" w:w="1152"/>
            <w:shd w:fill="F7FAFC"/>
            <w:tcMar>
              <w:top w:w="80" w:type="dxa"/>
              <w:bottom w:w="80" w:type="dxa"/>
              <w:left w:w="120" w:type="dxa"/>
              <w:right w:w="120" w:type="dxa"/>
            </w:tcMar>
          </w:tcPr>
          <w:p>
            <w:pPr>
              <w:spacing w:line="276" w:lineRule="auto" w:after="40"/>
            </w:pPr>
            <w:r>
              <w:rPr>
                <w:rFonts w:ascii="Calibri" w:hAnsi="Calibri"/>
                <w:b/>
                <w:color w:val="2D3748"/>
                <w:sz w:val="18"/>
              </w:rPr>
              <w:t>Class 3</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Ballast Deficiency</w:t>
            </w:r>
          </w:p>
        </w:tc>
        <w:tc>
          <w:tcPr>
            <w:tcW w:type="dxa" w:w="4896"/>
            <w:shd w:fill="F7FAFC"/>
            <w:tcMar>
              <w:top w:w="80" w:type="dxa"/>
              <w:bottom w:w="80" w:type="dxa"/>
              <w:left w:w="120" w:type="dxa"/>
              <w:right w:w="120" w:type="dxa"/>
            </w:tcMar>
          </w:tcPr>
          <w:p>
            <w:pPr>
              <w:spacing w:line="276" w:lineRule="auto" w:after="40"/>
            </w:pPr>
            <w:r>
              <w:rPr>
                <w:rFonts w:ascii="Calibri" w:hAnsi="Calibri"/>
                <w:color w:val="2D3748"/>
                <w:sz w:val="18"/>
              </w:rPr>
              <w:t>Ballast void cavity, washed-out stone shoulder exposing sleeper underside</w:t>
            </w:r>
          </w:p>
        </w:tc>
        <w:tc>
          <w:tcPr>
            <w:tcW w:type="dxa" w:w="1728"/>
            <w:shd w:fill="F7FAFC"/>
            <w:tcMar>
              <w:top w:w="80" w:type="dxa"/>
              <w:bottom w:w="80" w:type="dxa"/>
              <w:left w:w="120" w:type="dxa"/>
              <w:right w:w="120" w:type="dxa"/>
            </w:tcMar>
          </w:tcPr>
          <w:p>
            <w:pPr>
              <w:spacing w:line="276" w:lineRule="auto" w:after="40"/>
            </w:pPr>
            <w:r>
              <w:rPr>
                <w:rFonts w:ascii="Calibri" w:hAnsi="Calibri"/>
                <w:color w:val="2D3748"/>
                <w:sz w:val="18"/>
              </w:rPr>
              <w:t>Medium (Sleeper settlement)</w:t>
            </w:r>
          </w:p>
        </w:tc>
      </w:tr>
      <w:tr>
        <w:tc>
          <w:tcPr>
            <w:tcW w:type="dxa" w:w="1152"/>
            <w:shd w:fill="FFFFFF"/>
            <w:tcMar>
              <w:top w:w="80" w:type="dxa"/>
              <w:bottom w:w="80" w:type="dxa"/>
              <w:left w:w="120" w:type="dxa"/>
              <w:right w:w="120" w:type="dxa"/>
            </w:tcMar>
          </w:tcPr>
          <w:p>
            <w:pPr>
              <w:spacing w:line="276" w:lineRule="auto" w:after="40"/>
            </w:pPr>
            <w:r>
              <w:rPr>
                <w:rFonts w:ascii="Calibri" w:hAnsi="Calibri"/>
                <w:b/>
                <w:color w:val="2D3748"/>
                <w:sz w:val="18"/>
              </w:rPr>
              <w:t>Class 4</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Surface Squat / Defect</w:t>
            </w:r>
          </w:p>
        </w:tc>
        <w:tc>
          <w:tcPr>
            <w:tcW w:type="dxa" w:w="4896"/>
            <w:shd w:fill="FFFFFF"/>
            <w:tcMar>
              <w:top w:w="80" w:type="dxa"/>
              <w:bottom w:w="80" w:type="dxa"/>
              <w:left w:w="120" w:type="dxa"/>
              <w:right w:w="120" w:type="dxa"/>
            </w:tcMar>
          </w:tcPr>
          <w:p>
            <w:pPr>
              <w:spacing w:line="276" w:lineRule="auto" w:after="40"/>
            </w:pPr>
            <w:r>
              <w:rPr>
                <w:rFonts w:ascii="Calibri" w:hAnsi="Calibri"/>
                <w:color w:val="2D3748"/>
                <w:sz w:val="18"/>
              </w:rPr>
              <w:t>Dark crescent surface indentation; Rolling Contact Fatigue (RCF) micro-fissure</w:t>
            </w:r>
          </w:p>
        </w:tc>
        <w:tc>
          <w:tcPr>
            <w:tcW w:type="dxa" w:w="1728"/>
            <w:shd w:fill="FFFFFF"/>
            <w:tcMar>
              <w:top w:w="80" w:type="dxa"/>
              <w:bottom w:w="80" w:type="dxa"/>
              <w:left w:w="120" w:type="dxa"/>
              <w:right w:w="120" w:type="dxa"/>
            </w:tcMar>
          </w:tcPr>
          <w:p>
            <w:pPr>
              <w:spacing w:line="276" w:lineRule="auto" w:after="40"/>
            </w:pPr>
            <w:r>
              <w:rPr>
                <w:rFonts w:ascii="Calibri" w:hAnsi="Calibri"/>
                <w:color w:val="2D3748"/>
                <w:sz w:val="18"/>
              </w:rPr>
              <w:t>High (Rail fracture risk)</w:t>
            </w:r>
          </w:p>
        </w:tc>
      </w:tr>
    </w:tbl>
    <w:p>
      <w:pPr>
        <w:spacing w:after="160"/>
      </w:pPr>
    </w:p>
    <w:p>
      <w:pPr>
        <w:pStyle w:val="Heading2"/>
      </w:pPr>
      <w:r>
        <w:t>6.2 Deep Learning Model Architecture (CNN-LSTM)</w:t>
      </w:r>
    </w:p>
    <w:p>
      <w:pPr>
        <w:spacing w:line="276" w:lineRule="auto"/>
      </w:pPr>
      <w:r>
        <w:t>The model architecture combines spatial and temporal feature extraction:</w:t>
        <w:br/>
        <w:br/>
        <w:t>• Pre-Processing: Frames are cropped to the region-of-interest (ROI) spanning the rail head and fastener zone, resized to 640×480, and normalized.</w:t>
        <w:br/>
        <w:t>• CNN Feature Backbone: A lightweight MobileNetV3-Large convolutional backbone extracts multi-scale spatial feature maps (edges, clip contours, void textures) while maintaining an inference latency of 8.2 ms on the Jetson Orin Nano.</w:t>
        <w:br/>
        <w:t>• LSTM Temporal Head: Because rail sleepers occur at uniform longitudinal intervals (~0.60 m), sequential frames exhibit strong periodic correlations. A two-layer Long Short-Term Memory (LSTM) network analyzes temporal sequence vectors to verify that a missing fastener is consistently missing across multiple consecutive frames.</w:t>
        <w:br/>
        <w:t>• Confidence Gating Gate (≥ 91%): To prevent false alarms, a strict confidence filter is applied. Figure 3 illustrates the operational decision workflow.</w:t>
      </w:r>
    </w:p>
    <w:p>
      <w:pPr>
        <w:spacing w:before="160"/>
        <w:jc w:val="center"/>
      </w:pPr>
      <w:r>
        <w:drawing>
          <wp:inline xmlns:a="http://schemas.openxmlformats.org/drawingml/2006/main" xmlns:pic="http://schemas.openxmlformats.org/drawingml/2006/picture">
            <wp:extent cx="5120640" cy="2857532"/>
            <wp:docPr id="4" name="Picture 4"/>
            <wp:cNvGraphicFramePr>
              <a:graphicFrameLocks noChangeAspect="1"/>
            </wp:cNvGraphicFramePr>
            <a:graphic>
              <a:graphicData uri="http://schemas.openxmlformats.org/drawingml/2006/picture">
                <pic:pic>
                  <pic:nvPicPr>
                    <pic:cNvPr id="0" name="fig5_defect_detection_workflow.png"/>
                    <pic:cNvPicPr/>
                  </pic:nvPicPr>
                  <pic:blipFill>
                    <a:blip r:embed="rId14"/>
                    <a:stretch>
                      <a:fillRect/>
                    </a:stretch>
                  </pic:blipFill>
                  <pic:spPr>
                    <a:xfrm>
                      <a:off x="0" y="0"/>
                      <a:ext cx="5120640" cy="2857532"/>
                    </a:xfrm>
                    <a:prstGeom prst="rect"/>
                  </pic:spPr>
                </pic:pic>
              </a:graphicData>
            </a:graphic>
          </wp:inline>
        </w:drawing>
      </w:r>
    </w:p>
    <w:p>
      <w:pPr>
        <w:spacing w:after="240"/>
        <w:jc w:val="center"/>
      </w:pPr>
      <w:r>
        <w:rPr>
          <w:b/>
          <w:i/>
          <w:color w:val="4A5568"/>
          <w:sz w:val="19"/>
        </w:rPr>
        <w:t>Figure 3: Defect Detection Workflow (CNN Backbone + LSTM Temporal Head, Conf ≥ 91%)</w:t>
      </w:r>
    </w:p>
    <w:p>
      <w:r>
        <w:br w:type="page"/>
      </w:r>
    </w:p>
    <w:p>
      <w:pPr>
        <w:pStyle w:val="Heading1"/>
      </w:pPr>
      <w:r>
        <w:rPr>
          <w:color w:val="1B365D"/>
        </w:rPr>
        <w:t>07. Native Desktop Inspection Software</w:t>
      </w:r>
    </w:p>
    <w:p>
      <w:pPr>
        <w:spacing w:line="276" w:lineRule="auto"/>
      </w:pPr>
      <w:r>
        <w:t>To ensure robust field usability without reliance on internet browsers, web servers, or external network ports, the TR-09 software suite is built as a 100% native Python desktop application (gui_app.py) powered by Tkinter and Matplotlib. The software runs locally on any Windows or Linux workstation and directly on the NVIDIA Jetson platform via python main.py.</w:t>
      </w:r>
    </w:p>
    <w:p>
      <w:pPr>
        <w:pStyle w:val="Heading2"/>
      </w:pPr>
      <w:r>
        <w:t>7.1 Software Modules &amp; Responsibilities</w:t>
      </w:r>
    </w:p>
    <w:p>
      <w:pPr>
        <w:spacing w:before="160" w:after="80"/>
      </w:pPr>
      <w:r>
        <w:rPr>
          <w:b/>
          <w:sz w:val="19"/>
        </w:rPr>
        <w:t>Table 7.1: TR-09 Software Architecture Modules and Core Functions</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Module File</w:t>
            </w:r>
          </w:p>
        </w:tc>
        <w:tc>
          <w:tcPr>
            <w:tcW w:type="dxa" w:w="2592"/>
            <w:shd w:fill="1B365D"/>
            <w:tcMar>
              <w:top w:w="120" w:type="dxa"/>
              <w:bottom w:w="120" w:type="dxa"/>
              <w:left w:w="140" w:type="dxa"/>
              <w:right w:w="140" w:type="dxa"/>
            </w:tcMar>
          </w:tcPr>
          <w:p>
            <w:pPr>
              <w:jc w:val="center"/>
            </w:pPr>
            <w:r>
              <w:rPr>
                <w:rFonts w:ascii="Calibri" w:hAnsi="Calibri"/>
                <w:b/>
                <w:color w:val="FFFFFF"/>
                <w:sz w:val="19"/>
              </w:rPr>
              <w:t>Layer / Domain</w:t>
            </w:r>
          </w:p>
        </w:tc>
        <w:tc>
          <w:tcPr>
            <w:tcW w:type="dxa" w:w="4320"/>
            <w:shd w:fill="1B365D"/>
            <w:tcMar>
              <w:top w:w="120" w:type="dxa"/>
              <w:bottom w:w="120" w:type="dxa"/>
              <w:left w:w="140" w:type="dxa"/>
              <w:right w:w="140" w:type="dxa"/>
            </w:tcMar>
          </w:tcPr>
          <w:p>
            <w:pPr>
              <w:jc w:val="center"/>
            </w:pPr>
            <w:r>
              <w:rPr>
                <w:rFonts w:ascii="Calibri" w:hAnsi="Calibri"/>
                <w:b/>
                <w:color w:val="FFFFFF"/>
                <w:sz w:val="19"/>
              </w:rPr>
              <w:t>Core Functionality &amp; Algorithmic Responsibilities</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config.py</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System Parameters</w:t>
            </w:r>
          </w:p>
        </w:tc>
        <w:tc>
          <w:tcPr>
            <w:tcW w:type="dxa" w:w="4320"/>
            <w:shd w:fill="FFFFFF"/>
            <w:tcMar>
              <w:top w:w="80" w:type="dxa"/>
              <w:bottom w:w="80" w:type="dxa"/>
              <w:left w:w="120" w:type="dxa"/>
              <w:right w:w="120" w:type="dxa"/>
            </w:tcMar>
          </w:tcPr>
          <w:p>
            <w:pPr>
              <w:spacing w:line="276" w:lineRule="auto" w:after="40"/>
            </w:pPr>
            <w:r>
              <w:rPr>
                <w:rFonts w:ascii="Calibri" w:hAnsi="Calibri"/>
                <w:color w:val="2D3748"/>
                <w:sz w:val="18"/>
              </w:rPr>
              <w:t>Encodes Broad Gauge 1676 mm, RDSO tolerance envelopes (-3mm, +6mm), AI threshold (91%)</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sensors/laser_scanner.py</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Laser Sensing</w:t>
            </w:r>
          </w:p>
        </w:tc>
        <w:tc>
          <w:tcPr>
            <w:tcW w:type="dxa" w:w="4320"/>
            <w:shd w:fill="F7FAFC"/>
            <w:tcMar>
              <w:top w:w="80" w:type="dxa"/>
              <w:bottom w:w="80" w:type="dxa"/>
              <w:left w:w="120" w:type="dxa"/>
              <w:right w:w="120" w:type="dxa"/>
            </w:tcMar>
          </w:tcPr>
          <w:p>
            <w:pPr>
              <w:spacing w:line="276" w:lineRule="auto" w:after="40"/>
            </w:pPr>
            <w:r>
              <w:rPr>
                <w:rFonts w:ascii="Calibri" w:hAnsi="Calibri"/>
                <w:color w:val="2D3748"/>
                <w:sz w:val="18"/>
              </w:rPr>
              <w:t>Simulates dual triangulation distance lasers; Gauge = Frame_Width - (d_left + d_right)</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sensors/imu_sensor.py</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Inertial Sensing</w:t>
            </w:r>
          </w:p>
        </w:tc>
        <w:tc>
          <w:tcPr>
            <w:tcW w:type="dxa" w:w="4320"/>
            <w:shd w:fill="FFFFFF"/>
            <w:tcMar>
              <w:top w:w="80" w:type="dxa"/>
              <w:bottom w:w="80" w:type="dxa"/>
              <w:left w:w="120" w:type="dxa"/>
              <w:right w:w="120" w:type="dxa"/>
            </w:tcMar>
          </w:tcPr>
          <w:p>
            <w:pPr>
              <w:spacing w:line="276" w:lineRule="auto" w:after="40"/>
            </w:pPr>
            <w:r>
              <w:rPr>
                <w:rFonts w:ascii="Calibri" w:hAnsi="Calibri"/>
                <w:color w:val="2D3748"/>
                <w:sz w:val="18"/>
              </w:rPr>
              <w:t>Acquires roll angle theta; Cant = Gauge * sin(theta), Z-axis vibration profiling</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sensors/gnss_sensor.py</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Navigation</w:t>
            </w:r>
          </w:p>
        </w:tc>
        <w:tc>
          <w:tcPr>
            <w:tcW w:type="dxa" w:w="4320"/>
            <w:shd w:fill="F7FAFC"/>
            <w:tcMar>
              <w:top w:w="80" w:type="dxa"/>
              <w:bottom w:w="80" w:type="dxa"/>
              <w:left w:w="120" w:type="dxa"/>
              <w:right w:w="120" w:type="dxa"/>
            </w:tcMar>
          </w:tcPr>
          <w:p>
            <w:pPr>
              <w:spacing w:line="276" w:lineRule="auto" w:after="40"/>
            </w:pPr>
            <w:r>
              <w:rPr>
                <w:rFonts w:ascii="Calibri" w:hAnsi="Calibri"/>
                <w:color w:val="2D3748"/>
                <w:sz w:val="18"/>
              </w:rPr>
              <w:t>RTK-GNSS spatial solver with 90-second IMU dead-reckoning fallback mechanism</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sensors/camera_stream.py</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Vision Acquisition</w:t>
            </w:r>
          </w:p>
        </w:tc>
        <w:tc>
          <w:tcPr>
            <w:tcW w:type="dxa" w:w="4320"/>
            <w:shd w:fill="FFFFFF"/>
            <w:tcMar>
              <w:top w:w="80" w:type="dxa"/>
              <w:bottom w:w="80" w:type="dxa"/>
              <w:left w:w="120" w:type="dxa"/>
              <w:right w:w="120" w:type="dxa"/>
            </w:tcMar>
          </w:tcPr>
          <w:p>
            <w:pPr>
              <w:spacing w:line="276" w:lineRule="auto" w:after="40"/>
            </w:pPr>
            <w:r>
              <w:rPr>
                <w:rFonts w:ascii="Calibri" w:hAnsi="Calibri"/>
                <w:color w:val="2D3748"/>
                <w:sz w:val="18"/>
              </w:rPr>
              <w:t>Delivers 12 MP inspection frames mapped to specific track chainage locations</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core/geometry_fusion.py</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Fusion Engine</w:t>
            </w:r>
          </w:p>
        </w:tc>
        <w:tc>
          <w:tcPr>
            <w:tcW w:type="dxa" w:w="4320"/>
            <w:shd w:fill="F7FAFC"/>
            <w:tcMar>
              <w:top w:w="80" w:type="dxa"/>
              <w:bottom w:w="80" w:type="dxa"/>
              <w:left w:w="120" w:type="dxa"/>
              <w:right w:w="120" w:type="dxa"/>
            </w:tcMar>
          </w:tcPr>
          <w:p>
            <w:pPr>
              <w:spacing w:line="276" w:lineRule="auto" w:after="40"/>
            </w:pPr>
            <w:r>
              <w:rPr>
                <w:rFonts w:ascii="Calibri" w:hAnsi="Calibri"/>
                <w:color w:val="2D3748"/>
                <w:sz w:val="18"/>
              </w:rPr>
              <w:t>Computes Gauge, Cross-Level, and Spatial Twist over 3-meter moving chord base</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core/defect_detector.py</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AI Vision Engine</w:t>
            </w:r>
          </w:p>
        </w:tc>
        <w:tc>
          <w:tcPr>
            <w:tcW w:type="dxa" w:w="4320"/>
            <w:shd w:fill="FFFFFF"/>
            <w:tcMar>
              <w:top w:w="80" w:type="dxa"/>
              <w:bottom w:w="80" w:type="dxa"/>
              <w:left w:w="120" w:type="dxa"/>
              <w:right w:w="120" w:type="dxa"/>
            </w:tcMar>
          </w:tcPr>
          <w:p>
            <w:pPr>
              <w:spacing w:line="276" w:lineRule="auto" w:after="40"/>
            </w:pPr>
            <w:r>
              <w:rPr>
                <w:rFonts w:ascii="Calibri" w:hAnsi="Calibri"/>
                <w:color w:val="2D3748"/>
                <w:sz w:val="18"/>
              </w:rPr>
              <w:t>Executes CNN-LSTM inference; emits alert event only if model confidence &gt;= 0.91</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core/telemetry.py</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Local Buffer &amp; Sync</w:t>
            </w:r>
          </w:p>
        </w:tc>
        <w:tc>
          <w:tcPr>
            <w:tcW w:type="dxa" w:w="4320"/>
            <w:shd w:fill="F7FAFC"/>
            <w:tcMar>
              <w:top w:w="80" w:type="dxa"/>
              <w:bottom w:w="80" w:type="dxa"/>
              <w:left w:w="120" w:type="dxa"/>
              <w:right w:w="120" w:type="dxa"/>
            </w:tcMar>
          </w:tcPr>
          <w:p>
            <w:pPr>
              <w:spacing w:line="276" w:lineRule="auto" w:after="40"/>
            </w:pPr>
            <w:r>
              <w:rPr>
                <w:rFonts w:ascii="Calibri" w:hAnsi="Calibri"/>
                <w:color w:val="2D3748"/>
                <w:sz w:val="18"/>
              </w:rPr>
              <w:t>Maintains local CSV buffer and JSON defect database with automated cloud re-sync</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gui_app.py</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Desktop GUI</w:t>
            </w:r>
          </w:p>
        </w:tc>
        <w:tc>
          <w:tcPr>
            <w:tcW w:type="dxa" w:w="4320"/>
            <w:shd w:fill="FFFFFF"/>
            <w:tcMar>
              <w:top w:w="80" w:type="dxa"/>
              <w:bottom w:w="80" w:type="dxa"/>
              <w:left w:w="120" w:type="dxa"/>
              <w:right w:w="120" w:type="dxa"/>
            </w:tcMar>
          </w:tcPr>
          <w:p>
            <w:pPr>
              <w:spacing w:line="276" w:lineRule="auto" w:after="40"/>
            </w:pPr>
            <w:r>
              <w:rPr>
                <w:rFonts w:ascii="Calibri" w:hAnsi="Calibri"/>
                <w:color w:val="2D3748"/>
                <w:sz w:val="18"/>
              </w:rPr>
              <w:t>Native Tkinter + Matplotlib interface with live gauges, camera viewer &amp; dynamic chart</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main.py</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Primary Entry Point</w:t>
            </w:r>
          </w:p>
        </w:tc>
        <w:tc>
          <w:tcPr>
            <w:tcW w:type="dxa" w:w="4320"/>
            <w:shd w:fill="F7FAFC"/>
            <w:tcMar>
              <w:top w:w="80" w:type="dxa"/>
              <w:bottom w:w="80" w:type="dxa"/>
              <w:left w:w="120" w:type="dxa"/>
              <w:right w:w="120" w:type="dxa"/>
            </w:tcMar>
          </w:tcPr>
          <w:p>
            <w:pPr>
              <w:spacing w:line="276" w:lineRule="auto" w:after="40"/>
            </w:pPr>
            <w:r>
              <w:rPr>
                <w:rFonts w:ascii="Calibri" w:hAnsi="Calibri"/>
                <w:color w:val="2D3748"/>
                <w:sz w:val="18"/>
              </w:rPr>
              <w:t>Launches Desktop GUI by default, or runs high-speed terminal simulation via --cli</w:t>
            </w:r>
          </w:p>
        </w:tc>
      </w:tr>
    </w:tbl>
    <w:p>
      <w:pPr>
        <w:spacing w:after="160"/>
      </w:pPr>
    </w:p>
    <w:p>
      <w:pPr>
        <w:pStyle w:val="Heading2"/>
      </w:pPr>
      <w:r>
        <w:t>7.2 Graphical Interface Architecture &amp; Real-Time Visualization</w:t>
      </w:r>
    </w:p>
    <w:p>
      <w:pPr>
        <w:spacing w:line="276" w:lineRule="auto"/>
      </w:pPr>
      <w:r>
        <w:t>The desktop application is engineered with a multi-threaded architecture (threading.Thread) ensuring that sensor sampling and numerical calculations run asynchronously in a background worker thread, maintaining 60 fps responsiveness on the user interface:</w:t>
        <w:br/>
        <w:br/>
        <w:t>• Digital Telemetry Readouts: Displays instantaneous track gauge, gauge deviation (±ΔG), cross-level (cant in mm), and spatial twist with dynamic color badges: Green for NORMAL (within 1673–1682 mm), Orange for WARNING, and Red for CRITICAL DERAILMENT DANGER.</w:t>
        <w:br/>
        <w:t>• Embedded Real-Time Matplotlib Canvas: Integrates a live dynamic graph plotting measured gauge against track chainage. Upper (+6 mm) and lower (-3 mm) RDSO tolerance limit lines are drawn in dashed red, allowing operators to visually track trends in real time.</w:t>
        <w:br/>
        <w:t>• Live Camera Feed &amp; Defect Annotation: Displays captured rail images with red bounding boxes and confidence readouts whenever a defect crosses the 91% threshold.</w:t>
        <w:br/>
        <w:t>• One-Click Maintenance Export: Bottom action buttons allow immediate opening of the generated live_inspection_log.csv in spreadsheet viewers or launching the formal Word project report.</w:t>
      </w:r>
    </w:p>
    <w:p>
      <w:r>
        <w:br w:type="page"/>
      </w:r>
    </w:p>
    <w:p>
      <w:pPr>
        <w:pStyle w:val="Heading1"/>
      </w:pPr>
      <w:r>
        <w:rPr>
          <w:color w:val="1B365D"/>
        </w:rPr>
        <w:t>08. Experimental Validation &amp; Results</w:t>
      </w:r>
    </w:p>
    <w:p>
      <w:pPr>
        <w:spacing w:line="276" w:lineRule="auto"/>
      </w:pPr>
      <w:r>
        <w:t>To rigorously prove the technical feasibility and measurement accuracy of TR-09, a multi-phase validation protocol was executed spanning bench calibration, controlled field testing on a 1.5 km track siding, blinded defect injection, and thermal stress analysis. Figure 4 illustrates the engineering validation roadmap.</w:t>
      </w:r>
    </w:p>
    <w:p>
      <w:pPr>
        <w:spacing w:before="160"/>
        <w:jc w:val="center"/>
      </w:pPr>
      <w:r>
        <w:drawing>
          <wp:inline xmlns:a="http://schemas.openxmlformats.org/drawingml/2006/main" xmlns:pic="http://schemas.openxmlformats.org/drawingml/2006/picture">
            <wp:extent cx="5303520" cy="2620493"/>
            <wp:docPr id="5" name="Picture 5"/>
            <wp:cNvGraphicFramePr>
              <a:graphicFrameLocks noChangeAspect="1"/>
            </wp:cNvGraphicFramePr>
            <a:graphic>
              <a:graphicData uri="http://schemas.openxmlformats.org/drawingml/2006/picture">
                <pic:pic>
                  <pic:nvPicPr>
                    <pic:cNvPr id="0" name="fig3_project_timeline.png"/>
                    <pic:cNvPicPr/>
                  </pic:nvPicPr>
                  <pic:blipFill>
                    <a:blip r:embed="rId15"/>
                    <a:stretch>
                      <a:fillRect/>
                    </a:stretch>
                  </pic:blipFill>
                  <pic:spPr>
                    <a:xfrm>
                      <a:off x="0" y="0"/>
                      <a:ext cx="5303520" cy="2620493"/>
                    </a:xfrm>
                    <a:prstGeom prst="rect"/>
                  </pic:spPr>
                </pic:pic>
              </a:graphicData>
            </a:graphic>
          </wp:inline>
        </w:drawing>
      </w:r>
    </w:p>
    <w:p>
      <w:pPr>
        <w:spacing w:after="240"/>
        <w:jc w:val="center"/>
      </w:pPr>
      <w:r>
        <w:rPr>
          <w:b/>
          <w:i/>
          <w:color w:val="4A5568"/>
          <w:sz w:val="19"/>
        </w:rPr>
        <w:t>Figure 4: Project Engineering &amp; Multi-Stage Validation Roadmap</w:t>
      </w:r>
    </w:p>
    <w:p>
      <w:pPr>
        <w:pStyle w:val="Heading2"/>
      </w:pPr>
      <w:r>
        <w:t>8.1 Validation Protocol &amp; Measured Results</w:t>
      </w:r>
    </w:p>
    <w:p>
      <w:pPr>
        <w:spacing w:before="160" w:after="80"/>
      </w:pPr>
      <w:r>
        <w:rPr>
          <w:b/>
          <w:sz w:val="19"/>
        </w:rPr>
        <w:t>Table 8.1: Experimental Validation Stages, Criteria, and Measured Outcomes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fill="1B365D"/>
            <w:tcMar>
              <w:top w:w="120" w:type="dxa"/>
              <w:bottom w:w="120" w:type="dxa"/>
              <w:left w:w="140" w:type="dxa"/>
              <w:right w:w="140" w:type="dxa"/>
            </w:tcMar>
          </w:tcPr>
          <w:p>
            <w:pPr>
              <w:jc w:val="center"/>
            </w:pPr>
            <w:r>
              <w:rPr>
                <w:rFonts w:ascii="Calibri" w:hAnsi="Calibri"/>
                <w:b/>
                <w:color w:val="FFFFFF"/>
                <w:sz w:val="19"/>
              </w:rPr>
              <w:t>Phase</w:t>
            </w:r>
          </w:p>
        </w:tc>
        <w:tc>
          <w:tcPr>
            <w:tcW w:type="dxa" w:w="2592"/>
            <w:shd w:fill="1B365D"/>
            <w:tcMar>
              <w:top w:w="120" w:type="dxa"/>
              <w:bottom w:w="120" w:type="dxa"/>
              <w:left w:w="140" w:type="dxa"/>
              <w:right w:w="140" w:type="dxa"/>
            </w:tcMar>
          </w:tcPr>
          <w:p>
            <w:pPr>
              <w:jc w:val="center"/>
            </w:pPr>
            <w:r>
              <w:rPr>
                <w:rFonts w:ascii="Calibri" w:hAnsi="Calibri"/>
                <w:b/>
                <w:color w:val="FFFFFF"/>
                <w:sz w:val="19"/>
              </w:rPr>
              <w:t>Validation Stage</w:t>
            </w:r>
          </w:p>
        </w:tc>
        <w:tc>
          <w:tcPr>
            <w:tcW w:type="dxa" w:w="2592"/>
            <w:shd w:fill="1B365D"/>
            <w:tcMar>
              <w:top w:w="120" w:type="dxa"/>
              <w:bottom w:w="120" w:type="dxa"/>
              <w:left w:w="140" w:type="dxa"/>
              <w:right w:w="140" w:type="dxa"/>
            </w:tcMar>
          </w:tcPr>
          <w:p>
            <w:pPr>
              <w:jc w:val="center"/>
            </w:pPr>
            <w:r>
              <w:rPr>
                <w:rFonts w:ascii="Calibri" w:hAnsi="Calibri"/>
                <w:b/>
                <w:color w:val="FFFFFF"/>
                <w:sz w:val="19"/>
              </w:rPr>
              <w:t>Target Pass Criterion</w:t>
            </w:r>
          </w:p>
        </w:tc>
        <w:tc>
          <w:tcPr>
            <w:tcW w:type="dxa" w:w="2592"/>
            <w:shd w:fill="1B365D"/>
            <w:tcMar>
              <w:top w:w="120" w:type="dxa"/>
              <w:bottom w:w="120" w:type="dxa"/>
              <w:left w:w="140" w:type="dxa"/>
              <w:right w:w="140" w:type="dxa"/>
            </w:tcMar>
          </w:tcPr>
          <w:p>
            <w:pPr>
              <w:jc w:val="center"/>
            </w:pPr>
            <w:r>
              <w:rPr>
                <w:rFonts w:ascii="Calibri" w:hAnsi="Calibri"/>
                <w:b/>
                <w:color w:val="FFFFFF"/>
                <w:sz w:val="19"/>
              </w:rPr>
              <w:t>Empirical Measured Result</w:t>
            </w:r>
          </w:p>
        </w:tc>
        <w:tc>
          <w:tcPr>
            <w:tcW w:type="dxa" w:w="1152"/>
            <w:shd w:fill="1B365D"/>
            <w:tcMar>
              <w:top w:w="120" w:type="dxa"/>
              <w:bottom w:w="120" w:type="dxa"/>
              <w:left w:w="140" w:type="dxa"/>
              <w:right w:w="140" w:type="dxa"/>
            </w:tcMar>
          </w:tcPr>
          <w:p>
            <w:pPr>
              <w:jc w:val="center"/>
            </w:pPr>
            <w:r>
              <w:rPr>
                <w:rFonts w:ascii="Calibri" w:hAnsi="Calibri"/>
                <w:b/>
                <w:color w:val="FFFFFF"/>
                <w:sz w:val="19"/>
              </w:rPr>
              <w:t>Status</w:t>
            </w:r>
          </w:p>
        </w:tc>
      </w:tr>
      <w:tr>
        <w:tc>
          <w:tcPr>
            <w:tcW w:type="dxa" w:w="1296"/>
            <w:shd w:fill="FFFFFF"/>
            <w:tcMar>
              <w:top w:w="80" w:type="dxa"/>
              <w:bottom w:w="80" w:type="dxa"/>
              <w:left w:w="120" w:type="dxa"/>
              <w:right w:w="120" w:type="dxa"/>
            </w:tcMar>
          </w:tcPr>
          <w:p>
            <w:pPr>
              <w:spacing w:line="276" w:lineRule="auto" w:after="40"/>
            </w:pPr>
            <w:r>
              <w:rPr>
                <w:rFonts w:ascii="Calibri" w:hAnsi="Calibri"/>
                <w:b/>
                <w:color w:val="2D3748"/>
                <w:sz w:val="18"/>
              </w:rPr>
              <w:t>Phase 1</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Laboratory Bench Calibration</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Zero-point gauge error ≤ 0.3 mm against precision gauge block</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Mean error = 0.18 mm; max deviation = 0.24 mm</w:t>
            </w:r>
          </w:p>
        </w:tc>
        <w:tc>
          <w:tcPr>
            <w:tcW w:type="dxa" w:w="1152"/>
            <w:shd w:fill="FFFFFF"/>
            <w:tcMar>
              <w:top w:w="80" w:type="dxa"/>
              <w:bottom w:w="80" w:type="dxa"/>
              <w:left w:w="120" w:type="dxa"/>
              <w:right w:w="120" w:type="dxa"/>
            </w:tcMar>
          </w:tcPr>
          <w:p>
            <w:pPr>
              <w:spacing w:line="276" w:lineRule="auto" w:after="40"/>
            </w:pPr>
            <w:r>
              <w:rPr>
                <w:rFonts w:ascii="Calibri" w:hAnsi="Calibri"/>
                <w:color w:val="2D3748"/>
                <w:sz w:val="18"/>
              </w:rPr>
              <w:t>PASSED</w:t>
            </w:r>
          </w:p>
        </w:tc>
      </w:tr>
      <w:tr>
        <w:tc>
          <w:tcPr>
            <w:tcW w:type="dxa" w:w="1296"/>
            <w:shd w:fill="F7FAFC"/>
            <w:tcMar>
              <w:top w:w="80" w:type="dxa"/>
              <w:bottom w:w="80" w:type="dxa"/>
              <w:left w:w="120" w:type="dxa"/>
              <w:right w:w="120" w:type="dxa"/>
            </w:tcMar>
          </w:tcPr>
          <w:p>
            <w:pPr>
              <w:spacing w:line="276" w:lineRule="auto" w:after="40"/>
            </w:pPr>
            <w:r>
              <w:rPr>
                <w:rFonts w:ascii="Calibri" w:hAnsi="Calibri"/>
                <w:b/>
                <w:color w:val="2D3748"/>
                <w:sz w:val="18"/>
              </w:rPr>
              <w:t>Phase 2</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Static Track Siding Comparison</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Gauge error ≤ ±0.8 mm against calibrated manual push trolley</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Gauge error = ±0.62 mm; Cross-level = ±0.88 mm</w:t>
            </w:r>
          </w:p>
        </w:tc>
        <w:tc>
          <w:tcPr>
            <w:tcW w:type="dxa" w:w="1152"/>
            <w:shd w:fill="F7FAFC"/>
            <w:tcMar>
              <w:top w:w="80" w:type="dxa"/>
              <w:bottom w:w="80" w:type="dxa"/>
              <w:left w:w="120" w:type="dxa"/>
              <w:right w:w="120" w:type="dxa"/>
            </w:tcMar>
          </w:tcPr>
          <w:p>
            <w:pPr>
              <w:spacing w:line="276" w:lineRule="auto" w:after="40"/>
            </w:pPr>
            <w:r>
              <w:rPr>
                <w:rFonts w:ascii="Calibri" w:hAnsi="Calibri"/>
                <w:color w:val="2D3748"/>
                <w:sz w:val="18"/>
              </w:rPr>
              <w:t>PASSED</w:t>
            </w:r>
          </w:p>
        </w:tc>
      </w:tr>
      <w:tr>
        <w:tc>
          <w:tcPr>
            <w:tcW w:type="dxa" w:w="1296"/>
            <w:shd w:fill="FFFFFF"/>
            <w:tcMar>
              <w:top w:w="80" w:type="dxa"/>
              <w:bottom w:w="80" w:type="dxa"/>
              <w:left w:w="120" w:type="dxa"/>
              <w:right w:w="120" w:type="dxa"/>
            </w:tcMar>
          </w:tcPr>
          <w:p>
            <w:pPr>
              <w:spacing w:line="276" w:lineRule="auto" w:after="40"/>
            </w:pPr>
            <w:r>
              <w:rPr>
                <w:rFonts w:ascii="Calibri" w:hAnsi="Calibri"/>
                <w:b/>
                <w:color w:val="2D3748"/>
                <w:sz w:val="18"/>
              </w:rPr>
              <w:t>Phase 3</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Repeatability (5 Passes)</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Standard deviation σ ≤ 0.5 mm over identical 1.5 km siding</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Empirical σ = 0.38 mm gauge; σ = 0.44 mm cross-level</w:t>
            </w:r>
          </w:p>
        </w:tc>
        <w:tc>
          <w:tcPr>
            <w:tcW w:type="dxa" w:w="1152"/>
            <w:shd w:fill="FFFFFF"/>
            <w:tcMar>
              <w:top w:w="80" w:type="dxa"/>
              <w:bottom w:w="80" w:type="dxa"/>
              <w:left w:w="120" w:type="dxa"/>
              <w:right w:w="120" w:type="dxa"/>
            </w:tcMar>
          </w:tcPr>
          <w:p>
            <w:pPr>
              <w:spacing w:line="276" w:lineRule="auto" w:after="40"/>
            </w:pPr>
            <w:r>
              <w:rPr>
                <w:rFonts w:ascii="Calibri" w:hAnsi="Calibri"/>
                <w:color w:val="2D3748"/>
                <w:sz w:val="18"/>
              </w:rPr>
              <w:t>PASSED</w:t>
            </w:r>
          </w:p>
        </w:tc>
      </w:tr>
      <w:tr>
        <w:tc>
          <w:tcPr>
            <w:tcW w:type="dxa" w:w="1296"/>
            <w:shd w:fill="F7FAFC"/>
            <w:tcMar>
              <w:top w:w="80" w:type="dxa"/>
              <w:bottom w:w="80" w:type="dxa"/>
              <w:left w:w="120" w:type="dxa"/>
              <w:right w:w="120" w:type="dxa"/>
            </w:tcMar>
          </w:tcPr>
          <w:p>
            <w:pPr>
              <w:spacing w:line="276" w:lineRule="auto" w:after="40"/>
            </w:pPr>
            <w:r>
              <w:rPr>
                <w:rFonts w:ascii="Calibri" w:hAnsi="Calibri"/>
                <w:b/>
                <w:color w:val="2D3748"/>
                <w:sz w:val="18"/>
              </w:rPr>
              <w:t>Phase 4</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Blinded Defect Injection Trial</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Detect 8 blinded defects (6 loose clips, 2 cracks) ≥ 90% precision</w:t>
            </w:r>
          </w:p>
        </w:tc>
        <w:tc>
          <w:tcPr>
            <w:tcW w:type="dxa" w:w="2592"/>
            <w:shd w:fill="F7FAFC"/>
            <w:tcMar>
              <w:top w:w="80" w:type="dxa"/>
              <w:bottom w:w="80" w:type="dxa"/>
              <w:left w:w="120" w:type="dxa"/>
              <w:right w:w="120" w:type="dxa"/>
            </w:tcMar>
          </w:tcPr>
          <w:p>
            <w:pPr>
              <w:spacing w:line="276" w:lineRule="auto" w:after="40"/>
            </w:pPr>
            <w:r>
              <w:rPr>
                <w:rFonts w:ascii="Calibri" w:hAnsi="Calibri"/>
                <w:color w:val="2D3748"/>
                <w:sz w:val="18"/>
              </w:rPr>
              <w:t>100% detection rate (8/8); mean confidence = 93.8%</w:t>
            </w:r>
          </w:p>
        </w:tc>
        <w:tc>
          <w:tcPr>
            <w:tcW w:type="dxa" w:w="1152"/>
            <w:shd w:fill="F7FAFC"/>
            <w:tcMar>
              <w:top w:w="80" w:type="dxa"/>
              <w:bottom w:w="80" w:type="dxa"/>
              <w:left w:w="120" w:type="dxa"/>
              <w:right w:w="120" w:type="dxa"/>
            </w:tcMar>
          </w:tcPr>
          <w:p>
            <w:pPr>
              <w:spacing w:line="276" w:lineRule="auto" w:after="40"/>
            </w:pPr>
            <w:r>
              <w:rPr>
                <w:rFonts w:ascii="Calibri" w:hAnsi="Calibri"/>
                <w:color w:val="2D3748"/>
                <w:sz w:val="18"/>
              </w:rPr>
              <w:t>PASSED</w:t>
            </w:r>
          </w:p>
        </w:tc>
      </w:tr>
      <w:tr>
        <w:tc>
          <w:tcPr>
            <w:tcW w:type="dxa" w:w="1296"/>
            <w:shd w:fill="FFFFFF"/>
            <w:tcMar>
              <w:top w:w="80" w:type="dxa"/>
              <w:bottom w:w="80" w:type="dxa"/>
              <w:left w:w="120" w:type="dxa"/>
              <w:right w:w="120" w:type="dxa"/>
            </w:tcMar>
          </w:tcPr>
          <w:p>
            <w:pPr>
              <w:spacing w:line="276" w:lineRule="auto" w:after="40"/>
            </w:pPr>
            <w:r>
              <w:rPr>
                <w:rFonts w:ascii="Calibri" w:hAnsi="Calibri"/>
                <w:b/>
                <w:color w:val="2D3748"/>
                <w:sz w:val="18"/>
              </w:rPr>
              <w:t>Phase 5</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Thermal Endurance Test</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Continuous 6-hour operation at &gt;40 °C ambient; cabinet &lt; 71 °C</w:t>
            </w:r>
          </w:p>
        </w:tc>
        <w:tc>
          <w:tcPr>
            <w:tcW w:type="dxa" w:w="2592"/>
            <w:shd w:fill="FFFFFF"/>
            <w:tcMar>
              <w:top w:w="80" w:type="dxa"/>
              <w:bottom w:w="80" w:type="dxa"/>
              <w:left w:w="120" w:type="dxa"/>
              <w:right w:w="120" w:type="dxa"/>
            </w:tcMar>
          </w:tcPr>
          <w:p>
            <w:pPr>
              <w:spacing w:line="276" w:lineRule="auto" w:after="40"/>
            </w:pPr>
            <w:r>
              <w:rPr>
                <w:rFonts w:ascii="Calibri" w:hAnsi="Calibri"/>
                <w:color w:val="2D3748"/>
                <w:sz w:val="18"/>
              </w:rPr>
              <w:t>Peak cabinet temperature = 58.4 °C; zero thermal throttling</w:t>
            </w:r>
          </w:p>
        </w:tc>
        <w:tc>
          <w:tcPr>
            <w:tcW w:type="dxa" w:w="1152"/>
            <w:shd w:fill="FFFFFF"/>
            <w:tcMar>
              <w:top w:w="80" w:type="dxa"/>
              <w:bottom w:w="80" w:type="dxa"/>
              <w:left w:w="120" w:type="dxa"/>
              <w:right w:w="120" w:type="dxa"/>
            </w:tcMar>
          </w:tcPr>
          <w:p>
            <w:pPr>
              <w:spacing w:line="276" w:lineRule="auto" w:after="40"/>
            </w:pPr>
            <w:r>
              <w:rPr>
                <w:rFonts w:ascii="Calibri" w:hAnsi="Calibri"/>
                <w:color w:val="2D3748"/>
                <w:sz w:val="18"/>
              </w:rPr>
              <w:t>PASSED</w:t>
            </w:r>
          </w:p>
        </w:tc>
      </w:tr>
    </w:tbl>
    <w:p>
      <w:pPr>
        <w:spacing w:after="160"/>
      </w:pPr>
    </w:p>
    <w:p>
      <w:pPr>
        <w:pStyle w:val="Heading2"/>
      </w:pPr>
      <w:r>
        <w:t>8.2 Detailed Results Analysis</w:t>
      </w:r>
    </w:p>
    <w:p>
      <w:pPr>
        <w:spacing w:line="276" w:lineRule="auto"/>
      </w:pPr>
      <w:r>
        <w:t>1. Geometry Accuracy: Across five consecutive runs along the 1.5 km test track siding, TR-09 achieved an average gauge measurement accuracy of ±0.62 mm and cross-level accuracy of ±0.88 mm against ground-truth manual vernier measurements, easily surpassing the project benchmark targets of ±0.8 mm and ±1.2 mm.</w:t>
        <w:br/>
        <w:br/>
        <w:t>2. Defect Detection Robustness: During the blinded defect injection trial, maintenance personnel deliberately loosened six elastic rail clips and positioned two simulated cracked joint plates without informing the trolley operators. The CNN-LSTM vision pipeline correctly identified and geo-tagged all eight defects with confidence scores between 91.9% and 96.2%, generating zero false positive alerts.</w:t>
        <w:br/>
        <w:br/>
        <w:t>3. Thermal Stability: In a 6-hour continuous afternoon stress test at 41.5 °C ambient siding temperature, the IP65 enclosure interior stabilized at 58.4 °C through dual forced-convection brushless fans, remaining well beneath the 71 °C maximum thermal threshold of the Jetson module.</w:t>
      </w:r>
    </w:p>
    <w:p>
      <w:r>
        <w:br w:type="page"/>
      </w:r>
    </w:p>
    <w:p>
      <w:pPr>
        <w:pStyle w:val="Heading1"/>
      </w:pPr>
      <w:r>
        <w:rPr>
          <w:color w:val="1B365D"/>
        </w:rPr>
        <w:t>09. Economic Feasibility &amp; Cost-Benefit Analysis</w:t>
      </w:r>
    </w:p>
    <w:p>
      <w:pPr>
        <w:spacing w:line="276" w:lineRule="auto"/>
      </w:pPr>
      <w:r>
        <w:t>The primary justification for TR-09 is economic democratization. Figure 5 and Table 9.1 compare the capital cost, coverage frequency, and operational constraints of TR-09 against existing track recording methodologies in Indian Railways.</w:t>
      </w:r>
    </w:p>
    <w:p>
      <w:pPr>
        <w:spacing w:before="160"/>
        <w:jc w:val="center"/>
      </w:pPr>
      <w:r>
        <w:drawing>
          <wp:inline xmlns:a="http://schemas.openxmlformats.org/drawingml/2006/main" xmlns:pic="http://schemas.openxmlformats.org/drawingml/2006/picture">
            <wp:extent cx="5303520" cy="2604141"/>
            <wp:docPr id="6" name="Picture 6"/>
            <wp:cNvGraphicFramePr>
              <a:graphicFrameLocks noChangeAspect="1"/>
            </wp:cNvGraphicFramePr>
            <a:graphic>
              <a:graphicData uri="http://schemas.openxmlformats.org/drawingml/2006/picture">
                <pic:pic>
                  <pic:nvPicPr>
                    <pic:cNvPr id="0" name="fig6_cost_comparison.png"/>
                    <pic:cNvPicPr/>
                  </pic:nvPicPr>
                  <pic:blipFill>
                    <a:blip r:embed="rId16"/>
                    <a:stretch>
                      <a:fillRect/>
                    </a:stretch>
                  </pic:blipFill>
                  <pic:spPr>
                    <a:xfrm>
                      <a:off x="0" y="0"/>
                      <a:ext cx="5303520" cy="2604141"/>
                    </a:xfrm>
                    <a:prstGeom prst="rect"/>
                  </pic:spPr>
                </pic:pic>
              </a:graphicData>
            </a:graphic>
          </wp:inline>
        </w:drawing>
      </w:r>
    </w:p>
    <w:p>
      <w:pPr>
        <w:spacing w:after="240"/>
        <w:jc w:val="center"/>
      </w:pPr>
      <w:r>
        <w:rPr>
          <w:b/>
          <w:i/>
          <w:color w:val="4A5568"/>
          <w:sz w:val="19"/>
        </w:rPr>
        <w:t>Figure 5: Cost-per-Unit Comparison Across Inspection Approaches (Logarithmic Scale)</w:t>
      </w:r>
    </w:p>
    <w:p>
      <w:pPr>
        <w:spacing w:before="160" w:after="80"/>
      </w:pPr>
      <w:r>
        <w:rPr>
          <w:b/>
          <w:sz w:val="19"/>
        </w:rPr>
        <w:t>Table 9.1: Comparative Cost-Benefit Analysis Across Inspection Technologies</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Mar>
              <w:top w:w="120" w:type="dxa"/>
              <w:bottom w:w="120" w:type="dxa"/>
              <w:left w:w="140" w:type="dxa"/>
              <w:right w:w="140" w:type="dxa"/>
            </w:tcMar>
          </w:tcPr>
          <w:p>
            <w:pPr>
              <w:jc w:val="center"/>
            </w:pPr>
            <w:r>
              <w:rPr>
                <w:rFonts w:ascii="Calibri" w:hAnsi="Calibri"/>
                <w:b/>
                <w:color w:val="FFFFFF"/>
                <w:sz w:val="19"/>
              </w:rPr>
              <w:t>Inspection Methodology</w:t>
            </w:r>
          </w:p>
        </w:tc>
        <w:tc>
          <w:tcPr>
            <w:tcW w:type="dxa" w:w="2016"/>
            <w:shd w:fill="1B365D"/>
            <w:tcMar>
              <w:top w:w="120" w:type="dxa"/>
              <w:bottom w:w="120" w:type="dxa"/>
              <w:left w:w="140" w:type="dxa"/>
              <w:right w:w="140" w:type="dxa"/>
            </w:tcMar>
          </w:tcPr>
          <w:p>
            <w:pPr>
              <w:jc w:val="center"/>
            </w:pPr>
            <w:r>
              <w:rPr>
                <w:rFonts w:ascii="Calibri" w:hAnsi="Calibri"/>
                <w:b/>
                <w:color w:val="FFFFFF"/>
                <w:sz w:val="19"/>
              </w:rPr>
              <w:t>Approximate Unit Cost</w:t>
            </w:r>
          </w:p>
        </w:tc>
        <w:tc>
          <w:tcPr>
            <w:tcW w:type="dxa" w:w="2160"/>
            <w:shd w:fill="1B365D"/>
            <w:tcMar>
              <w:top w:w="120" w:type="dxa"/>
              <w:bottom w:w="120" w:type="dxa"/>
              <w:left w:w="140" w:type="dxa"/>
              <w:right w:w="140" w:type="dxa"/>
            </w:tcMar>
          </w:tcPr>
          <w:p>
            <w:pPr>
              <w:jc w:val="center"/>
            </w:pPr>
            <w:r>
              <w:rPr>
                <w:rFonts w:ascii="Calibri" w:hAnsi="Calibri"/>
                <w:b/>
                <w:color w:val="FFFFFF"/>
                <w:sz w:val="19"/>
              </w:rPr>
              <w:t>Inspection Cycle</w:t>
            </w:r>
          </w:p>
        </w:tc>
        <w:tc>
          <w:tcPr>
            <w:tcW w:type="dxa" w:w="2880"/>
            <w:shd w:fill="1B365D"/>
            <w:tcMar>
              <w:top w:w="120" w:type="dxa"/>
              <w:bottom w:w="120" w:type="dxa"/>
              <w:left w:w="140" w:type="dxa"/>
              <w:right w:w="140" w:type="dxa"/>
            </w:tcMar>
          </w:tcPr>
          <w:p>
            <w:pPr>
              <w:jc w:val="center"/>
            </w:pPr>
            <w:r>
              <w:rPr>
                <w:rFonts w:ascii="Calibri" w:hAnsi="Calibri"/>
                <w:b/>
                <w:color w:val="FFFFFF"/>
                <w:sz w:val="19"/>
              </w:rPr>
              <w:t>Key Operational Limitations</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Manual P-Way Foot Patrol</w:t>
            </w:r>
          </w:p>
        </w:tc>
        <w:tc>
          <w:tcPr>
            <w:tcW w:type="dxa" w:w="2016"/>
            <w:shd w:fill="FFFFFF"/>
            <w:tcMar>
              <w:top w:w="80" w:type="dxa"/>
              <w:bottom w:w="80" w:type="dxa"/>
              <w:left w:w="120" w:type="dxa"/>
              <w:right w:w="120" w:type="dxa"/>
            </w:tcMar>
          </w:tcPr>
          <w:p>
            <w:pPr>
              <w:spacing w:line="276" w:lineRule="auto" w:after="40"/>
            </w:pPr>
            <w:r>
              <w:rPr>
                <w:rFonts w:ascii="Calibri" w:hAnsi="Calibri"/>
                <w:color w:val="2D3748"/>
                <w:sz w:val="18"/>
              </w:rPr>
              <w:t>Recurring Labour (~₹5 L/yr/gang)</w:t>
            </w:r>
          </w:p>
        </w:tc>
        <w:tc>
          <w:tcPr>
            <w:tcW w:type="dxa" w:w="2160"/>
            <w:shd w:fill="FFFFFF"/>
            <w:tcMar>
              <w:top w:w="80" w:type="dxa"/>
              <w:bottom w:w="80" w:type="dxa"/>
              <w:left w:w="120" w:type="dxa"/>
              <w:right w:w="120" w:type="dxa"/>
            </w:tcMar>
          </w:tcPr>
          <w:p>
            <w:pPr>
              <w:spacing w:line="276" w:lineRule="auto" w:after="40"/>
            </w:pPr>
            <w:r>
              <w:rPr>
                <w:rFonts w:ascii="Calibri" w:hAnsi="Calibri"/>
                <w:color w:val="2D3748"/>
                <w:sz w:val="18"/>
              </w:rPr>
              <w:t>Every 8 to 9 days</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Subjective visual estimation; unable to detect sub-mm progressive gauge widening</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Imported TRC (Plasser EM-120)</w:t>
            </w:r>
          </w:p>
        </w:tc>
        <w:tc>
          <w:tcPr>
            <w:tcW w:type="dxa" w:w="2016"/>
            <w:shd w:fill="F7FAFC"/>
            <w:tcMar>
              <w:top w:w="80" w:type="dxa"/>
              <w:bottom w:w="80" w:type="dxa"/>
              <w:left w:w="120" w:type="dxa"/>
              <w:right w:w="120" w:type="dxa"/>
            </w:tcMar>
          </w:tcPr>
          <w:p>
            <w:pPr>
              <w:spacing w:line="276" w:lineRule="auto" w:after="40"/>
            </w:pPr>
            <w:r>
              <w:rPr>
                <w:rFonts w:ascii="Calibri" w:hAnsi="Calibri"/>
                <w:color w:val="2D3748"/>
                <w:sz w:val="18"/>
              </w:rPr>
              <w:t>≈ ₹38 Crore</w:t>
            </w:r>
          </w:p>
        </w:tc>
        <w:tc>
          <w:tcPr>
            <w:tcW w:type="dxa" w:w="2160"/>
            <w:shd w:fill="F7FAFC"/>
            <w:tcMar>
              <w:top w:w="80" w:type="dxa"/>
              <w:bottom w:w="80" w:type="dxa"/>
              <w:left w:w="120" w:type="dxa"/>
              <w:right w:w="120" w:type="dxa"/>
            </w:tcMar>
          </w:tcPr>
          <w:p>
            <w:pPr>
              <w:spacing w:line="276" w:lineRule="auto" w:after="40"/>
            </w:pPr>
            <w:r>
              <w:rPr>
                <w:rFonts w:ascii="Calibri" w:hAnsi="Calibri"/>
                <w:color w:val="2D3748"/>
                <w:sz w:val="18"/>
              </w:rPr>
              <w:t>~2 times per year (Trunk only)</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Prohibitive capital cost; skips 35% of network (branch lines); foreign spare parts</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Imported ITMS Coach</w:t>
            </w:r>
          </w:p>
        </w:tc>
        <w:tc>
          <w:tcPr>
            <w:tcW w:type="dxa" w:w="2016"/>
            <w:shd w:fill="FFFFFF"/>
            <w:tcMar>
              <w:top w:w="80" w:type="dxa"/>
              <w:bottom w:w="80" w:type="dxa"/>
              <w:left w:w="120" w:type="dxa"/>
              <w:right w:w="120" w:type="dxa"/>
            </w:tcMar>
          </w:tcPr>
          <w:p>
            <w:pPr>
              <w:spacing w:line="276" w:lineRule="auto" w:after="40"/>
            </w:pPr>
            <w:r>
              <w:rPr>
                <w:rFonts w:ascii="Calibri" w:hAnsi="Calibri"/>
                <w:color w:val="2D3748"/>
                <w:sz w:val="18"/>
              </w:rPr>
              <w:t>₹60 to 110 Crore</w:t>
            </w:r>
          </w:p>
        </w:tc>
        <w:tc>
          <w:tcPr>
            <w:tcW w:type="dxa" w:w="2160"/>
            <w:shd w:fill="FFFFFF"/>
            <w:tcMar>
              <w:top w:w="80" w:type="dxa"/>
              <w:bottom w:w="80" w:type="dxa"/>
              <w:left w:w="120" w:type="dxa"/>
              <w:right w:w="120" w:type="dxa"/>
            </w:tcMar>
          </w:tcPr>
          <w:p>
            <w:pPr>
              <w:spacing w:line="276" w:lineRule="auto" w:after="40"/>
            </w:pPr>
            <w:r>
              <w:rPr>
                <w:rFonts w:ascii="Calibri" w:hAnsi="Calibri"/>
                <w:color w:val="2D3748"/>
                <w:sz w:val="18"/>
              </w:rPr>
              <w:t>High speed, continuous</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Vendor lock-in; proprietary software; high annual software maintenance licenses</w:t>
            </w:r>
          </w:p>
        </w:tc>
      </w:tr>
      <w:tr>
        <w:tc>
          <w:tcPr>
            <w:tcW w:type="dxa" w:w="2592"/>
            <w:shd w:fill="F7FAFC"/>
            <w:tcMar>
              <w:top w:w="80" w:type="dxa"/>
              <w:bottom w:w="80" w:type="dxa"/>
              <w:left w:w="120" w:type="dxa"/>
              <w:right w:w="120" w:type="dxa"/>
            </w:tcMar>
          </w:tcPr>
          <w:p>
            <w:pPr>
              <w:spacing w:line="276" w:lineRule="auto" w:after="40"/>
            </w:pPr>
            <w:r>
              <w:rPr>
                <w:rFonts w:ascii="Calibri" w:hAnsi="Calibri"/>
                <w:b/>
                <w:color w:val="2D3748"/>
                <w:sz w:val="18"/>
              </w:rPr>
              <w:t>RDSO Indigenous TRC (Target)</w:t>
            </w:r>
          </w:p>
        </w:tc>
        <w:tc>
          <w:tcPr>
            <w:tcW w:type="dxa" w:w="2016"/>
            <w:shd w:fill="F7FAFC"/>
            <w:tcMar>
              <w:top w:w="80" w:type="dxa"/>
              <w:bottom w:w="80" w:type="dxa"/>
              <w:left w:w="120" w:type="dxa"/>
              <w:right w:w="120" w:type="dxa"/>
            </w:tcMar>
          </w:tcPr>
          <w:p>
            <w:pPr>
              <w:spacing w:line="276" w:lineRule="auto" w:after="40"/>
            </w:pPr>
            <w:r>
              <w:rPr>
                <w:rFonts w:ascii="Calibri" w:hAnsi="Calibri"/>
                <w:color w:val="2D3748"/>
                <w:sz w:val="18"/>
              </w:rPr>
              <w:t>≈ ₹13.8 Crore</w:t>
            </w:r>
          </w:p>
        </w:tc>
        <w:tc>
          <w:tcPr>
            <w:tcW w:type="dxa" w:w="2160"/>
            <w:shd w:fill="F7FAFC"/>
            <w:tcMar>
              <w:top w:w="80" w:type="dxa"/>
              <w:bottom w:w="80" w:type="dxa"/>
              <w:left w:w="120" w:type="dxa"/>
              <w:right w:w="120" w:type="dxa"/>
            </w:tcMar>
          </w:tcPr>
          <w:p>
            <w:pPr>
              <w:spacing w:line="276" w:lineRule="auto" w:after="40"/>
            </w:pPr>
            <w:r>
              <w:rPr>
                <w:rFonts w:ascii="Calibri" w:hAnsi="Calibri"/>
                <w:color w:val="2D3748"/>
                <w:sz w:val="18"/>
              </w:rPr>
              <w:t>Quarterly (Trunk + main branches)</w:t>
            </w:r>
          </w:p>
        </w:tc>
        <w:tc>
          <w:tcPr>
            <w:tcW w:type="dxa" w:w="2880"/>
            <w:shd w:fill="F7FAFC"/>
            <w:tcMar>
              <w:top w:w="80" w:type="dxa"/>
              <w:bottom w:w="80" w:type="dxa"/>
              <w:left w:w="120" w:type="dxa"/>
              <w:right w:w="120" w:type="dxa"/>
            </w:tcMar>
          </w:tcPr>
          <w:p>
            <w:pPr>
              <w:spacing w:line="276" w:lineRule="auto" w:after="40"/>
            </w:pPr>
            <w:r>
              <w:rPr>
                <w:rFonts w:ascii="Calibri" w:hAnsi="Calibri"/>
                <w:color w:val="2D3748"/>
                <w:sz w:val="18"/>
              </w:rPr>
              <w:t>Currently under trial on Lucknow–Kanpur corridor; coach scale only</w:t>
            </w:r>
          </w:p>
        </w:tc>
      </w:tr>
      <w:tr>
        <w:tc>
          <w:tcPr>
            <w:tcW w:type="dxa" w:w="2592"/>
            <w:shd w:fill="FFFFFF"/>
            <w:tcMar>
              <w:top w:w="80" w:type="dxa"/>
              <w:bottom w:w="80" w:type="dxa"/>
              <w:left w:w="120" w:type="dxa"/>
              <w:right w:w="120" w:type="dxa"/>
            </w:tcMar>
          </w:tcPr>
          <w:p>
            <w:pPr>
              <w:spacing w:line="276" w:lineRule="auto" w:after="40"/>
            </w:pPr>
            <w:r>
              <w:rPr>
                <w:rFonts w:ascii="Calibri" w:hAnsi="Calibri"/>
                <w:b/>
                <w:color w:val="2D3748"/>
                <w:sz w:val="18"/>
              </w:rPr>
              <w:t>TR-09 ITMS (This Project)</w:t>
            </w:r>
          </w:p>
        </w:tc>
        <w:tc>
          <w:tcPr>
            <w:tcW w:type="dxa" w:w="2016"/>
            <w:shd w:fill="FFFFFF"/>
            <w:tcMar>
              <w:top w:w="80" w:type="dxa"/>
              <w:bottom w:w="80" w:type="dxa"/>
              <w:left w:w="120" w:type="dxa"/>
              <w:right w:w="120" w:type="dxa"/>
            </w:tcMar>
          </w:tcPr>
          <w:p>
            <w:pPr>
              <w:spacing w:line="276" w:lineRule="auto" w:after="40"/>
            </w:pPr>
            <w:r>
              <w:rPr>
                <w:rFonts w:ascii="Calibri" w:hAnsi="Calibri"/>
                <w:color w:val="2D3748"/>
                <w:sz w:val="18"/>
              </w:rPr>
              <w:t>₹1.35 Lakh (₹1,35,500)</w:t>
            </w:r>
          </w:p>
        </w:tc>
        <w:tc>
          <w:tcPr>
            <w:tcW w:type="dxa" w:w="2160"/>
            <w:shd w:fill="FFFFFF"/>
            <w:tcMar>
              <w:top w:w="80" w:type="dxa"/>
              <w:bottom w:w="80" w:type="dxa"/>
              <w:left w:w="120" w:type="dxa"/>
              <w:right w:w="120" w:type="dxa"/>
            </w:tcMar>
          </w:tcPr>
          <w:p>
            <w:pPr>
              <w:spacing w:line="276" w:lineRule="auto" w:after="40"/>
            </w:pPr>
            <w:r>
              <w:rPr>
                <w:rFonts w:ascii="Calibri" w:hAnsi="Calibri"/>
                <w:color w:val="2D3748"/>
                <w:sz w:val="18"/>
              </w:rPr>
              <w:t>Bi-weekly / on-demand</w:t>
            </w:r>
          </w:p>
        </w:tc>
        <w:tc>
          <w:tcPr>
            <w:tcW w:type="dxa" w:w="2880"/>
            <w:shd w:fill="FFFFFF"/>
            <w:tcMar>
              <w:top w:w="80" w:type="dxa"/>
              <w:bottom w:w="80" w:type="dxa"/>
              <w:left w:w="120" w:type="dxa"/>
              <w:right w:w="120" w:type="dxa"/>
            </w:tcMar>
          </w:tcPr>
          <w:p>
            <w:pPr>
              <w:spacing w:line="276" w:lineRule="auto" w:after="40"/>
            </w:pPr>
            <w:r>
              <w:rPr>
                <w:rFonts w:ascii="Calibri" w:hAnsi="Calibri"/>
                <w:color w:val="2D3748"/>
                <w:sz w:val="18"/>
              </w:rPr>
              <w:t>Hand-trolley push speed (3.6 to 6 km/h); 100% Indian parts; open reference</w:t>
            </w:r>
          </w:p>
        </w:tc>
      </w:tr>
    </w:tbl>
    <w:p>
      <w:pPr>
        <w:spacing w:after="160"/>
      </w:pPr>
    </w:p>
    <w:p>
      <w:pPr>
        <w:spacing w:line="276" w:lineRule="auto"/>
      </w:pPr>
      <w:r>
        <w:t>By delivering sub-millimetre geometry measurement at a cost of ₹1.35 Lakhs per unit, a railway division can instrument an entire operational section for less than the cost of a single imported replacement sensor head. This enables bi-weekly objective digital audits on rural branch lines that currently receive automated inspection only once or twice a year.</w:t>
      </w:r>
    </w:p>
    <w:p>
      <w:r>
        <w:br w:type="page"/>
      </w:r>
    </w:p>
    <w:p>
      <w:pPr>
        <w:pStyle w:val="Heading1"/>
      </w:pPr>
      <w:r>
        <w:rPr>
          <w:color w:val="1B365D"/>
        </w:rPr>
        <w:t>10. Conclusion &amp; Technical Future Scope</w:t>
      </w:r>
    </w:p>
    <w:p>
      <w:pPr>
        <w:spacing w:line="276" w:lineRule="auto"/>
      </w:pPr>
      <w:r>
        <w:t>The TR-09 project demonstrates that high-precision, contactless track geometry monitoring and AI-powered visual defect detection can be accomplished reliably on a low-cost, trolley-mounted edge computing platform without relying on multi-crore imported inspection coaches. By fusing dual triangulation laser distance scanners, a 9-axis MEMS IMU, and RTK-GNSS positioning on an NVIDIA Jetson Orin Nano, the system achieves ±0.62 mm gauge accuracy, ±0.88 mm cross-level accuracy, and 100% detection of blinded rail fastener defects within a total hardware parts expenditure of ₹1,35,500.</w:t>
        <w:br/>
        <w:br/>
        <w:t>The project has been released as an open reference design on GitHub, complete with modular Python drivers, simulation engines, a standalone desktop inspection GUI, and annotated defect image datasets.</w:t>
      </w:r>
    </w:p>
    <w:p>
      <w:pPr>
        <w:pStyle w:val="Heading2"/>
      </w:pPr>
      <w:r>
        <w:t>10.1 Future Technical Scope</w:t>
      </w:r>
    </w:p>
    <w:p>
      <w:pPr>
        <w:spacing w:line="276" w:lineRule="auto" w:after="280"/>
      </w:pPr>
      <w:r>
        <w:t>1. Ultrasonic Internal Flaw Integration: Expanding the sensor suite to include electromagnetic acoustic transducers (EMAT) or phased-array ultrasound to detect internal rail web and head fatigue cracks beneath the surface.</w:t>
        <w:br/>
        <w:t>2. Motorized Autonomous Operation: Integrating a low-power brushless DC hub motor with obstacle-detection LiDAR for autonomous section patrolling between scheduled train blocks.</w:t>
        <w:br/>
        <w:t>3. Integration with Indian Railways TMS: Developing automated API connectors conforming to the Indian Railway Track Management System (IRPSM) data schema for direct work-order generation.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36" w:space="0" w:color="1B365D"/>
              <w:top w:val="none"/>
              <w:right w:val="none"/>
              <w:bottom w:val="none"/>
            </w:tcBorders>
          </w:tcPr>
          <w:p>
            <w:pPr>
              <w:spacing w:before="40" w:after="40" w:line="276" w:lineRule="auto"/>
            </w:pPr>
            <w:r>
              <w:rPr>
                <w:rFonts w:ascii="Calibri" w:hAnsi="Calibri"/>
                <w:b/>
                <w:color w:val="1B365D"/>
                <w:sz w:val="21"/>
              </w:rPr>
              <w:t>Open-Source Reference Repository &amp; Execution</w:t>
              <w:br/>
            </w:r>
            <w:r>
              <w:rPr>
                <w:rFonts w:ascii="Calibri" w:hAnsi="Calibri"/>
                <w:color w:val="2D3748"/>
                <w:sz w:val="19"/>
              </w:rPr>
              <w:t>Official GitHub Open-Source Repository:</w:t>
              <w:br/>
              <w:t>https://github.com/soham3096/TR-09-Contactless-Track-Monitoring-System</w:t>
              <w:br/>
              <w:br/>
              <w:t>Execution Command (Native Desktop GUI):</w:t>
              <w:br/>
              <w:t xml:space="preserve">  python main.py</w:t>
              <w:br/>
              <w:br/>
              <w:t>Execution Command (High-Speed Terminal Mode):</w:t>
              <w:br/>
              <w:t xml:space="preserve">  python main.py --cli</w:t>
            </w:r>
          </w:p>
        </w:tc>
      </w:tr>
    </w:tbl>
    <w:p>
      <w:pPr>
        <w:spacing w:after="80"/>
      </w:pPr>
    </w:p>
    <w:p>
      <w:r>
        <w:br w:type="page"/>
      </w:r>
    </w:p>
    <w:p>
      <w:pPr>
        <w:pStyle w:val="Heading1"/>
      </w:pPr>
      <w:r>
        <w:rPr>
          <w:color w:val="1B365D"/>
        </w:rPr>
        <w:t>11. References</w:t>
      </w:r>
    </w:p>
    <w:p>
      <w:pPr>
        <w:spacing w:line="276" w:lineRule="auto" w:after="80"/>
      </w:pPr>
      <w:r>
        <w:rPr>
          <w:sz w:val="19"/>
        </w:rPr>
        <w:t>[1] R. Iyer and M. Hassan, "Laser-IMU sensor fusion for high-speed rail geometry monitoring," IEEE Sensors Journal, vol. 24, no. 9, pp. 14211–14224, May 2024.</w:t>
      </w:r>
    </w:p>
    <w:p>
      <w:pPr>
        <w:spacing w:line="276" w:lineRule="auto" w:after="80"/>
      </w:pPr>
      <w:r>
        <w:rPr>
          <w:sz w:val="19"/>
        </w:rPr>
        <w:t>[2] H. Wei, J. Lin, and Q. Zhao, "A CNN-Transformer architecture for rail fastener defect detection," Pattern Recognition Letters, vol. 168, pp. 32–41, 2023.</w:t>
      </w:r>
    </w:p>
    <w:p>
      <w:pPr>
        <w:spacing w:line="276" w:lineRule="auto" w:after="80"/>
      </w:pPr>
      <w:r>
        <w:rPr>
          <w:sz w:val="19"/>
        </w:rPr>
        <w:t>[3] V. Krishnan, "Indigenous track-monitoring in India: a 2030 roadmap," Indian Railways Technical Bulletin, vol. 50, no. 2, pp. 11–28, 2023.</w:t>
      </w:r>
    </w:p>
    <w:p>
      <w:pPr>
        <w:spacing w:line="276" w:lineRule="auto" w:after="80"/>
      </w:pPr>
      <w:r>
        <w:rPr>
          <w:sz w:val="19"/>
        </w:rPr>
        <w:t>[4] T. Adeyemi and J. Park, "A low-cost MEMS-IMU node for unattended ride-quality monitoring," Measurement, vol. 201, art. 111728, 2022.</w:t>
      </w:r>
    </w:p>
    <w:p>
      <w:pPr>
        <w:spacing w:line="276" w:lineRule="auto" w:after="80"/>
      </w:pPr>
      <w:r>
        <w:rPr>
          <w:sz w:val="19"/>
        </w:rPr>
        <w:t>[5] N. Sharma, A. Bose, and P. Menon, "Thermally-aware edge ML for rail surface inspection on Jetson platforms," Journal of Embedded Systems, vol. 18, no. 1, pp. 55–72, 2025.</w:t>
      </w:r>
    </w:p>
    <w:p>
      <w:pPr>
        <w:spacing w:line="276" w:lineRule="auto" w:after="80"/>
      </w:pPr>
      <w:r>
        <w:rPr>
          <w:sz w:val="19"/>
        </w:rPr>
        <w:t>[6] DRDO Technical Bulletin on Railways, Indigenous Track Recording Car: Trial Outcomes on the Lucknow–Kanpur Section, DRDO/2024/TBR/017, New Delhi, 2024.</w:t>
      </w:r>
    </w:p>
    <w:p>
      <w:pPr>
        <w:spacing w:line="276" w:lineRule="auto" w:after="80"/>
      </w:pPr>
      <w:r>
        <w:rPr>
          <w:sz w:val="19"/>
        </w:rPr>
        <w:t>[7] S. Banerjee, R. Datta, and K. Iyer, "RTK-GNSS positioning drift on Indian railway sections," Journal of Navigation, vol. 77, no. 3, pp. 412–429, 2024.</w:t>
      </w:r>
    </w:p>
    <w:p>
      <w:pPr>
        <w:spacing w:line="276" w:lineRule="auto" w:after="80"/>
      </w:pPr>
      <w:r>
        <w:rPr>
          <w:sz w:val="19"/>
        </w:rPr>
        <w:t>[8] L. Müller and T. Sato, "Line-scan vision for ballast wear classification," Computers in Industry, vol. 152, art. 104010, 2023.</w:t>
      </w:r>
    </w:p>
    <w:p>
      <w:pPr>
        <w:spacing w:line="276" w:lineRule="auto" w:after="80"/>
      </w:pPr>
      <w:r>
        <w:rPr>
          <w:sz w:val="19"/>
        </w:rPr>
        <w:t>[9] Research Designs and Standards Organisation (RDSO), Specification for Indigenous Integrated Track Monitoring Systems, RDSO/2024/TM/SPEC/0019, Lucknow, India, 2024.</w:t>
      </w:r>
    </w:p>
    <w:p>
      <w:pPr>
        <w:spacing w:line="276" w:lineRule="auto" w:after="80"/>
      </w:pPr>
      <w:r>
        <w:rPr>
          <w:sz w:val="19"/>
        </w:rPr>
        <w:t>[10] Ministry of Railways (Government of India), Annual Railway Safety Review 2024, Safety Directorate, New Delhi, 2024.</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Technical Engineering Project Report  •  Academic Year 2025–26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TR-09: Indigenous Contactless ITMS | MPSTME NMIMS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