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GEOPOLITICAL SHOCKS AND DEFENSE EQUITY RETURNS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FAC"/>
          <w:sz w:val="28"/>
          <w:szCs w:val="28"/>
        </w:rPr>
        <w:t xml:space="preserve">A Neural Event Study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Condensed 2–3 Week Roadmap  |  3-Person Team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This Project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studies how geopolitical events (wars, sanctions, arms deals, defense budget decisions) affect the stock prices of US defense companies. It uses a neural network instead of classical OLS to capture non-linear patterns that linear methods miss.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core methodology is an event study: for each geopolitical incident, compute the Cumulative Abnormal Return (CAR) — the portion of stock movement attributable to the event rather than market-wide moves. A neural network then predicts CARs using event text embeddings (NLP) and macro variables. SHAP values decompose each prediction into feature contributions, producing the core analytical finding.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Scope Decisions for the Sprint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hit a 2–3 week timeline, the following simplifications apply: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MLP only. Skip the Transformer unless you have 500+ events AND multiple concurrent events need joint modeling — this is unlikely and the complexity is not worth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EDA is functional, not exhaustive. Produce the key plots (CAR distributions, box plots by CAMEO and ticker, macro scatter plots). Do not over-iterate.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Paper is a working paper, not a submission. Target 15–18 pages. Cut the Literature Review to 1 page of citations and move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Walk-forward CV uses 3–4 folds max. Enough to show temporal honesty without consuming a week on evaluation alone.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54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Pipeline &amp;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prices (yfinance), GDELT events (BigQuery), FRED macro data. Compute CARs (OLS). Assemble modeling dataset.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repo, environment, PyTorch. Write walk-forward CV splitter. Build sentence embedding pipeline (all-MiniLM-L6-v2).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event study methodology. Manual SIPRI/DSCA arms-deal dataset. Count events per CAMEO category — confirm MLP is sufficient.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 + Model Build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quality checks. Sanity check: Russia-Ukraine Feb 2022 CARs positive for LMT/NOC? Fix pipeline bugs.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EDA: CAR distributions, box plots by ticker/CAMEO, macro correlations. OLS baseline R². Build &amp; train MLP (389→256→128→64→1). Tune with walk-forward CV. Compute SHAP values.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Visualizations: CAR plots, SHAP bar charts, SHAP waterfall plots for 3–5 notable events. Draft EDA section.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Ablation, SHAP &amp; Write-Up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Data section. Run ablation logging (embedding-only, macro-only, full). Freeze final dataset.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 studies. Finalize model. Clean and document all code.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 SHAP results jointly. Write full paper (Introduction, Literature, Results, Discussion, Conclusion). Assemble final draft.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Weekly Deliverable Checkpoints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 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CSV, GDELT events CSV, macro CSV, CARs CSV, modeling dataset assembled, repo live with all pipeline scripts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 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OLS baseline R² recorded, MLP trained with walk-forward CV metrics, SHAP values computed, all EDA plots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 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 results, finalized model, complete paper draft, clean documented codebase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Model Specification (MLP)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384-dim event embedding (all-MiniLM-L6-v2) + 5 macro features (VIX, 10Y yield, HY spread, USD index, WTI crude) = 389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Hidden layers: 256 → 128 → 64, ReLU activations, dropout 0.2 between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1 scalar (predicted CAR)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Loss: MSE (switch to Huber loss δ=1.0 if CAR outliers are severe)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Optimizer: AdamW, lr=1e-3, weight_decay=1e-4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Training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Walk-forward cross-validation: train on years T, test on T+1 and T+2. Repeat rolling forward. Use 3–4 folds.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out-of-sample R² and MAE. Compare against OLS baseline (CAR ~ macro dummies).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Ablation: (1) embedding only, (2) macro only, (3) full model. Record R² for each.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SHAP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SHAP is the core intellectual contribution. Run it after the model is finalized.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shap.KernelExplainer or shap.DeepExplainer depending on model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Produce: (1) mean absolute SHAP by macro feature — which macro variable matters most; (2) mean absolute SHAP by CAMEO category — which event types drive signal; (3) SHAP by ticker — do PLTR/KTOS differ from LMT/NOC; (4) waterfall plots for 3–5 notable events (Russia-Ukraine invasion, a major arms deal, a sanctions announcement).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Interpretation session (all three, ~2 hours): Does VIX dominate? (macro trade, not event trade.) Do conflict events (19x) beat threats (13x)? (markets surprised by escalation.) Do non-traditional contractors respond differently?)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Paper Structure (15–18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Introduction (1–2 pages): Motivation, research question, preview of findings.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Literature Review (1 page): 8–10 key citations. Skim, don't deep-dive.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(2–3 pages): Sources, filtering rules, summary stats, 2–3 EDA figures. Person A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Methodology (2–3 pages): Event study setup, MLP architecture, walk-forward CV, SHAP. Person B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(3–4 pages): Out-of-sample performance, ablation table, SHAP figures. Person C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Discussion (1–2 pages): Economic interpretation, limitations.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Conclusion (0.5 page): Summary and future work.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Risks and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Noisy GDELT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NumMentions ≥ 5; deduplicate by (date, actor1, actor2, eventcode); spot-check 50 events manually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 per-category sample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events in Week 1. If &lt; 50 per category, collapse CAMEO codes. MLP is sufficient — skip Transformer.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Overlapping event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events within 10 days of another event for the same ticker. Document 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PLTR / KTOS short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results separately for pre-2020 and post-2020 tickers.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Overfitting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Walk-forward CV, dropout (0.2), AdamW weight decay. Monitor train vs test loss each epoch.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Start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the GitHub repo with folder structure: data/raw/, data/processed/, models/, notebooks/, paper/.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a FRED API key at fred.stlouisfed.org (2 minutes, free).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Google BigQuery free tier — GDELT is pre-loaded and you get 1 TB free queries/month.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the environment: yfinance, pandas, numpy, scipy, fredapi, sentence-transformers, torch, shap, statsmodels, matplotlib, seaborn.</w:t>
      </w:r>
    </w:p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6"/>
          <w:szCs w:val="26"/>
        </w:rPr>
        <w:t xml:space="preserve">Build something worth reading.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2026-04-10T22:59:01.732Z</dcterms:created>
  <dcterms:modified xsi:type="dcterms:W3CDTF">2026-04-10T22:59:01.732Z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