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CC0000"/>
          <w:sz w:val="44"/>
        </w:rPr>
        <w:t>EWMA VaR Independent Validation Report</w:t>
      </w:r>
    </w:p>
    <w:p>
      <w:pPr>
        <w:spacing w:after="160"/>
      </w:pPr>
      <w:r>
        <w:rPr>
          <w:color w:val="595959"/>
          <w:sz w:val="24"/>
        </w:rPr>
        <w:t>Independent validation updated through Phase III sensitivity and stress testing</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tcMar>
              <w:top w:w="70" w:type="dxa"/>
              <w:start w:w="90" w:type="dxa"/>
              <w:bottom w:w="70" w:type="dxa"/>
              <w:end w:w="90" w:type="dxa"/>
            </w:tcMar>
            <w:shd w:fill="F2F2F2"/>
            <w:vAlign w:val="center"/>
          </w:tcPr>
          <w:p>
            <w:r>
              <w:rPr>
                <w:b/>
                <w:sz w:val="17"/>
              </w:rPr>
              <w:t>Model</w:t>
            </w:r>
          </w:p>
        </w:tc>
        <w:tc>
          <w:tcPr>
            <w:tcW w:type="dxa" w:w="2541"/>
            <w:tcMar>
              <w:top w:w="70" w:type="dxa"/>
              <w:start w:w="90" w:type="dxa"/>
              <w:bottom w:w="70" w:type="dxa"/>
              <w:end w:w="90" w:type="dxa"/>
            </w:tcMar>
            <w:vAlign w:val="center"/>
          </w:tcPr>
          <w:p>
            <w:r>
              <w:rPr>
                <w:sz w:val="17"/>
              </w:rPr>
              <w:t>EWMA VaR (lambda = 0.94)</w:t>
            </w:r>
          </w:p>
        </w:tc>
        <w:tc>
          <w:tcPr>
            <w:tcW w:type="dxa" w:w="2541"/>
            <w:tcMar>
              <w:top w:w="70" w:type="dxa"/>
              <w:start w:w="90" w:type="dxa"/>
              <w:bottom w:w="70" w:type="dxa"/>
              <w:end w:w="90" w:type="dxa"/>
            </w:tcMar>
            <w:shd w:fill="F2F2F2"/>
            <w:vAlign w:val="center"/>
          </w:tcPr>
          <w:p>
            <w:r>
              <w:rPr>
                <w:b/>
                <w:sz w:val="17"/>
              </w:rPr>
              <w:t>Developer</w:t>
            </w:r>
          </w:p>
        </w:tc>
        <w:tc>
          <w:tcPr>
            <w:tcW w:type="dxa" w:w="2541"/>
            <w:tcMar>
              <w:top w:w="70" w:type="dxa"/>
              <w:start w:w="90" w:type="dxa"/>
              <w:bottom w:w="70" w:type="dxa"/>
              <w:end w:w="90" w:type="dxa"/>
            </w:tcMar>
            <w:vAlign w:val="center"/>
          </w:tcPr>
          <w:p>
            <w:r>
              <w:rPr>
                <w:sz w:val="17"/>
              </w:rPr>
              <w:t>Sai Vakkalagadda</w:t>
            </w:r>
          </w:p>
        </w:tc>
      </w:tr>
      <w:tr>
        <w:tc>
          <w:tcPr>
            <w:tcW w:type="dxa" w:w="2541"/>
            <w:tcMar>
              <w:top w:w="70" w:type="dxa"/>
              <w:start w:w="90" w:type="dxa"/>
              <w:bottom w:w="70" w:type="dxa"/>
              <w:end w:w="90" w:type="dxa"/>
            </w:tcMar>
            <w:shd w:fill="F2F2F2"/>
            <w:vAlign w:val="center"/>
          </w:tcPr>
          <w:p>
            <w:r>
              <w:rPr>
                <w:b/>
                <w:sz w:val="17"/>
              </w:rPr>
              <w:t>Validator</w:t>
            </w:r>
          </w:p>
        </w:tc>
        <w:tc>
          <w:tcPr>
            <w:tcW w:type="dxa" w:w="2541"/>
            <w:tcMar>
              <w:top w:w="70" w:type="dxa"/>
              <w:start w:w="90" w:type="dxa"/>
              <w:bottom w:w="70" w:type="dxa"/>
              <w:end w:w="90" w:type="dxa"/>
            </w:tcMar>
            <w:vAlign w:val="center"/>
          </w:tcPr>
          <w:p>
            <w:r>
              <w:rPr>
                <w:sz w:val="17"/>
              </w:rPr>
              <w:t>Thomas Flaim</w:t>
            </w:r>
          </w:p>
        </w:tc>
        <w:tc>
          <w:tcPr>
            <w:tcW w:type="dxa" w:w="2541"/>
            <w:tcMar>
              <w:top w:w="70" w:type="dxa"/>
              <w:start w:w="90" w:type="dxa"/>
              <w:bottom w:w="70" w:type="dxa"/>
              <w:end w:w="90" w:type="dxa"/>
            </w:tcMar>
            <w:shd w:fill="F2F2F2"/>
            <w:vAlign w:val="center"/>
          </w:tcPr>
          <w:p>
            <w:r>
              <w:rPr>
                <w:b/>
                <w:sz w:val="17"/>
              </w:rPr>
              <w:t>Report date</w:t>
            </w:r>
          </w:p>
        </w:tc>
        <w:tc>
          <w:tcPr>
            <w:tcW w:type="dxa" w:w="2541"/>
            <w:tcMar>
              <w:top w:w="70" w:type="dxa"/>
              <w:start w:w="90" w:type="dxa"/>
              <w:bottom w:w="70" w:type="dxa"/>
              <w:end w:w="90" w:type="dxa"/>
            </w:tcMar>
            <w:vAlign w:val="center"/>
          </w:tcPr>
          <w:p>
            <w:r>
              <w:t>October 26, 2026</w:t>
            </w:r>
          </w:p>
        </w:tc>
      </w:tr>
    </w:tbl>
    <w:p/>
    <w:p>
      <w:r>
        <w:rPr>
          <w:b/>
          <w:sz w:val="21"/>
        </w:rPr>
        <w:t xml:space="preserve">Purpose. </w:t>
      </w:r>
      <w:r>
        <w:rPr>
          <w:sz w:val="21"/>
        </w:rPr>
        <w:t>This report independently validates the team's EWMA Value-at-Risk model for a hypothetical $1,000,000 long SPY portfolio. The review covers model familiarization, conceptual soundness, data and implementation checks, independent calculation verification, exception analysis, statistical backtesting, benchmarking, parameter sensitivity, and historical stress-period behavior.</w:t>
      </w:r>
    </w:p>
    <w:p>
      <w:pPr>
        <w:pStyle w:val="Heading1"/>
      </w:pPr>
      <w:r>
        <w:t>1. Model Overview</w:t>
      </w:r>
    </w:p>
    <w:p>
      <w:r>
        <w:rPr>
          <w:b/>
        </w:rPr>
        <w:t xml:space="preserve">Methodology. </w:t>
      </w:r>
      <w:r>
        <w:t>The model estimates 1-day, 99% VaR using an exponentially weighted moving average (EWMA) volatility forecast. Daily simple SPY returns are converted to portfolio P&amp;L using a constant $1,000,000 exposure. The conditional mean is set to zero and next-day returns are assumed Normal conditional on the EWMA volatility estimate.</w:t>
      </w:r>
    </w:p>
    <w:p>
      <w:pPr>
        <w:jc w:val="center"/>
      </w:pPr>
      <w:r>
        <w:rPr>
          <w:b/>
          <w:sz w:val="22"/>
        </w:rPr>
        <w:t>sigma_t^2 = 0.94 sigma_(t-1)^2 + 0.06 r_(t-1)^2</w:t>
      </w:r>
    </w:p>
    <w:p>
      <w:pPr>
        <w:jc w:val="center"/>
      </w:pPr>
      <w:r>
        <w:rPr>
          <w:b/>
          <w:sz w:val="22"/>
        </w:rPr>
        <w:t>VaR_t = $1,000,000 x z_0.99 x sigma_t,   z_0.99 ≈ 2.3263</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CC0000"/>
            <w:tcMar>
              <w:top w:w="70" w:type="dxa"/>
              <w:start w:w="90" w:type="dxa"/>
              <w:bottom w:w="70" w:type="dxa"/>
              <w:end w:w="90" w:type="dxa"/>
            </w:tcMar>
          </w:tcPr>
          <w:p>
            <w:r>
              <w:rPr>
                <w:b/>
                <w:color w:val="FFFFFF"/>
                <w:sz w:val="16"/>
              </w:rPr>
              <w:t>Parameter</w:t>
            </w:r>
          </w:p>
        </w:tc>
        <w:tc>
          <w:tcPr>
            <w:tcW w:type="dxa" w:w="2304"/>
            <w:shd w:fill="CC0000"/>
            <w:tcMar>
              <w:top w:w="70" w:type="dxa"/>
              <w:start w:w="90" w:type="dxa"/>
              <w:bottom w:w="70" w:type="dxa"/>
              <w:end w:w="90" w:type="dxa"/>
            </w:tcMar>
          </w:tcPr>
          <w:p>
            <w:r>
              <w:rPr>
                <w:b/>
                <w:color w:val="FFFFFF"/>
                <w:sz w:val="16"/>
              </w:rPr>
              <w:t>Value</w:t>
            </w:r>
          </w:p>
        </w:tc>
        <w:tc>
          <w:tcPr>
            <w:tcW w:type="dxa" w:w="5472"/>
            <w:shd w:fill="CC0000"/>
            <w:tcMar>
              <w:top w:w="70" w:type="dxa"/>
              <w:start w:w="90" w:type="dxa"/>
              <w:bottom w:w="70" w:type="dxa"/>
              <w:end w:w="90" w:type="dxa"/>
            </w:tcMar>
          </w:tcPr>
          <w:p>
            <w:r>
              <w:rPr>
                <w:b/>
                <w:color w:val="FFFFFF"/>
                <w:sz w:val="16"/>
              </w:rPr>
              <w:t>Validation comment</w:t>
            </w:r>
          </w:p>
        </w:tc>
      </w:tr>
      <w:tr>
        <w:tc>
          <w:tcPr>
            <w:tcW w:type="dxa" w:w="2304"/>
            <w:tcMar>
              <w:top w:w="70" w:type="dxa"/>
              <w:start w:w="90" w:type="dxa"/>
              <w:bottom w:w="70" w:type="dxa"/>
              <w:end w:w="90" w:type="dxa"/>
            </w:tcMar>
          </w:tcPr>
          <w:p>
            <w:r>
              <w:rPr>
                <w:sz w:val="16"/>
              </w:rPr>
              <w:t>Portfolio value</w:t>
            </w:r>
          </w:p>
        </w:tc>
        <w:tc>
          <w:tcPr>
            <w:tcW w:type="dxa" w:w="2304"/>
            <w:tcMar>
              <w:top w:w="70" w:type="dxa"/>
              <w:start w:w="90" w:type="dxa"/>
              <w:bottom w:w="70" w:type="dxa"/>
              <w:end w:w="90" w:type="dxa"/>
            </w:tcMar>
          </w:tcPr>
          <w:p>
            <w:r>
              <w:rPr>
                <w:sz w:val="16"/>
              </w:rPr>
              <w:t>$1,000,000</w:t>
            </w:r>
          </w:p>
        </w:tc>
        <w:tc>
          <w:tcPr>
            <w:tcW w:type="dxa" w:w="5472"/>
            <w:tcMar>
              <w:top w:w="70" w:type="dxa"/>
              <w:start w:w="90" w:type="dxa"/>
              <w:bottom w:w="70" w:type="dxa"/>
              <w:end w:w="90" w:type="dxa"/>
            </w:tcMar>
          </w:tcPr>
          <w:p>
            <w:r>
              <w:rPr>
                <w:sz w:val="16"/>
              </w:rPr>
              <w:t>Project specification</w:t>
            </w:r>
          </w:p>
        </w:tc>
      </w:tr>
      <w:tr>
        <w:tc>
          <w:tcPr>
            <w:tcW w:type="dxa" w:w="2304"/>
            <w:tcMar>
              <w:top w:w="70" w:type="dxa"/>
              <w:start w:w="90" w:type="dxa"/>
              <w:bottom w:w="70" w:type="dxa"/>
              <w:end w:w="90" w:type="dxa"/>
            </w:tcMar>
            <w:shd w:fill="FAFAFA"/>
          </w:tcPr>
          <w:p>
            <w:r>
              <w:rPr>
                <w:sz w:val="16"/>
              </w:rPr>
              <w:t>Forecast horizon</w:t>
            </w:r>
          </w:p>
        </w:tc>
        <w:tc>
          <w:tcPr>
            <w:tcW w:type="dxa" w:w="2304"/>
            <w:tcMar>
              <w:top w:w="70" w:type="dxa"/>
              <w:start w:w="90" w:type="dxa"/>
              <w:bottom w:w="70" w:type="dxa"/>
              <w:end w:w="90" w:type="dxa"/>
            </w:tcMar>
            <w:shd w:fill="FAFAFA"/>
          </w:tcPr>
          <w:p>
            <w:r>
              <w:rPr>
                <w:sz w:val="16"/>
              </w:rPr>
              <w:t>1 trading day</w:t>
            </w:r>
          </w:p>
        </w:tc>
        <w:tc>
          <w:tcPr>
            <w:tcW w:type="dxa" w:w="5472"/>
            <w:tcMar>
              <w:top w:w="70" w:type="dxa"/>
              <w:start w:w="90" w:type="dxa"/>
              <w:bottom w:w="70" w:type="dxa"/>
              <w:end w:w="90" w:type="dxa"/>
            </w:tcMar>
            <w:shd w:fill="FAFAFA"/>
          </w:tcPr>
          <w:p>
            <w:r>
              <w:rPr>
                <w:sz w:val="16"/>
              </w:rPr>
              <w:t>Project specification</w:t>
            </w:r>
          </w:p>
        </w:tc>
      </w:tr>
      <w:tr>
        <w:tc>
          <w:tcPr>
            <w:tcW w:type="dxa" w:w="2304"/>
            <w:tcMar>
              <w:top w:w="70" w:type="dxa"/>
              <w:start w:w="90" w:type="dxa"/>
              <w:bottom w:w="70" w:type="dxa"/>
              <w:end w:w="90" w:type="dxa"/>
            </w:tcMar>
          </w:tcPr>
          <w:p>
            <w:r>
              <w:rPr>
                <w:sz w:val="16"/>
              </w:rPr>
              <w:t>Confidence level</w:t>
            </w:r>
          </w:p>
        </w:tc>
        <w:tc>
          <w:tcPr>
            <w:tcW w:type="dxa" w:w="2304"/>
            <w:tcMar>
              <w:top w:w="70" w:type="dxa"/>
              <w:start w:w="90" w:type="dxa"/>
              <w:bottom w:w="70" w:type="dxa"/>
              <w:end w:w="90" w:type="dxa"/>
            </w:tcMar>
          </w:tcPr>
          <w:p>
            <w:r>
              <w:rPr>
                <w:sz w:val="16"/>
              </w:rPr>
              <w:t>99%</w:t>
            </w:r>
          </w:p>
        </w:tc>
        <w:tc>
          <w:tcPr>
            <w:tcW w:type="dxa" w:w="5472"/>
            <w:tcMar>
              <w:top w:w="70" w:type="dxa"/>
              <w:start w:w="90" w:type="dxa"/>
              <w:bottom w:w="70" w:type="dxa"/>
              <w:end w:w="90" w:type="dxa"/>
            </w:tcMar>
          </w:tcPr>
          <w:p>
            <w:r>
              <w:rPr>
                <w:sz w:val="16"/>
              </w:rPr>
              <w:t>Project specification</w:t>
            </w:r>
          </w:p>
        </w:tc>
      </w:tr>
      <w:tr>
        <w:tc>
          <w:tcPr>
            <w:tcW w:type="dxa" w:w="2304"/>
            <w:tcMar>
              <w:top w:w="70" w:type="dxa"/>
              <w:start w:w="90" w:type="dxa"/>
              <w:bottom w:w="70" w:type="dxa"/>
              <w:end w:w="90" w:type="dxa"/>
            </w:tcMar>
            <w:shd w:fill="FAFAFA"/>
          </w:tcPr>
          <w:p>
            <w:r>
              <w:rPr>
                <w:sz w:val="16"/>
              </w:rPr>
              <w:t>Decay factor</w:t>
            </w:r>
          </w:p>
        </w:tc>
        <w:tc>
          <w:tcPr>
            <w:tcW w:type="dxa" w:w="2304"/>
            <w:tcMar>
              <w:top w:w="70" w:type="dxa"/>
              <w:start w:w="90" w:type="dxa"/>
              <w:bottom w:w="70" w:type="dxa"/>
              <w:end w:w="90" w:type="dxa"/>
            </w:tcMar>
            <w:shd w:fill="FAFAFA"/>
          </w:tcPr>
          <w:p>
            <w:r>
              <w:rPr>
                <w:sz w:val="16"/>
              </w:rPr>
              <w:t>lambda = 0.94</w:t>
            </w:r>
          </w:p>
        </w:tc>
        <w:tc>
          <w:tcPr>
            <w:tcW w:type="dxa" w:w="5472"/>
            <w:tcMar>
              <w:top w:w="70" w:type="dxa"/>
              <w:start w:w="90" w:type="dxa"/>
              <w:bottom w:w="70" w:type="dxa"/>
              <w:end w:w="90" w:type="dxa"/>
            </w:tcMar>
            <w:shd w:fill="FAFAFA"/>
          </w:tcPr>
          <w:p>
            <w:r>
              <w:rPr>
                <w:sz w:val="16"/>
              </w:rPr>
              <w:t>RiskMetrics daily baseline; not fitted to SPY</w:t>
            </w:r>
          </w:p>
        </w:tc>
      </w:tr>
      <w:tr>
        <w:tc>
          <w:tcPr>
            <w:tcW w:type="dxa" w:w="2304"/>
            <w:tcMar>
              <w:top w:w="70" w:type="dxa"/>
              <w:start w:w="90" w:type="dxa"/>
              <w:bottom w:w="70" w:type="dxa"/>
              <w:end w:w="90" w:type="dxa"/>
            </w:tcMar>
          </w:tcPr>
          <w:p>
            <w:r>
              <w:rPr>
                <w:sz w:val="16"/>
              </w:rPr>
              <w:t>Conditional mean</w:t>
            </w:r>
          </w:p>
        </w:tc>
        <w:tc>
          <w:tcPr>
            <w:tcW w:type="dxa" w:w="2304"/>
            <w:tcMar>
              <w:top w:w="70" w:type="dxa"/>
              <w:start w:w="90" w:type="dxa"/>
              <w:bottom w:w="70" w:type="dxa"/>
              <w:end w:w="90" w:type="dxa"/>
            </w:tcMar>
          </w:tcPr>
          <w:p>
            <w:r>
              <w:rPr>
                <w:sz w:val="16"/>
              </w:rPr>
              <w:t>0</w:t>
            </w:r>
          </w:p>
        </w:tc>
        <w:tc>
          <w:tcPr>
            <w:tcW w:type="dxa" w:w="5472"/>
            <w:tcMar>
              <w:top w:w="70" w:type="dxa"/>
              <w:start w:w="90" w:type="dxa"/>
              <w:bottom w:w="70" w:type="dxa"/>
              <w:end w:w="90" w:type="dxa"/>
            </w:tcMar>
          </w:tcPr>
          <w:p>
            <w:r>
              <w:rPr>
                <w:sz w:val="16"/>
              </w:rPr>
              <w:t>Reasonable simplification for a 1-day horizon</w:t>
            </w:r>
          </w:p>
        </w:tc>
      </w:tr>
      <w:tr>
        <w:tc>
          <w:tcPr>
            <w:tcW w:type="dxa" w:w="2304"/>
            <w:tcMar>
              <w:top w:w="70" w:type="dxa"/>
              <w:start w:w="90" w:type="dxa"/>
              <w:bottom w:w="70" w:type="dxa"/>
              <w:end w:w="90" w:type="dxa"/>
            </w:tcMar>
            <w:shd w:fill="FAFAFA"/>
          </w:tcPr>
          <w:p>
            <w:r>
              <w:rPr>
                <w:sz w:val="16"/>
              </w:rPr>
              <w:t>Initialization</w:t>
            </w:r>
          </w:p>
        </w:tc>
        <w:tc>
          <w:tcPr>
            <w:tcW w:type="dxa" w:w="2304"/>
            <w:tcMar>
              <w:top w:w="70" w:type="dxa"/>
              <w:start w:w="90" w:type="dxa"/>
              <w:bottom w:w="70" w:type="dxa"/>
              <w:end w:w="90" w:type="dxa"/>
            </w:tcMar>
            <w:shd w:fill="FAFAFA"/>
          </w:tcPr>
          <w:p>
            <w:r>
              <w:rPr>
                <w:sz w:val="16"/>
              </w:rPr>
              <w:t>Mean squared return of first 250 returns</w:t>
            </w:r>
          </w:p>
        </w:tc>
        <w:tc>
          <w:tcPr>
            <w:tcW w:type="dxa" w:w="5472"/>
            <w:tcMar>
              <w:top w:w="70" w:type="dxa"/>
              <w:start w:w="90" w:type="dxa"/>
              <w:bottom w:w="70" w:type="dxa"/>
              <w:end w:w="90" w:type="dxa"/>
            </w:tcMar>
            <w:shd w:fill="FAFAFA"/>
          </w:tcPr>
          <w:p>
            <w:r>
              <w:rPr>
                <w:sz w:val="16"/>
              </w:rPr>
              <w:t>Uses pre-forecast information only</w:t>
            </w:r>
          </w:p>
        </w:tc>
      </w:tr>
      <w:tr>
        <w:tc>
          <w:tcPr>
            <w:tcW w:type="dxa" w:w="2304"/>
            <w:tcMar>
              <w:top w:w="70" w:type="dxa"/>
              <w:start w:w="90" w:type="dxa"/>
              <w:bottom w:w="70" w:type="dxa"/>
              <w:end w:w="90" w:type="dxa"/>
            </w:tcMar>
          </w:tcPr>
          <w:p>
            <w:r>
              <w:rPr>
                <w:sz w:val="16"/>
              </w:rPr>
              <w:t>First forecast</w:t>
            </w:r>
          </w:p>
        </w:tc>
        <w:tc>
          <w:tcPr>
            <w:tcW w:type="dxa" w:w="2304"/>
            <w:tcMar>
              <w:top w:w="70" w:type="dxa"/>
              <w:start w:w="90" w:type="dxa"/>
              <w:bottom w:w="70" w:type="dxa"/>
              <w:end w:w="90" w:type="dxa"/>
            </w:tcMar>
          </w:tcPr>
          <w:p>
            <w:r>
              <w:rPr>
                <w:sz w:val="16"/>
              </w:rPr>
              <w:t>December 31, 2010</w:t>
            </w:r>
          </w:p>
        </w:tc>
        <w:tc>
          <w:tcPr>
            <w:tcW w:type="dxa" w:w="5472"/>
            <w:tcMar>
              <w:top w:w="70" w:type="dxa"/>
              <w:start w:w="90" w:type="dxa"/>
              <w:bottom w:w="70" w:type="dxa"/>
              <w:end w:w="90" w:type="dxa"/>
            </w:tcMar>
          </w:tcPr>
          <w:p>
            <w:r>
              <w:rPr>
                <w:sz w:val="16"/>
              </w:rPr>
              <w:t>Aligned with the other baseline models</w:t>
            </w:r>
          </w:p>
        </w:tc>
      </w:tr>
    </w:tbl>
    <w:p>
      <w:pPr>
        <w:pStyle w:val="Heading1"/>
      </w:pPr>
      <w:r>
        <w:t>2. Conceptual Soundness</w:t>
      </w:r>
    </w:p>
    <w:p>
      <w:r>
        <w:rPr>
          <w:b/>
        </w:rPr>
        <w:t xml:space="preserve">Overall assessment. </w:t>
      </w:r>
      <w:r>
        <w:t>EWMA is conceptually appropriate as a baseline short-horizon market-risk model because it allows volatility to vary through time and places greater weight on recent squared returns. This is useful when volatility clusters. The approach is transparent, computationally simple, reproducible, and naturally responsive to changing market conditions.</w:t>
      </w:r>
    </w:p>
    <w:tbl>
      <w:tblPr>
        <w:tblStyle w:val="TableGrid"/>
        <w:tblW w:type="auto" w:w="0"/>
        <w:jc w:val="center"/>
        <w:tblLook w:firstColumn="1" w:firstRow="1" w:lastColumn="0" w:lastRow="0" w:noHBand="0" w:noVBand="1" w:val="04A0"/>
      </w:tblPr>
      <w:tblGrid>
        <w:gridCol w:w="5083"/>
        <w:gridCol w:w="5083"/>
      </w:tblGrid>
      <w:tr>
        <w:tc>
          <w:tcPr>
            <w:tcW w:type="dxa" w:w="2880"/>
            <w:shd w:fill="CC0000"/>
            <w:tcMar>
              <w:top w:w="70" w:type="dxa"/>
              <w:start w:w="90" w:type="dxa"/>
              <w:bottom w:w="70" w:type="dxa"/>
              <w:end w:w="90" w:type="dxa"/>
            </w:tcMar>
          </w:tcPr>
          <w:p>
            <w:r>
              <w:rPr>
                <w:b/>
                <w:color w:val="FFFFFF"/>
                <w:sz w:val="16"/>
              </w:rPr>
              <w:t>Assumption / feature</w:t>
            </w:r>
          </w:p>
        </w:tc>
        <w:tc>
          <w:tcPr>
            <w:tcW w:type="dxa" w:w="7200"/>
            <w:shd w:fill="CC0000"/>
            <w:tcMar>
              <w:top w:w="70" w:type="dxa"/>
              <w:start w:w="90" w:type="dxa"/>
              <w:bottom w:w="70" w:type="dxa"/>
              <w:end w:w="90" w:type="dxa"/>
            </w:tcMar>
          </w:tcPr>
          <w:p>
            <w:r>
              <w:rPr>
                <w:b/>
                <w:color w:val="FFFFFF"/>
                <w:sz w:val="16"/>
              </w:rPr>
              <w:t>Validation assessment</w:t>
            </w:r>
          </w:p>
        </w:tc>
      </w:tr>
      <w:tr>
        <w:tc>
          <w:tcPr>
            <w:tcW w:type="dxa" w:w="2880"/>
            <w:tcMar>
              <w:top w:w="70" w:type="dxa"/>
              <w:start w:w="90" w:type="dxa"/>
              <w:bottom w:w="70" w:type="dxa"/>
              <w:end w:w="90" w:type="dxa"/>
            </w:tcMar>
          </w:tcPr>
          <w:p>
            <w:r>
              <w:rPr>
                <w:sz w:val="16"/>
              </w:rPr>
              <w:t>Conditional Normality</w:t>
            </w:r>
          </w:p>
        </w:tc>
        <w:tc>
          <w:tcPr>
            <w:tcW w:type="dxa" w:w="7200"/>
            <w:tcMar>
              <w:top w:w="70" w:type="dxa"/>
              <w:start w:w="90" w:type="dxa"/>
              <w:bottom w:w="70" w:type="dxa"/>
              <w:end w:w="90" w:type="dxa"/>
            </w:tcMar>
          </w:tcPr>
          <w:p>
            <w:r>
              <w:rPr>
                <w:sz w:val="16"/>
              </w:rPr>
              <w:t>Main conceptual concern. Fat-tailed equity returns can produce more extreme losses than a Normal 99% quantile implies.</w:t>
            </w:r>
          </w:p>
        </w:tc>
      </w:tr>
      <w:tr>
        <w:tc>
          <w:tcPr>
            <w:tcW w:type="dxa" w:w="2880"/>
            <w:tcMar>
              <w:top w:w="70" w:type="dxa"/>
              <w:start w:w="90" w:type="dxa"/>
              <w:bottom w:w="70" w:type="dxa"/>
              <w:end w:w="90" w:type="dxa"/>
            </w:tcMar>
            <w:shd w:fill="FAFAFA"/>
          </w:tcPr>
          <w:p>
            <w:r>
              <w:rPr>
                <w:sz w:val="16"/>
              </w:rPr>
              <w:t>Zero mean</w:t>
            </w:r>
          </w:p>
        </w:tc>
        <w:tc>
          <w:tcPr>
            <w:tcW w:type="dxa" w:w="7200"/>
            <w:tcMar>
              <w:top w:w="70" w:type="dxa"/>
              <w:start w:w="90" w:type="dxa"/>
              <w:bottom w:w="70" w:type="dxa"/>
              <w:end w:w="90" w:type="dxa"/>
            </w:tcMar>
            <w:shd w:fill="FAFAFA"/>
          </w:tcPr>
          <w:p>
            <w:r>
              <w:rPr>
                <w:sz w:val="16"/>
              </w:rPr>
              <w:t>Reasonable for one-day VaR because expected daily drift is small relative to daily volatility.</w:t>
            </w:r>
          </w:p>
        </w:tc>
      </w:tr>
      <w:tr>
        <w:tc>
          <w:tcPr>
            <w:tcW w:type="dxa" w:w="2880"/>
            <w:tcMar>
              <w:top w:w="70" w:type="dxa"/>
              <w:start w:w="90" w:type="dxa"/>
              <w:bottom w:w="70" w:type="dxa"/>
              <w:end w:w="90" w:type="dxa"/>
            </w:tcMar>
          </w:tcPr>
          <w:p>
            <w:r>
              <w:rPr>
                <w:sz w:val="16"/>
              </w:rPr>
              <w:t>lambda = 0.94</w:t>
            </w:r>
          </w:p>
        </w:tc>
        <w:tc>
          <w:tcPr>
            <w:tcW w:type="dxa" w:w="7200"/>
            <w:tcMar>
              <w:top w:w="70" w:type="dxa"/>
              <w:start w:w="90" w:type="dxa"/>
              <w:bottom w:w="70" w:type="dxa"/>
              <w:end w:w="90" w:type="dxa"/>
            </w:tcMar>
          </w:tcPr>
          <w:p>
            <w:r>
              <w:rPr>
                <w:sz w:val="16"/>
              </w:rPr>
              <w:t>Defensible as the classic RiskMetrics daily baseline, but it is a convention rather than an SPY-specific estimate.</w:t>
            </w:r>
          </w:p>
        </w:tc>
      </w:tr>
      <w:tr>
        <w:tc>
          <w:tcPr>
            <w:tcW w:type="dxa" w:w="2880"/>
            <w:tcMar>
              <w:top w:w="70" w:type="dxa"/>
              <w:start w:w="90" w:type="dxa"/>
              <w:bottom w:w="70" w:type="dxa"/>
              <w:end w:w="90" w:type="dxa"/>
            </w:tcMar>
            <w:shd w:fill="FAFAFA"/>
          </w:tcPr>
          <w:p>
            <w:r>
              <w:rPr>
                <w:sz w:val="16"/>
              </w:rPr>
              <w:t>Recent information weighted more heavily</w:t>
            </w:r>
          </w:p>
        </w:tc>
        <w:tc>
          <w:tcPr>
            <w:tcW w:type="dxa" w:w="7200"/>
            <w:tcMar>
              <w:top w:w="70" w:type="dxa"/>
              <w:start w:w="90" w:type="dxa"/>
              <w:bottom w:w="70" w:type="dxa"/>
              <w:end w:w="90" w:type="dxa"/>
            </w:tcMar>
            <w:shd w:fill="FAFAFA"/>
          </w:tcPr>
          <w:p>
            <w:r>
              <w:rPr>
                <w:sz w:val="16"/>
              </w:rPr>
              <w:t>Appropriate for volatility clustering and fast adaptation after shocks.</w:t>
            </w:r>
          </w:p>
        </w:tc>
      </w:tr>
      <w:tr>
        <w:tc>
          <w:tcPr>
            <w:tcW w:type="dxa" w:w="2880"/>
            <w:tcMar>
              <w:top w:w="70" w:type="dxa"/>
              <w:start w:w="90" w:type="dxa"/>
              <w:bottom w:w="70" w:type="dxa"/>
              <w:end w:w="90" w:type="dxa"/>
            </w:tcMar>
          </w:tcPr>
          <w:p>
            <w:r>
              <w:rPr>
                <w:sz w:val="16"/>
              </w:rPr>
              <w:t>Constant decay factor</w:t>
            </w:r>
          </w:p>
        </w:tc>
        <w:tc>
          <w:tcPr>
            <w:tcW w:type="dxa" w:w="7200"/>
            <w:tcMar>
              <w:top w:w="70" w:type="dxa"/>
              <w:start w:w="90" w:type="dxa"/>
              <w:bottom w:w="70" w:type="dxa"/>
              <w:end w:w="90" w:type="dxa"/>
            </w:tcMar>
          </w:tcPr>
          <w:p>
            <w:r>
              <w:rPr>
                <w:sz w:val="16"/>
              </w:rPr>
              <w:t>A single decay rate may not be equally suitable in calm and stressed regimes.</w:t>
            </w:r>
          </w:p>
        </w:tc>
      </w:tr>
      <w:tr>
        <w:tc>
          <w:tcPr>
            <w:tcW w:type="dxa" w:w="2880"/>
            <w:tcMar>
              <w:top w:w="70" w:type="dxa"/>
              <w:start w:w="90" w:type="dxa"/>
              <w:bottom w:w="70" w:type="dxa"/>
              <w:end w:w="90" w:type="dxa"/>
            </w:tcMar>
            <w:shd w:fill="FAFAFA"/>
          </w:tcPr>
          <w:p>
            <w:r>
              <w:rPr>
                <w:sz w:val="16"/>
              </w:rPr>
              <w:t>Symmetric response</w:t>
            </w:r>
          </w:p>
        </w:tc>
        <w:tc>
          <w:tcPr>
            <w:tcW w:type="dxa" w:w="7200"/>
            <w:tcMar>
              <w:top w:w="70" w:type="dxa"/>
              <w:start w:w="90" w:type="dxa"/>
              <w:bottom w:w="70" w:type="dxa"/>
              <w:end w:w="90" w:type="dxa"/>
            </w:tcMar>
            <w:shd w:fill="FAFAFA"/>
          </w:tcPr>
          <w:p>
            <w:r>
              <w:rPr>
                <w:sz w:val="16"/>
              </w:rPr>
              <w:t>Positive and negative returns of equal size affect variance equally; downside asymmetry is not modeled.</w:t>
            </w:r>
          </w:p>
        </w:tc>
      </w:tr>
      <w:tr>
        <w:tc>
          <w:tcPr>
            <w:tcW w:type="dxa" w:w="2880"/>
            <w:tcMar>
              <w:top w:w="70" w:type="dxa"/>
              <w:start w:w="90" w:type="dxa"/>
              <w:bottom w:w="70" w:type="dxa"/>
              <w:end w:w="90" w:type="dxa"/>
            </w:tcMar>
          </w:tcPr>
          <w:p>
            <w:r>
              <w:rPr>
                <w:sz w:val="16"/>
              </w:rPr>
              <w:t>No long-run variance anchor</w:t>
            </w:r>
          </w:p>
        </w:tc>
        <w:tc>
          <w:tcPr>
            <w:tcW w:type="dxa" w:w="7200"/>
            <w:tcMar>
              <w:top w:w="70" w:type="dxa"/>
              <w:start w:w="90" w:type="dxa"/>
              <w:bottom w:w="70" w:type="dxa"/>
              <w:end w:w="90" w:type="dxa"/>
            </w:tcMar>
          </w:tcPr>
          <w:p>
            <w:r>
              <w:rPr>
                <w:sz w:val="16"/>
              </w:rPr>
              <w:t>Unlike mean-reverting GARCH specifications, EWMA has no explicit long-run variance level.</w:t>
            </w:r>
          </w:p>
        </w:tc>
      </w:tr>
      <w:tr>
        <w:tc>
          <w:tcPr>
            <w:tcW w:type="dxa" w:w="2880"/>
            <w:tcMar>
              <w:top w:w="70" w:type="dxa"/>
              <w:start w:w="90" w:type="dxa"/>
              <w:bottom w:w="70" w:type="dxa"/>
              <w:end w:w="90" w:type="dxa"/>
            </w:tcMar>
            <w:shd w:fill="FAFAFA"/>
          </w:tcPr>
          <w:p>
            <w:r>
              <w:rPr>
                <w:sz w:val="16"/>
              </w:rPr>
              <w:t>Constant $1M exposure</w:t>
            </w:r>
          </w:p>
        </w:tc>
        <w:tc>
          <w:tcPr>
            <w:tcW w:type="dxa" w:w="7200"/>
            <w:tcMar>
              <w:top w:w="70" w:type="dxa"/>
              <w:start w:w="90" w:type="dxa"/>
              <w:bottom w:w="70" w:type="dxa"/>
              <w:end w:w="90" w:type="dxa"/>
            </w:tcMar>
            <w:shd w:fill="FAFAFA"/>
          </w:tcPr>
          <w:p>
            <w:r>
              <w:rPr>
                <w:sz w:val="16"/>
              </w:rPr>
              <w:t>Appropriate for the stated hypothetical portfolio.</w:t>
            </w:r>
          </w:p>
        </w:tc>
      </w:tr>
    </w:tbl>
    <w:p>
      <w:r>
        <w:rPr>
          <w:b/>
        </w:rPr>
        <w:t xml:space="preserve">Parameter justification. </w:t>
      </w:r>
      <w:r>
        <w:t>RiskMetrics documents lambda = 0.94 as a standard daily EWMA decay factor. At this value, the weight on historical squared returns decays quickly, with an information half-life of roughly 11 trading days. This supports responsiveness but also means risk estimates can decline quickly after a shock. Sensitivity to lambda should therefore be tested before any final effectiveness conclusion.</w:t>
      </w:r>
    </w:p>
    <w:p>
      <w:r>
        <w:rPr>
          <w:b/>
        </w:rPr>
        <w:t xml:space="preserve">Model-risk perspective. </w:t>
      </w:r>
      <w:r>
        <w:t>The validation approach is consistent with current model-risk guidance emphasizing independent understanding of conceptual soundness, data, implementation, outcomes, documentation, and effective challenge rather than merely confirming that code runs.</w:t>
      </w:r>
    </w:p>
    <w:p>
      <w:pPr>
        <w:pStyle w:val="Heading1"/>
      </w:pPr>
      <w:r>
        <w:t>3. Data &amp; Implementation Review</w:t>
      </w:r>
    </w:p>
    <w:tbl>
      <w:tblPr>
        <w:tblStyle w:val="TableGrid"/>
        <w:tblW w:type="auto" w:w="0"/>
        <w:jc w:val="center"/>
        <w:tblLook w:firstColumn="1" w:firstRow="1" w:lastColumn="0" w:lastRow="0" w:noHBand="0" w:noVBand="1" w:val="04A0"/>
      </w:tblPr>
      <w:tblGrid>
        <w:gridCol w:w="5083"/>
        <w:gridCol w:w="5083"/>
      </w:tblGrid>
      <w:tr>
        <w:tc>
          <w:tcPr>
            <w:tcW w:type="dxa" w:w="3744"/>
            <w:shd w:fill="CC0000"/>
            <w:tcMar>
              <w:top w:w="70" w:type="dxa"/>
              <w:start w:w="90" w:type="dxa"/>
              <w:bottom w:w="70" w:type="dxa"/>
              <w:end w:w="90" w:type="dxa"/>
            </w:tcMar>
          </w:tcPr>
          <w:p>
            <w:r>
              <w:rPr>
                <w:b/>
                <w:color w:val="FFFFFF"/>
                <w:sz w:val="16"/>
              </w:rPr>
              <w:t>Check</w:t>
            </w:r>
          </w:p>
        </w:tc>
        <w:tc>
          <w:tcPr>
            <w:tcW w:type="dxa" w:w="6336"/>
            <w:shd w:fill="CC0000"/>
            <w:tcMar>
              <w:top w:w="70" w:type="dxa"/>
              <w:start w:w="90" w:type="dxa"/>
              <w:bottom w:w="70" w:type="dxa"/>
              <w:end w:w="90" w:type="dxa"/>
            </w:tcMar>
          </w:tcPr>
          <w:p>
            <w:r>
              <w:rPr>
                <w:b/>
                <w:color w:val="FFFFFF"/>
                <w:sz w:val="16"/>
              </w:rPr>
              <w:t>Result</w:t>
            </w:r>
          </w:p>
        </w:tc>
      </w:tr>
      <w:tr>
        <w:tc>
          <w:tcPr>
            <w:tcW w:type="dxa" w:w="3744"/>
            <w:tcMar>
              <w:top w:w="70" w:type="dxa"/>
              <w:start w:w="90" w:type="dxa"/>
              <w:bottom w:w="70" w:type="dxa"/>
              <w:end w:w="90" w:type="dxa"/>
            </w:tcMar>
          </w:tcPr>
          <w:p>
            <w:r>
              <w:rPr>
                <w:sz w:val="16"/>
              </w:rPr>
              <w:t>Project price sample</w:t>
            </w:r>
          </w:p>
        </w:tc>
        <w:tc>
          <w:tcPr>
            <w:tcW w:type="dxa" w:w="6336"/>
            <w:tcMar>
              <w:top w:w="70" w:type="dxa"/>
              <w:start w:w="90" w:type="dxa"/>
              <w:bottom w:w="70" w:type="dxa"/>
              <w:end w:w="90" w:type="dxa"/>
            </w:tcMar>
          </w:tcPr>
          <w:p>
            <w:r>
              <w:rPr>
                <w:sz w:val="16"/>
              </w:rPr>
              <w:t>2010-01-04 to 2026-08-31</w:t>
            </w:r>
          </w:p>
        </w:tc>
      </w:tr>
      <w:tr>
        <w:tc>
          <w:tcPr>
            <w:tcW w:type="dxa" w:w="3744"/>
            <w:tcMar>
              <w:top w:w="70" w:type="dxa"/>
              <w:start w:w="90" w:type="dxa"/>
              <w:bottom w:w="70" w:type="dxa"/>
              <w:end w:w="90" w:type="dxa"/>
            </w:tcMar>
            <w:shd w:fill="FAFAFA"/>
          </w:tcPr>
          <w:p>
            <w:r>
              <w:rPr>
                <w:sz w:val="16"/>
              </w:rPr>
              <w:t>SPY price observations</w:t>
            </w:r>
          </w:p>
        </w:tc>
        <w:tc>
          <w:tcPr>
            <w:tcW w:type="dxa" w:w="6336"/>
            <w:tcMar>
              <w:top w:w="70" w:type="dxa"/>
              <w:start w:w="90" w:type="dxa"/>
              <w:bottom w:w="70" w:type="dxa"/>
              <w:end w:w="90" w:type="dxa"/>
            </w:tcMar>
            <w:shd w:fill="FAFAFA"/>
          </w:tcPr>
          <w:p>
            <w:r>
              <w:rPr>
                <w:sz w:val="16"/>
              </w:rPr>
              <w:t>4,190</w:t>
            </w:r>
          </w:p>
        </w:tc>
      </w:tr>
      <w:tr>
        <w:tc>
          <w:tcPr>
            <w:tcW w:type="dxa" w:w="3744"/>
            <w:tcMar>
              <w:top w:w="70" w:type="dxa"/>
              <w:start w:w="90" w:type="dxa"/>
              <w:bottom w:w="70" w:type="dxa"/>
              <w:end w:w="90" w:type="dxa"/>
            </w:tcMar>
          </w:tcPr>
          <w:p>
            <w:r>
              <w:rPr>
                <w:sz w:val="16"/>
              </w:rPr>
              <w:t>Daily simple returns</w:t>
            </w:r>
          </w:p>
        </w:tc>
        <w:tc>
          <w:tcPr>
            <w:tcW w:type="dxa" w:w="6336"/>
            <w:tcMar>
              <w:top w:w="70" w:type="dxa"/>
              <w:start w:w="90" w:type="dxa"/>
              <w:bottom w:w="70" w:type="dxa"/>
              <w:end w:w="90" w:type="dxa"/>
            </w:tcMar>
          </w:tcPr>
          <w:p>
            <w:r>
              <w:rPr>
                <w:sz w:val="16"/>
              </w:rPr>
              <w:t>4,189</w:t>
            </w:r>
          </w:p>
        </w:tc>
      </w:tr>
      <w:tr>
        <w:tc>
          <w:tcPr>
            <w:tcW w:type="dxa" w:w="3744"/>
            <w:tcMar>
              <w:top w:w="70" w:type="dxa"/>
              <w:start w:w="90" w:type="dxa"/>
              <w:bottom w:w="70" w:type="dxa"/>
              <w:end w:w="90" w:type="dxa"/>
            </w:tcMar>
            <w:shd w:fill="FAFAFA"/>
          </w:tcPr>
          <w:p>
            <w:r>
              <w:rPr>
                <w:sz w:val="16"/>
              </w:rPr>
              <w:t>Out-of-sample VaR forecasts</w:t>
            </w:r>
          </w:p>
        </w:tc>
        <w:tc>
          <w:tcPr>
            <w:tcW w:type="dxa" w:w="6336"/>
            <w:tcMar>
              <w:top w:w="70" w:type="dxa"/>
              <w:start w:w="90" w:type="dxa"/>
              <w:bottom w:w="70" w:type="dxa"/>
              <w:end w:w="90" w:type="dxa"/>
            </w:tcMar>
            <w:shd w:fill="FAFAFA"/>
          </w:tcPr>
          <w:p>
            <w:r>
              <w:rPr>
                <w:sz w:val="16"/>
              </w:rPr>
              <w:t>3,939</w:t>
            </w:r>
          </w:p>
        </w:tc>
      </w:tr>
      <w:tr>
        <w:tc>
          <w:tcPr>
            <w:tcW w:type="dxa" w:w="3744"/>
            <w:tcMar>
              <w:top w:w="70" w:type="dxa"/>
              <w:start w:w="90" w:type="dxa"/>
              <w:bottom w:w="70" w:type="dxa"/>
              <w:end w:w="90" w:type="dxa"/>
            </w:tcMar>
          </w:tcPr>
          <w:p>
            <w:r>
              <w:rPr>
                <w:sz w:val="16"/>
              </w:rPr>
              <w:t>Duplicate model-period dates</w:t>
            </w:r>
          </w:p>
        </w:tc>
        <w:tc>
          <w:tcPr>
            <w:tcW w:type="dxa" w:w="6336"/>
            <w:tcMar>
              <w:top w:w="70" w:type="dxa"/>
              <w:start w:w="90" w:type="dxa"/>
              <w:bottom w:w="70" w:type="dxa"/>
              <w:end w:w="90" w:type="dxa"/>
            </w:tcMar>
          </w:tcPr>
          <w:p>
            <w:r>
              <w:rPr>
                <w:sz w:val="16"/>
              </w:rPr>
              <w:t>0</w:t>
            </w:r>
          </w:p>
        </w:tc>
      </w:tr>
      <w:tr>
        <w:tc>
          <w:tcPr>
            <w:tcW w:type="dxa" w:w="3744"/>
            <w:tcMar>
              <w:top w:w="70" w:type="dxa"/>
              <w:start w:w="90" w:type="dxa"/>
              <w:bottom w:w="70" w:type="dxa"/>
              <w:end w:w="90" w:type="dxa"/>
            </w:tcMar>
            <w:shd w:fill="FAFAFA"/>
          </w:tcPr>
          <w:p>
            <w:r>
              <w:rPr>
                <w:sz w:val="16"/>
              </w:rPr>
              <w:t>Missing Last Price values</w:t>
            </w:r>
          </w:p>
        </w:tc>
        <w:tc>
          <w:tcPr>
            <w:tcW w:type="dxa" w:w="6336"/>
            <w:tcMar>
              <w:top w:w="70" w:type="dxa"/>
              <w:start w:w="90" w:type="dxa"/>
              <w:bottom w:w="70" w:type="dxa"/>
              <w:end w:w="90" w:type="dxa"/>
            </w:tcMar>
            <w:shd w:fill="FAFAFA"/>
          </w:tcPr>
          <w:p>
            <w:r>
              <w:rPr>
                <w:sz w:val="16"/>
              </w:rPr>
              <w:t>0</w:t>
            </w:r>
          </w:p>
        </w:tc>
      </w:tr>
      <w:tr>
        <w:tc>
          <w:tcPr>
            <w:tcW w:type="dxa" w:w="3744"/>
            <w:tcMar>
              <w:top w:w="70" w:type="dxa"/>
              <w:start w:w="90" w:type="dxa"/>
              <w:bottom w:w="70" w:type="dxa"/>
              <w:end w:w="90" w:type="dxa"/>
            </w:tcMar>
          </w:tcPr>
          <w:p>
            <w:r>
              <w:rPr>
                <w:sz w:val="16"/>
              </w:rPr>
              <w:t>Return / P&amp;L calculation</w:t>
            </w:r>
          </w:p>
        </w:tc>
        <w:tc>
          <w:tcPr>
            <w:tcW w:type="dxa" w:w="6336"/>
            <w:tcMar>
              <w:top w:w="70" w:type="dxa"/>
              <w:start w:w="90" w:type="dxa"/>
              <w:bottom w:w="70" w:type="dxa"/>
              <w:end w:w="90" w:type="dxa"/>
            </w:tcMar>
          </w:tcPr>
          <w:p>
            <w:r>
              <w:rPr>
                <w:sz w:val="16"/>
              </w:rPr>
              <w:t>Verified: P&amp;L = $1,000,000 x simple return</w:t>
            </w:r>
          </w:p>
        </w:tc>
      </w:tr>
      <w:tr>
        <w:tc>
          <w:tcPr>
            <w:tcW w:type="dxa" w:w="3744"/>
            <w:tcMar>
              <w:top w:w="70" w:type="dxa"/>
              <w:start w:w="90" w:type="dxa"/>
              <w:bottom w:w="70" w:type="dxa"/>
              <w:end w:w="90" w:type="dxa"/>
            </w:tcMar>
            <w:shd w:fill="FAFAFA"/>
          </w:tcPr>
          <w:p>
            <w:r>
              <w:rPr>
                <w:sz w:val="16"/>
              </w:rPr>
              <w:t>EWMA recursion</w:t>
            </w:r>
          </w:p>
        </w:tc>
        <w:tc>
          <w:tcPr>
            <w:tcW w:type="dxa" w:w="6336"/>
            <w:tcMar>
              <w:top w:w="70" w:type="dxa"/>
              <w:start w:w="90" w:type="dxa"/>
              <w:bottom w:w="70" w:type="dxa"/>
              <w:end w:w="90" w:type="dxa"/>
            </w:tcMar>
            <w:shd w:fill="FAFAFA"/>
          </w:tcPr>
          <w:p>
            <w:r>
              <w:rPr>
                <w:sz w:val="16"/>
              </w:rPr>
              <w:t>Verified</w:t>
            </w:r>
          </w:p>
        </w:tc>
      </w:tr>
      <w:tr>
        <w:tc>
          <w:tcPr>
            <w:tcW w:type="dxa" w:w="3744"/>
            <w:tcMar>
              <w:top w:w="70" w:type="dxa"/>
              <w:start w:w="90" w:type="dxa"/>
              <w:bottom w:w="70" w:type="dxa"/>
              <w:end w:w="90" w:type="dxa"/>
            </w:tcMar>
          </w:tcPr>
          <w:p>
            <w:r>
              <w:rPr>
                <w:sz w:val="16"/>
              </w:rPr>
              <w:t>Look-ahead bias</w:t>
            </w:r>
          </w:p>
        </w:tc>
        <w:tc>
          <w:tcPr>
            <w:tcW w:type="dxa" w:w="6336"/>
            <w:tcMar>
              <w:top w:w="70" w:type="dxa"/>
              <w:start w:w="90" w:type="dxa"/>
              <w:bottom w:w="70" w:type="dxa"/>
              <w:end w:w="90" w:type="dxa"/>
            </w:tcMar>
          </w:tcPr>
          <w:p>
            <w:r>
              <w:rPr>
                <w:sz w:val="16"/>
              </w:rPr>
              <w:t>None identified; day t forecast uses information through t-1</w:t>
            </w:r>
          </w:p>
        </w:tc>
      </w:tr>
      <w:tr>
        <w:tc>
          <w:tcPr>
            <w:tcW w:type="dxa" w:w="3744"/>
            <w:tcMar>
              <w:top w:w="70" w:type="dxa"/>
              <w:start w:w="90" w:type="dxa"/>
              <w:bottom w:w="70" w:type="dxa"/>
              <w:end w:w="90" w:type="dxa"/>
            </w:tcMar>
            <w:shd w:fill="FAFAFA"/>
          </w:tcPr>
          <w:p>
            <w:r>
              <w:rPr>
                <w:sz w:val="16"/>
              </w:rPr>
              <w:t>VaR output convention</w:t>
            </w:r>
          </w:p>
        </w:tc>
        <w:tc>
          <w:tcPr>
            <w:tcW w:type="dxa" w:w="6336"/>
            <w:tcMar>
              <w:top w:w="70" w:type="dxa"/>
              <w:start w:w="90" w:type="dxa"/>
              <w:bottom w:w="70" w:type="dxa"/>
              <w:end w:w="90" w:type="dxa"/>
            </w:tcMar>
            <w:shd w:fill="FAFAFA"/>
          </w:tcPr>
          <w:p>
            <w:r>
              <w:rPr>
                <w:sz w:val="16"/>
              </w:rPr>
              <w:t>Positive dollar loss threshold in standardized output</w:t>
            </w:r>
          </w:p>
        </w:tc>
      </w:tr>
      <w:tr>
        <w:tc>
          <w:tcPr>
            <w:tcW w:type="dxa" w:w="3744"/>
            <w:tcMar>
              <w:top w:w="70" w:type="dxa"/>
              <w:start w:w="90" w:type="dxa"/>
              <w:bottom w:w="70" w:type="dxa"/>
              <w:end w:w="90" w:type="dxa"/>
            </w:tcMar>
          </w:tcPr>
          <w:p>
            <w:r>
              <w:rPr>
                <w:sz w:val="16"/>
              </w:rPr>
              <w:t>First forecast</w:t>
            </w:r>
          </w:p>
        </w:tc>
        <w:tc>
          <w:tcPr>
            <w:tcW w:type="dxa" w:w="6336"/>
            <w:tcMar>
              <w:top w:w="70" w:type="dxa"/>
              <w:start w:w="90" w:type="dxa"/>
              <w:bottom w:w="70" w:type="dxa"/>
              <w:end w:w="90" w:type="dxa"/>
            </w:tcMar>
          </w:tcPr>
          <w:p>
            <w:r>
              <w:rPr>
                <w:sz w:val="16"/>
              </w:rPr>
              <w:t>2010-12-31</w:t>
            </w:r>
          </w:p>
        </w:tc>
      </w:tr>
    </w:tbl>
    <w:p>
      <w:pPr>
        <w:pStyle w:val="Heading2"/>
      </w:pPr>
      <w:r>
        <w:t>Independent calculation checks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shd w:fill="CC0000"/>
            <w:tcMar>
              <w:top w:w="70" w:type="dxa"/>
              <w:start w:w="90" w:type="dxa"/>
              <w:bottom w:w="70" w:type="dxa"/>
              <w:end w:w="90" w:type="dxa"/>
            </w:tcMar>
          </w:tcPr>
          <w:p>
            <w:r>
              <w:rPr>
                <w:b/>
                <w:color w:val="FFFFFF"/>
                <w:sz w:val="17"/>
              </w:rPr>
              <w:t>Date</w:t>
            </w:r>
          </w:p>
        </w:tc>
        <w:tc>
          <w:tcPr>
            <w:tcW w:type="dxa" w:w="2592"/>
            <w:shd w:fill="CC0000"/>
            <w:tcMar>
              <w:top w:w="70" w:type="dxa"/>
              <w:start w:w="90" w:type="dxa"/>
              <w:bottom w:w="70" w:type="dxa"/>
              <w:end w:w="90" w:type="dxa"/>
            </w:tcMar>
          </w:tcPr>
          <w:p>
            <w:r>
              <w:rPr>
                <w:b/>
                <w:color w:val="FFFFFF"/>
                <w:sz w:val="17"/>
              </w:rPr>
              <w:t>Independent VaR</w:t>
            </w:r>
          </w:p>
        </w:tc>
        <w:tc>
          <w:tcPr>
            <w:tcW w:type="dxa" w:w="2592"/>
            <w:shd w:fill="CC0000"/>
            <w:tcMar>
              <w:top w:w="70" w:type="dxa"/>
              <w:start w:w="90" w:type="dxa"/>
              <w:bottom w:w="70" w:type="dxa"/>
              <w:end w:w="90" w:type="dxa"/>
            </w:tcMar>
          </w:tcPr>
          <w:p>
            <w:r>
              <w:rPr>
                <w:b/>
                <w:color w:val="FFFFFF"/>
                <w:sz w:val="17"/>
              </w:rPr>
              <w:t>Model VaR</w:t>
            </w:r>
          </w:p>
        </w:tc>
        <w:tc>
          <w:tcPr>
            <w:tcW w:type="dxa" w:w="1728"/>
            <w:shd w:fill="CC0000"/>
            <w:tcMar>
              <w:top w:w="70" w:type="dxa"/>
              <w:start w:w="90" w:type="dxa"/>
              <w:bottom w:w="70" w:type="dxa"/>
              <w:end w:w="90" w:type="dxa"/>
            </w:tcMar>
          </w:tcPr>
          <w:p>
            <w:r>
              <w:rPr>
                <w:b/>
                <w:color w:val="FFFFFF"/>
                <w:sz w:val="17"/>
              </w:rPr>
              <w:t>Result</w:t>
            </w:r>
          </w:p>
        </w:tc>
      </w:tr>
      <w:tr>
        <w:tc>
          <w:tcPr>
            <w:tcW w:type="dxa" w:w="2304"/>
            <w:tcMar>
              <w:top w:w="70" w:type="dxa"/>
              <w:start w:w="90" w:type="dxa"/>
              <w:bottom w:w="70" w:type="dxa"/>
              <w:end w:w="90" w:type="dxa"/>
            </w:tcMar>
          </w:tcPr>
          <w:p>
            <w:r>
              <w:rPr>
                <w:sz w:val="17"/>
              </w:rPr>
              <w:t>2011-01-03</w:t>
            </w:r>
          </w:p>
        </w:tc>
        <w:tc>
          <w:tcPr>
            <w:tcW w:type="dxa" w:w="2592"/>
            <w:tcMar>
              <w:top w:w="70" w:type="dxa"/>
              <w:start w:w="90" w:type="dxa"/>
              <w:bottom w:w="70" w:type="dxa"/>
              <w:end w:w="90" w:type="dxa"/>
            </w:tcMar>
          </w:tcPr>
          <w:p>
            <w:r>
              <w:rPr>
                <w:sz w:val="17"/>
              </w:rPr>
              <w:t>$25,493.25</w:t>
            </w:r>
          </w:p>
        </w:tc>
        <w:tc>
          <w:tcPr>
            <w:tcW w:type="dxa" w:w="2592"/>
            <w:tcMar>
              <w:top w:w="70" w:type="dxa"/>
              <w:start w:w="90" w:type="dxa"/>
              <w:bottom w:w="70" w:type="dxa"/>
              <w:end w:w="90" w:type="dxa"/>
            </w:tcMar>
          </w:tcPr>
          <w:p>
            <w:r>
              <w:rPr>
                <w:sz w:val="17"/>
              </w:rPr>
              <w:t>$25,493.25</w:t>
            </w:r>
          </w:p>
        </w:tc>
        <w:tc>
          <w:tcPr>
            <w:tcW w:type="dxa" w:w="1728"/>
            <w:tcMar>
              <w:top w:w="70" w:type="dxa"/>
              <w:start w:w="90" w:type="dxa"/>
              <w:bottom w:w="70" w:type="dxa"/>
              <w:end w:w="90" w:type="dxa"/>
            </w:tcMar>
          </w:tcPr>
          <w:p>
            <w:r>
              <w:rPr>
                <w:sz w:val="17"/>
              </w:rPr>
              <w:t>Match</w:t>
            </w:r>
          </w:p>
        </w:tc>
      </w:tr>
      <w:tr>
        <w:tc>
          <w:tcPr>
            <w:tcW w:type="dxa" w:w="2304"/>
            <w:tcMar>
              <w:top w:w="70" w:type="dxa"/>
              <w:start w:w="90" w:type="dxa"/>
              <w:bottom w:w="70" w:type="dxa"/>
              <w:end w:w="90" w:type="dxa"/>
            </w:tcMar>
            <w:shd w:fill="FAFAFA"/>
          </w:tcPr>
          <w:p>
            <w:r>
              <w:rPr>
                <w:sz w:val="17"/>
              </w:rPr>
              <w:t>2018-02-06</w:t>
            </w:r>
          </w:p>
        </w:tc>
        <w:tc>
          <w:tcPr>
            <w:tcW w:type="dxa" w:w="2592"/>
            <w:tcMar>
              <w:top w:w="70" w:type="dxa"/>
              <w:start w:w="90" w:type="dxa"/>
              <w:bottom w:w="70" w:type="dxa"/>
              <w:end w:w="90" w:type="dxa"/>
            </w:tcMar>
            <w:shd w:fill="FAFAFA"/>
          </w:tcPr>
          <w:p>
            <w:r>
              <w:rPr>
                <w:sz w:val="17"/>
              </w:rPr>
              <w:t>$29,190.03</w:t>
            </w:r>
          </w:p>
        </w:tc>
        <w:tc>
          <w:tcPr>
            <w:tcW w:type="dxa" w:w="2592"/>
            <w:tcMar>
              <w:top w:w="70" w:type="dxa"/>
              <w:start w:w="90" w:type="dxa"/>
              <w:bottom w:w="70" w:type="dxa"/>
              <w:end w:w="90" w:type="dxa"/>
            </w:tcMar>
            <w:shd w:fill="FAFAFA"/>
          </w:tcPr>
          <w:p>
            <w:r>
              <w:rPr>
                <w:sz w:val="17"/>
              </w:rPr>
              <w:t>$29,190.03</w:t>
            </w:r>
          </w:p>
        </w:tc>
        <w:tc>
          <w:tcPr>
            <w:tcW w:type="dxa" w:w="1728"/>
            <w:tcMar>
              <w:top w:w="70" w:type="dxa"/>
              <w:start w:w="90" w:type="dxa"/>
              <w:bottom w:w="70" w:type="dxa"/>
              <w:end w:w="90" w:type="dxa"/>
            </w:tcMar>
            <w:shd w:fill="FAFAFA"/>
          </w:tcPr>
          <w:p>
            <w:r>
              <w:rPr>
                <w:sz w:val="17"/>
              </w:rPr>
              <w:t>Match</w:t>
            </w:r>
          </w:p>
        </w:tc>
      </w:tr>
      <w:tr>
        <w:tc>
          <w:tcPr>
            <w:tcW w:type="dxa" w:w="2304"/>
            <w:tcMar>
              <w:top w:w="70" w:type="dxa"/>
              <w:start w:w="90" w:type="dxa"/>
              <w:bottom w:w="70" w:type="dxa"/>
              <w:end w:w="90" w:type="dxa"/>
            </w:tcMar>
          </w:tcPr>
          <w:p>
            <w:r>
              <w:rPr>
                <w:sz w:val="17"/>
              </w:rPr>
              <w:t>2020-03-16</w:t>
            </w:r>
          </w:p>
        </w:tc>
        <w:tc>
          <w:tcPr>
            <w:tcW w:type="dxa" w:w="2592"/>
            <w:tcMar>
              <w:top w:w="70" w:type="dxa"/>
              <w:start w:w="90" w:type="dxa"/>
              <w:bottom w:w="70" w:type="dxa"/>
              <w:end w:w="90" w:type="dxa"/>
            </w:tcMar>
          </w:tcPr>
          <w:p>
            <w:r>
              <w:rPr>
                <w:sz w:val="17"/>
              </w:rPr>
              <w:t>$100,201.81</w:t>
            </w:r>
          </w:p>
        </w:tc>
        <w:tc>
          <w:tcPr>
            <w:tcW w:type="dxa" w:w="2592"/>
            <w:tcMar>
              <w:top w:w="70" w:type="dxa"/>
              <w:start w:w="90" w:type="dxa"/>
              <w:bottom w:w="70" w:type="dxa"/>
              <w:end w:w="90" w:type="dxa"/>
            </w:tcMar>
          </w:tcPr>
          <w:p>
            <w:r>
              <w:rPr>
                <w:sz w:val="17"/>
              </w:rPr>
              <w:t>$100,201.81</w:t>
            </w:r>
          </w:p>
        </w:tc>
        <w:tc>
          <w:tcPr>
            <w:tcW w:type="dxa" w:w="1728"/>
            <w:tcMar>
              <w:top w:w="70" w:type="dxa"/>
              <w:start w:w="90" w:type="dxa"/>
              <w:bottom w:w="70" w:type="dxa"/>
              <w:end w:w="90" w:type="dxa"/>
            </w:tcMar>
          </w:tcPr>
          <w:p>
            <w:r>
              <w:rPr>
                <w:sz w:val="17"/>
              </w:rPr>
              <w:t>Match</w:t>
            </w:r>
          </w:p>
        </w:tc>
      </w:tr>
      <w:tr>
        <w:tc>
          <w:tcPr>
            <w:tcW w:type="dxa" w:w="2304"/>
            <w:tcMar>
              <w:top w:w="70" w:type="dxa"/>
              <w:start w:w="90" w:type="dxa"/>
              <w:bottom w:w="70" w:type="dxa"/>
              <w:end w:w="90" w:type="dxa"/>
            </w:tcMar>
            <w:shd w:fill="FAFAFA"/>
          </w:tcPr>
          <w:p>
            <w:r>
              <w:rPr>
                <w:sz w:val="17"/>
              </w:rPr>
              <w:t>2020-03-25</w:t>
            </w:r>
          </w:p>
        </w:tc>
        <w:tc>
          <w:tcPr>
            <w:tcW w:type="dxa" w:w="2592"/>
            <w:tcMar>
              <w:top w:w="70" w:type="dxa"/>
              <w:start w:w="90" w:type="dxa"/>
              <w:bottom w:w="70" w:type="dxa"/>
              <w:end w:w="90" w:type="dxa"/>
            </w:tcMar>
            <w:shd w:fill="FAFAFA"/>
          </w:tcPr>
          <w:p>
            <w:r>
              <w:rPr>
                <w:sz w:val="17"/>
              </w:rPr>
              <w:t>$118,677.25</w:t>
            </w:r>
          </w:p>
        </w:tc>
        <w:tc>
          <w:tcPr>
            <w:tcW w:type="dxa" w:w="2592"/>
            <w:tcMar>
              <w:top w:w="70" w:type="dxa"/>
              <w:start w:w="90" w:type="dxa"/>
              <w:bottom w:w="70" w:type="dxa"/>
              <w:end w:w="90" w:type="dxa"/>
            </w:tcMar>
            <w:shd w:fill="FAFAFA"/>
          </w:tcPr>
          <w:p>
            <w:r>
              <w:rPr>
                <w:sz w:val="17"/>
              </w:rPr>
              <w:t>$118,677.25</w:t>
            </w:r>
          </w:p>
        </w:tc>
        <w:tc>
          <w:tcPr>
            <w:tcW w:type="dxa" w:w="1728"/>
            <w:tcMar>
              <w:top w:w="70" w:type="dxa"/>
              <w:start w:w="90" w:type="dxa"/>
              <w:bottom w:w="70" w:type="dxa"/>
              <w:end w:w="90" w:type="dxa"/>
            </w:tcMar>
            <w:shd w:fill="FAFAFA"/>
          </w:tcPr>
          <w:p>
            <w:r>
              <w:rPr>
                <w:sz w:val="17"/>
              </w:rPr>
              <w:t>Match</w:t>
            </w:r>
          </w:p>
        </w:tc>
      </w:tr>
      <w:tr>
        <w:tc>
          <w:tcPr>
            <w:tcW w:type="dxa" w:w="2304"/>
            <w:tcMar>
              <w:top w:w="70" w:type="dxa"/>
              <w:start w:w="90" w:type="dxa"/>
              <w:bottom w:w="70" w:type="dxa"/>
              <w:end w:w="90" w:type="dxa"/>
            </w:tcMar>
          </w:tcPr>
          <w:p>
            <w:r>
              <w:rPr>
                <w:sz w:val="17"/>
              </w:rPr>
              <w:t>2025-04-04</w:t>
            </w:r>
          </w:p>
        </w:tc>
        <w:tc>
          <w:tcPr>
            <w:tcW w:type="dxa" w:w="2592"/>
            <w:tcMar>
              <w:top w:w="70" w:type="dxa"/>
              <w:start w:w="90" w:type="dxa"/>
              <w:bottom w:w="70" w:type="dxa"/>
              <w:end w:w="90" w:type="dxa"/>
            </w:tcMar>
          </w:tcPr>
          <w:p>
            <w:r>
              <w:rPr>
                <w:sz w:val="17"/>
              </w:rPr>
              <w:t>$37,506.93</w:t>
            </w:r>
          </w:p>
        </w:tc>
        <w:tc>
          <w:tcPr>
            <w:tcW w:type="dxa" w:w="2592"/>
            <w:tcMar>
              <w:top w:w="70" w:type="dxa"/>
              <w:start w:w="90" w:type="dxa"/>
              <w:bottom w:w="70" w:type="dxa"/>
              <w:end w:w="90" w:type="dxa"/>
            </w:tcMar>
          </w:tcPr>
          <w:p>
            <w:r>
              <w:rPr>
                <w:sz w:val="17"/>
              </w:rPr>
              <w:t>$37,506.93</w:t>
            </w:r>
          </w:p>
        </w:tc>
        <w:tc>
          <w:tcPr>
            <w:tcW w:type="dxa" w:w="1728"/>
            <w:tcMar>
              <w:top w:w="70" w:type="dxa"/>
              <w:start w:w="90" w:type="dxa"/>
              <w:bottom w:w="70" w:type="dxa"/>
              <w:end w:w="90" w:type="dxa"/>
            </w:tcMar>
          </w:tcPr>
          <w:p>
            <w:r>
              <w:rPr>
                <w:sz w:val="17"/>
              </w:rPr>
              <w:t>Match</w:t>
            </w:r>
          </w:p>
        </w:tc>
      </w:tr>
    </w:tbl>
    <w:p>
      <w:r>
        <w:rPr>
          <w:b/>
        </w:rPr>
        <w:t xml:space="preserve">Implementation concern. </w:t>
      </w:r>
      <w:r>
        <w:t>The script explicitly enforces the January 1, 2010 start date but does not hard-code the project freeze date of August 31, 2026. The current raw file ends on the correct date, so current results are unaffected; however, a later data refresh could silently extend the evaluation period. This is a reproducibility/control weakness rather than a current calculation error.</w:t>
      </w:r>
    </w:p>
    <w:p>
      <w:pPr>
        <w:pStyle w:val="Heading1"/>
      </w:pPr>
      <w:r>
        <w:t>4. Preliminary Findings from Initial Review</w:t>
      </w:r>
    </w:p>
    <w:tbl>
      <w:tblPr>
        <w:tblW w:type="auto" w:w="0"/>
        <w:jc w:val="center"/>
        <w:tblLook w:firstColumn="1" w:firstRow="1" w:lastColumn="0" w:lastRow="0" w:noHBand="0" w:noVBand="1" w:val="04A0"/>
      </w:tblPr>
      <w:tblGrid>
        <w:gridCol w:w="10166"/>
      </w:tblGrid>
      <w:tr>
        <w:tc>
          <w:tcPr>
            <w:tcW w:type="dxa" w:w="10166"/>
            <w:shd w:fill="F8EAEA"/>
            <w:tcMar>
              <w:top w:w="110" w:type="dxa"/>
              <w:start w:w="140" w:type="dxa"/>
              <w:bottom w:w="110" w:type="dxa"/>
              <w:end w:w="140" w:type="dxa"/>
            </w:tcMar>
          </w:tcPr>
          <w:p>
            <w:r>
              <w:rPr>
                <w:b/>
                <w:color w:val="222222"/>
                <w:sz w:val="19"/>
              </w:rPr>
              <w:t>No material implementation error was identified. The main validation concerns are model assumptions and observed performance, not coding correctness.</w:t>
            </w:r>
          </w:p>
        </w:tc>
      </w:tr>
    </w:tbl>
    <w:p>
      <w:pPr>
        <w:spacing w:after="0"/>
      </w:pPr>
    </w:p>
    <w:p>
      <w:pPr>
        <w:pStyle w:val="ListBullet"/>
        <w:spacing w:after="40"/>
      </w:pPr>
      <w:r>
        <w:rPr>
          <w:sz w:val="19"/>
        </w:rPr>
        <w:t>The Python implementation matches the documented EWMA methodology and parameters.</w:t>
      </w:r>
    </w:p>
    <w:p>
      <w:pPr>
        <w:pStyle w:val="ListBullet"/>
        <w:spacing w:after="40"/>
      </w:pPr>
      <w:r>
        <w:rPr>
          <w:sz w:val="19"/>
        </w:rPr>
        <w:t>Independent calculations reproduce the model output on five test dates, including March 2020 stress observations.</w:t>
      </w:r>
    </w:p>
    <w:p>
      <w:pPr>
        <w:pStyle w:val="ListBullet"/>
        <w:spacing w:after="40"/>
      </w:pPr>
      <w:r>
        <w:rPr>
          <w:sz w:val="19"/>
        </w:rPr>
        <w:t>The principal conceptual risks are conditional Normality, a fixed lambda, symmetric shock treatment, lack of a long-run variance anchor, and the model's reactive nature at the start of abrupt shocks.</w:t>
      </w:r>
    </w:p>
    <w:p>
      <w:pPr>
        <w:pStyle w:val="ListBullet"/>
        <w:spacing w:after="40"/>
      </w:pPr>
      <w:r>
        <w:rPr>
          <w:sz w:val="19"/>
        </w:rPr>
        <w:t>The unadjusted SPY Last Price convention excludes explicit dividend adjustment and should remain documented as a project limitation.</w:t>
      </w:r>
    </w:p>
    <w:p>
      <w:pPr>
        <w:pStyle w:val="Heading1"/>
      </w:pPr>
      <w:r>
        <w:t>5. Initial Review Next Steps</w:t>
      </w:r>
    </w:p>
    <w:p>
      <w:r>
        <w:t>At completion of the initial review, the planned next steps were quantitative exception analysis, Kupiec and Christoffersen backtesting, benchmarking, parameter sensitivity, and stress-period analysis. Those baseline validation steps have now been completed in Sections 6 and 7. Further work, if required, would focus on alternative distributional assumptions, additional stress periods, or volatility specifications beyond EWMA.</w:t>
      </w:r>
    </w:p>
    <w:p>
      <w:r>
        <w:br w:type="page"/>
      </w:r>
    </w:p>
    <w:p>
      <w:pPr>
        <w:pStyle w:val="Heading1"/>
      </w:pPr>
      <w:r>
        <w:t>6. Backtesting &amp; Benchmarking</w:t>
      </w:r>
    </w:p>
    <w:p>
      <w:pPr>
        <w:pStyle w:val="Heading2"/>
      </w:pPr>
      <w:r>
        <w:t>6.1 Backtesting Results</w:t>
      </w:r>
    </w:p>
    <w:tbl>
      <w:tblPr>
        <w:tblStyle w:val="TableGrid"/>
        <w:tblW w:type="auto" w:w="0"/>
        <w:jc w:val="center"/>
        <w:tblLook w:firstColumn="1" w:firstRow="1" w:lastColumn="0" w:lastRow="0" w:noHBand="0" w:noVBand="1" w:val="04A0"/>
      </w:tblPr>
      <w:tblGrid>
        <w:gridCol w:w="5083"/>
        <w:gridCol w:w="5083"/>
      </w:tblGrid>
      <w:tr>
        <w:tc>
          <w:tcPr>
            <w:tcW w:type="dxa" w:w="5184"/>
            <w:shd w:fill="CC0000"/>
            <w:tcMar>
              <w:top w:w="70" w:type="dxa"/>
              <w:start w:w="90" w:type="dxa"/>
              <w:bottom w:w="70" w:type="dxa"/>
              <w:end w:w="90" w:type="dxa"/>
            </w:tcMar>
          </w:tcPr>
          <w:p>
            <w:r>
              <w:rPr>
                <w:b/>
                <w:color w:val="FFFFFF"/>
                <w:sz w:val="17"/>
              </w:rPr>
              <w:t>Metric</w:t>
            </w:r>
          </w:p>
        </w:tc>
        <w:tc>
          <w:tcPr>
            <w:tcW w:type="dxa" w:w="3168"/>
            <w:shd w:fill="CC0000"/>
            <w:tcMar>
              <w:top w:w="70" w:type="dxa"/>
              <w:start w:w="90" w:type="dxa"/>
              <w:bottom w:w="70" w:type="dxa"/>
              <w:end w:w="90" w:type="dxa"/>
            </w:tcMar>
          </w:tcPr>
          <w:p>
            <w:r>
              <w:rPr>
                <w:b/>
                <w:color w:val="FFFFFF"/>
                <w:sz w:val="17"/>
              </w:rPr>
              <w:t>EWMA result</w:t>
            </w:r>
          </w:p>
        </w:tc>
      </w:tr>
      <w:tr>
        <w:tc>
          <w:tcPr>
            <w:tcW w:type="dxa" w:w="5184"/>
            <w:tcMar>
              <w:top w:w="70" w:type="dxa"/>
              <w:start w:w="90" w:type="dxa"/>
              <w:bottom w:w="70" w:type="dxa"/>
              <w:end w:w="90" w:type="dxa"/>
            </w:tcMar>
          </w:tcPr>
          <w:p>
            <w:r>
              <w:rPr>
                <w:sz w:val="17"/>
              </w:rPr>
              <w:t>Backtesting observations</w:t>
            </w:r>
          </w:p>
        </w:tc>
        <w:tc>
          <w:tcPr>
            <w:tcW w:type="dxa" w:w="3168"/>
            <w:tcMar>
              <w:top w:w="70" w:type="dxa"/>
              <w:start w:w="90" w:type="dxa"/>
              <w:bottom w:w="70" w:type="dxa"/>
              <w:end w:w="90" w:type="dxa"/>
            </w:tcMar>
          </w:tcPr>
          <w:p>
            <w:r>
              <w:rPr>
                <w:sz w:val="17"/>
              </w:rPr>
              <w:t>3,939</w:t>
            </w:r>
          </w:p>
        </w:tc>
      </w:tr>
      <w:tr>
        <w:tc>
          <w:tcPr>
            <w:tcW w:type="dxa" w:w="5184"/>
            <w:tcMar>
              <w:top w:w="70" w:type="dxa"/>
              <w:start w:w="90" w:type="dxa"/>
              <w:bottom w:w="70" w:type="dxa"/>
              <w:end w:w="90" w:type="dxa"/>
            </w:tcMar>
            <w:shd w:fill="FAFAFA"/>
          </w:tcPr>
          <w:p>
            <w:r>
              <w:rPr>
                <w:sz w:val="17"/>
              </w:rPr>
              <w:t>Expected exceptions at 99% VaR</w:t>
            </w:r>
          </w:p>
        </w:tc>
        <w:tc>
          <w:tcPr>
            <w:tcW w:type="dxa" w:w="3168"/>
            <w:tcMar>
              <w:top w:w="70" w:type="dxa"/>
              <w:start w:w="90" w:type="dxa"/>
              <w:bottom w:w="70" w:type="dxa"/>
              <w:end w:w="90" w:type="dxa"/>
            </w:tcMar>
            <w:shd w:fill="FAFAFA"/>
          </w:tcPr>
          <w:p>
            <w:r>
              <w:rPr>
                <w:sz w:val="17"/>
              </w:rPr>
              <w:t>39.39</w:t>
            </w:r>
          </w:p>
        </w:tc>
      </w:tr>
      <w:tr>
        <w:tc>
          <w:tcPr>
            <w:tcW w:type="dxa" w:w="5184"/>
            <w:tcMar>
              <w:top w:w="70" w:type="dxa"/>
              <w:start w:w="90" w:type="dxa"/>
              <w:bottom w:w="70" w:type="dxa"/>
              <w:end w:w="90" w:type="dxa"/>
            </w:tcMar>
          </w:tcPr>
          <w:p>
            <w:r>
              <w:rPr>
                <w:sz w:val="17"/>
              </w:rPr>
              <w:t>Actual exceptions</w:t>
            </w:r>
          </w:p>
        </w:tc>
        <w:tc>
          <w:tcPr>
            <w:tcW w:type="dxa" w:w="3168"/>
            <w:tcMar>
              <w:top w:w="70" w:type="dxa"/>
              <w:start w:w="90" w:type="dxa"/>
              <w:bottom w:w="70" w:type="dxa"/>
              <w:end w:w="90" w:type="dxa"/>
            </w:tcMar>
          </w:tcPr>
          <w:p>
            <w:r>
              <w:rPr>
                <w:sz w:val="17"/>
              </w:rPr>
              <w:t>91</w:t>
            </w:r>
          </w:p>
        </w:tc>
      </w:tr>
      <w:tr>
        <w:tc>
          <w:tcPr>
            <w:tcW w:type="dxa" w:w="5184"/>
            <w:tcMar>
              <w:top w:w="70" w:type="dxa"/>
              <w:start w:w="90" w:type="dxa"/>
              <w:bottom w:w="70" w:type="dxa"/>
              <w:end w:w="90" w:type="dxa"/>
            </w:tcMar>
            <w:shd w:fill="FAFAFA"/>
          </w:tcPr>
          <w:p>
            <w:r>
              <w:rPr>
                <w:sz w:val="17"/>
              </w:rPr>
              <w:t>Expected exception rate</w:t>
            </w:r>
          </w:p>
        </w:tc>
        <w:tc>
          <w:tcPr>
            <w:tcW w:type="dxa" w:w="3168"/>
            <w:tcMar>
              <w:top w:w="70" w:type="dxa"/>
              <w:start w:w="90" w:type="dxa"/>
              <w:bottom w:w="70" w:type="dxa"/>
              <w:end w:w="90" w:type="dxa"/>
            </w:tcMar>
            <w:shd w:fill="FAFAFA"/>
          </w:tcPr>
          <w:p>
            <w:r>
              <w:rPr>
                <w:sz w:val="17"/>
              </w:rPr>
              <w:t>1.00%</w:t>
            </w:r>
          </w:p>
        </w:tc>
      </w:tr>
      <w:tr>
        <w:tc>
          <w:tcPr>
            <w:tcW w:type="dxa" w:w="5184"/>
            <w:tcMar>
              <w:top w:w="70" w:type="dxa"/>
              <w:start w:w="90" w:type="dxa"/>
              <w:bottom w:w="70" w:type="dxa"/>
              <w:end w:w="90" w:type="dxa"/>
            </w:tcMar>
          </w:tcPr>
          <w:p>
            <w:r>
              <w:rPr>
                <w:sz w:val="17"/>
              </w:rPr>
              <w:t>Observed exception rate</w:t>
            </w:r>
          </w:p>
        </w:tc>
        <w:tc>
          <w:tcPr>
            <w:tcW w:type="dxa" w:w="3168"/>
            <w:tcMar>
              <w:top w:w="70" w:type="dxa"/>
              <w:start w:w="90" w:type="dxa"/>
              <w:bottom w:w="70" w:type="dxa"/>
              <w:end w:w="90" w:type="dxa"/>
            </w:tcMar>
          </w:tcPr>
          <w:p>
            <w:r>
              <w:rPr>
                <w:sz w:val="17"/>
              </w:rPr>
              <w:t>2.31%</w:t>
            </w:r>
          </w:p>
        </w:tc>
      </w:tr>
    </w:tbl>
    <w:p>
      <w:r>
        <w:rPr>
          <w:b/>
        </w:rPr>
        <w:t xml:space="preserve">Interpretation. </w:t>
      </w:r>
      <w:r>
        <w:t>The EWMA model produced 91 exceptions versus approximately 39 expected under a correctly calibrated 99% VaR model. The observed exception rate of 2.31% is more than double the target 1%, indicating material undercoverage over the full out-of-sample period. This does not by itself identify the cause, but it motivates formal statistical testing and investigation of stress-period behavior.</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shd w:fill="CC0000"/>
            <w:tcMar>
              <w:top w:w="70" w:type="dxa"/>
              <w:start w:w="90" w:type="dxa"/>
              <w:bottom w:w="70" w:type="dxa"/>
              <w:end w:w="90" w:type="dxa"/>
            </w:tcMar>
          </w:tcPr>
          <w:p>
            <w:r>
              <w:rPr>
                <w:b/>
                <w:color w:val="FFFFFF"/>
                <w:sz w:val="15"/>
              </w:rPr>
              <w:t>Year</w:t>
            </w:r>
          </w:p>
        </w:tc>
        <w:tc>
          <w:tcPr>
            <w:tcW w:type="dxa" w:w="1152"/>
            <w:shd w:fill="CC0000"/>
            <w:tcMar>
              <w:top w:w="70" w:type="dxa"/>
              <w:start w:w="90" w:type="dxa"/>
              <w:bottom w:w="70" w:type="dxa"/>
              <w:end w:w="90" w:type="dxa"/>
            </w:tcMar>
          </w:tcPr>
          <w:p>
            <w:r>
              <w:rPr>
                <w:b/>
                <w:color w:val="FFFFFF"/>
                <w:sz w:val="15"/>
              </w:rPr>
              <w:t>Obs.</w:t>
            </w:r>
          </w:p>
        </w:tc>
        <w:tc>
          <w:tcPr>
            <w:tcW w:type="dxa" w:w="1584"/>
            <w:shd w:fill="CC0000"/>
            <w:tcMar>
              <w:top w:w="70" w:type="dxa"/>
              <w:start w:w="90" w:type="dxa"/>
              <w:bottom w:w="70" w:type="dxa"/>
              <w:end w:w="90" w:type="dxa"/>
            </w:tcMar>
          </w:tcPr>
          <w:p>
            <w:r>
              <w:rPr>
                <w:b/>
                <w:color w:val="FFFFFF"/>
                <w:sz w:val="15"/>
              </w:rPr>
              <w:t>Expected</w:t>
            </w:r>
          </w:p>
        </w:tc>
        <w:tc>
          <w:tcPr>
            <w:tcW w:type="dxa" w:w="1152"/>
            <w:shd w:fill="CC0000"/>
            <w:tcMar>
              <w:top w:w="70" w:type="dxa"/>
              <w:start w:w="90" w:type="dxa"/>
              <w:bottom w:w="70" w:type="dxa"/>
              <w:end w:w="90" w:type="dxa"/>
            </w:tcMar>
          </w:tcPr>
          <w:p>
            <w:r>
              <w:rPr>
                <w:b/>
                <w:color w:val="FFFFFF"/>
                <w:sz w:val="15"/>
              </w:rPr>
              <w:t>Actual</w:t>
            </w:r>
          </w:p>
        </w:tc>
        <w:tc>
          <w:tcPr>
            <w:tcW w:type="dxa" w:w="1296"/>
            <w:shd w:fill="CC0000"/>
            <w:tcMar>
              <w:top w:w="70" w:type="dxa"/>
              <w:start w:w="90" w:type="dxa"/>
              <w:bottom w:w="70" w:type="dxa"/>
              <w:end w:w="90" w:type="dxa"/>
            </w:tcMar>
          </w:tcPr>
          <w:p>
            <w:r>
              <w:rPr>
                <w:b/>
                <w:color w:val="FFFFFF"/>
                <w:sz w:val="15"/>
              </w:rPr>
              <w:t>Rate</w:t>
            </w:r>
          </w:p>
        </w:tc>
      </w:tr>
      <w:tr>
        <w:tc>
          <w:tcPr>
            <w:tcW w:type="dxa" w:w="1152"/>
            <w:tcMar>
              <w:top w:w="70" w:type="dxa"/>
              <w:start w:w="90" w:type="dxa"/>
              <w:bottom w:w="70" w:type="dxa"/>
              <w:end w:w="90" w:type="dxa"/>
            </w:tcMar>
          </w:tcPr>
          <w:p>
            <w:r>
              <w:rPr>
                <w:sz w:val="15"/>
              </w:rPr>
              <w:t>2010</w:t>
            </w:r>
          </w:p>
        </w:tc>
        <w:tc>
          <w:tcPr>
            <w:tcW w:type="dxa" w:w="1152"/>
            <w:tcMar>
              <w:top w:w="70" w:type="dxa"/>
              <w:start w:w="90" w:type="dxa"/>
              <w:bottom w:w="70" w:type="dxa"/>
              <w:end w:w="90" w:type="dxa"/>
            </w:tcMar>
          </w:tcPr>
          <w:p>
            <w:r>
              <w:rPr>
                <w:sz w:val="15"/>
              </w:rPr>
              <w:t>1</w:t>
            </w:r>
          </w:p>
        </w:tc>
        <w:tc>
          <w:tcPr>
            <w:tcW w:type="dxa" w:w="1584"/>
            <w:tcMar>
              <w:top w:w="70" w:type="dxa"/>
              <w:start w:w="90" w:type="dxa"/>
              <w:bottom w:w="70" w:type="dxa"/>
              <w:end w:w="90" w:type="dxa"/>
            </w:tcMar>
          </w:tcPr>
          <w:p>
            <w:r>
              <w:rPr>
                <w:sz w:val="15"/>
              </w:rPr>
              <w:t>0.01</w:t>
            </w:r>
          </w:p>
        </w:tc>
        <w:tc>
          <w:tcPr>
            <w:tcW w:type="dxa" w:w="1152"/>
            <w:tcMar>
              <w:top w:w="70" w:type="dxa"/>
              <w:start w:w="90" w:type="dxa"/>
              <w:bottom w:w="70" w:type="dxa"/>
              <w:end w:w="90" w:type="dxa"/>
            </w:tcMar>
          </w:tcPr>
          <w:p>
            <w:r>
              <w:rPr>
                <w:sz w:val="15"/>
              </w:rPr>
              <w:t>0</w:t>
            </w:r>
          </w:p>
        </w:tc>
        <w:tc>
          <w:tcPr>
            <w:tcW w:type="dxa" w:w="1296"/>
            <w:tcMar>
              <w:top w:w="70" w:type="dxa"/>
              <w:start w:w="90" w:type="dxa"/>
              <w:bottom w:w="70" w:type="dxa"/>
              <w:end w:w="90" w:type="dxa"/>
            </w:tcMar>
          </w:tcPr>
          <w:p>
            <w:r>
              <w:rPr>
                <w:sz w:val="15"/>
              </w:rPr>
              <w:t>0.00%</w:t>
            </w:r>
          </w:p>
        </w:tc>
      </w:tr>
      <w:tr>
        <w:tc>
          <w:tcPr>
            <w:tcW w:type="dxa" w:w="1152"/>
            <w:tcMar>
              <w:top w:w="70" w:type="dxa"/>
              <w:start w:w="90" w:type="dxa"/>
              <w:bottom w:w="70" w:type="dxa"/>
              <w:end w:w="90" w:type="dxa"/>
            </w:tcMar>
            <w:shd w:fill="FAFAFA"/>
          </w:tcPr>
          <w:p>
            <w:r>
              <w:rPr>
                <w:sz w:val="15"/>
              </w:rPr>
              <w:t>2011</w:t>
            </w:r>
          </w:p>
        </w:tc>
        <w:tc>
          <w:tcPr>
            <w:tcW w:type="dxa" w:w="1152"/>
            <w:tcMar>
              <w:top w:w="70" w:type="dxa"/>
              <w:start w:w="90" w:type="dxa"/>
              <w:bottom w:w="70" w:type="dxa"/>
              <w:end w:w="90" w:type="dxa"/>
            </w:tcMar>
            <w:shd w:fill="FAFAFA"/>
          </w:tcPr>
          <w:p>
            <w:r>
              <w:rPr>
                <w:sz w:val="15"/>
              </w:rPr>
              <w:t>252</w:t>
            </w:r>
          </w:p>
        </w:tc>
        <w:tc>
          <w:tcPr>
            <w:tcW w:type="dxa" w:w="1584"/>
            <w:tcMar>
              <w:top w:w="70" w:type="dxa"/>
              <w:start w:w="90" w:type="dxa"/>
              <w:bottom w:w="70" w:type="dxa"/>
              <w:end w:w="90" w:type="dxa"/>
            </w:tcMar>
            <w:shd w:fill="FAFAFA"/>
          </w:tcPr>
          <w:p>
            <w:r>
              <w:rPr>
                <w:sz w:val="15"/>
              </w:rPr>
              <w:t>2.52</w:t>
            </w:r>
          </w:p>
        </w:tc>
        <w:tc>
          <w:tcPr>
            <w:tcW w:type="dxa" w:w="1152"/>
            <w:tcMar>
              <w:top w:w="70" w:type="dxa"/>
              <w:start w:w="90" w:type="dxa"/>
              <w:bottom w:w="70" w:type="dxa"/>
              <w:end w:w="90" w:type="dxa"/>
            </w:tcMar>
            <w:shd w:fill="FAFAFA"/>
          </w:tcPr>
          <w:p>
            <w:r>
              <w:rPr>
                <w:sz w:val="15"/>
              </w:rPr>
              <w:t>6</w:t>
            </w:r>
          </w:p>
        </w:tc>
        <w:tc>
          <w:tcPr>
            <w:tcW w:type="dxa" w:w="1296"/>
            <w:tcMar>
              <w:top w:w="70" w:type="dxa"/>
              <w:start w:w="90" w:type="dxa"/>
              <w:bottom w:w="70" w:type="dxa"/>
              <w:end w:w="90" w:type="dxa"/>
            </w:tcMar>
            <w:shd w:fill="FAFAFA"/>
          </w:tcPr>
          <w:p>
            <w:r>
              <w:rPr>
                <w:sz w:val="15"/>
              </w:rPr>
              <w:t>2.38%</w:t>
            </w:r>
          </w:p>
        </w:tc>
      </w:tr>
      <w:tr>
        <w:tc>
          <w:tcPr>
            <w:tcW w:type="dxa" w:w="1152"/>
            <w:tcMar>
              <w:top w:w="70" w:type="dxa"/>
              <w:start w:w="90" w:type="dxa"/>
              <w:bottom w:w="70" w:type="dxa"/>
              <w:end w:w="90" w:type="dxa"/>
            </w:tcMar>
          </w:tcPr>
          <w:p>
            <w:r>
              <w:rPr>
                <w:sz w:val="15"/>
              </w:rPr>
              <w:t>2012</w:t>
            </w:r>
          </w:p>
        </w:tc>
        <w:tc>
          <w:tcPr>
            <w:tcW w:type="dxa" w:w="1152"/>
            <w:tcMar>
              <w:top w:w="70" w:type="dxa"/>
              <w:start w:w="90" w:type="dxa"/>
              <w:bottom w:w="70" w:type="dxa"/>
              <w:end w:w="90" w:type="dxa"/>
            </w:tcMar>
          </w:tcPr>
          <w:p>
            <w:r>
              <w:rPr>
                <w:sz w:val="15"/>
              </w:rPr>
              <w:t>250</w:t>
            </w:r>
          </w:p>
        </w:tc>
        <w:tc>
          <w:tcPr>
            <w:tcW w:type="dxa" w:w="1584"/>
            <w:tcMar>
              <w:top w:w="70" w:type="dxa"/>
              <w:start w:w="90" w:type="dxa"/>
              <w:bottom w:w="70" w:type="dxa"/>
              <w:end w:w="90" w:type="dxa"/>
            </w:tcMar>
          </w:tcPr>
          <w:p>
            <w:r>
              <w:rPr>
                <w:sz w:val="15"/>
              </w:rPr>
              <w:t>2.50</w:t>
            </w:r>
          </w:p>
        </w:tc>
        <w:tc>
          <w:tcPr>
            <w:tcW w:type="dxa" w:w="1152"/>
            <w:tcMar>
              <w:top w:w="70" w:type="dxa"/>
              <w:start w:w="90" w:type="dxa"/>
              <w:bottom w:w="70" w:type="dxa"/>
              <w:end w:w="90" w:type="dxa"/>
            </w:tcMar>
          </w:tcPr>
          <w:p>
            <w:r>
              <w:rPr>
                <w:sz w:val="15"/>
              </w:rPr>
              <w:t>5</w:t>
            </w:r>
          </w:p>
        </w:tc>
        <w:tc>
          <w:tcPr>
            <w:tcW w:type="dxa" w:w="1296"/>
            <w:tcMar>
              <w:top w:w="70" w:type="dxa"/>
              <w:start w:w="90" w:type="dxa"/>
              <w:bottom w:w="70" w:type="dxa"/>
              <w:end w:w="90" w:type="dxa"/>
            </w:tcMar>
          </w:tcPr>
          <w:p>
            <w:r>
              <w:rPr>
                <w:sz w:val="15"/>
              </w:rPr>
              <w:t>2.00%</w:t>
            </w:r>
          </w:p>
        </w:tc>
      </w:tr>
      <w:tr>
        <w:tc>
          <w:tcPr>
            <w:tcW w:type="dxa" w:w="1152"/>
            <w:tcMar>
              <w:top w:w="70" w:type="dxa"/>
              <w:start w:w="90" w:type="dxa"/>
              <w:bottom w:w="70" w:type="dxa"/>
              <w:end w:w="90" w:type="dxa"/>
            </w:tcMar>
            <w:shd w:fill="FAFAFA"/>
          </w:tcPr>
          <w:p>
            <w:r>
              <w:rPr>
                <w:sz w:val="15"/>
              </w:rPr>
              <w:t>2013</w:t>
            </w:r>
          </w:p>
        </w:tc>
        <w:tc>
          <w:tcPr>
            <w:tcW w:type="dxa" w:w="1152"/>
            <w:tcMar>
              <w:top w:w="70" w:type="dxa"/>
              <w:start w:w="90" w:type="dxa"/>
              <w:bottom w:w="70" w:type="dxa"/>
              <w:end w:w="90" w:type="dxa"/>
            </w:tcMar>
            <w:shd w:fill="FAFAFA"/>
          </w:tcPr>
          <w:p>
            <w:r>
              <w:rPr>
                <w:sz w:val="15"/>
              </w:rPr>
              <w:t>252</w:t>
            </w:r>
          </w:p>
        </w:tc>
        <w:tc>
          <w:tcPr>
            <w:tcW w:type="dxa" w:w="1584"/>
            <w:tcMar>
              <w:top w:w="70" w:type="dxa"/>
              <w:start w:w="90" w:type="dxa"/>
              <w:bottom w:w="70" w:type="dxa"/>
              <w:end w:w="90" w:type="dxa"/>
            </w:tcMar>
            <w:shd w:fill="FAFAFA"/>
          </w:tcPr>
          <w:p>
            <w:r>
              <w:rPr>
                <w:sz w:val="15"/>
              </w:rPr>
              <w:t>2.52</w:t>
            </w:r>
          </w:p>
        </w:tc>
        <w:tc>
          <w:tcPr>
            <w:tcW w:type="dxa" w:w="1152"/>
            <w:tcMar>
              <w:top w:w="70" w:type="dxa"/>
              <w:start w:w="90" w:type="dxa"/>
              <w:bottom w:w="70" w:type="dxa"/>
              <w:end w:w="90" w:type="dxa"/>
            </w:tcMar>
            <w:shd w:fill="FAFAFA"/>
          </w:tcPr>
          <w:p>
            <w:r>
              <w:rPr>
                <w:sz w:val="15"/>
              </w:rPr>
              <w:t>5</w:t>
            </w:r>
          </w:p>
        </w:tc>
        <w:tc>
          <w:tcPr>
            <w:tcW w:type="dxa" w:w="1296"/>
            <w:tcMar>
              <w:top w:w="70" w:type="dxa"/>
              <w:start w:w="90" w:type="dxa"/>
              <w:bottom w:w="70" w:type="dxa"/>
              <w:end w:w="90" w:type="dxa"/>
            </w:tcMar>
            <w:shd w:fill="FAFAFA"/>
          </w:tcPr>
          <w:p>
            <w:r>
              <w:rPr>
                <w:sz w:val="15"/>
              </w:rPr>
              <w:t>1.98%</w:t>
            </w:r>
          </w:p>
        </w:tc>
      </w:tr>
      <w:tr>
        <w:tc>
          <w:tcPr>
            <w:tcW w:type="dxa" w:w="1152"/>
            <w:tcMar>
              <w:top w:w="70" w:type="dxa"/>
              <w:start w:w="90" w:type="dxa"/>
              <w:bottom w:w="70" w:type="dxa"/>
              <w:end w:w="90" w:type="dxa"/>
            </w:tcMar>
          </w:tcPr>
          <w:p>
            <w:r>
              <w:rPr>
                <w:sz w:val="15"/>
              </w:rPr>
              <w:t>2014</w:t>
            </w:r>
          </w:p>
        </w:tc>
        <w:tc>
          <w:tcPr>
            <w:tcW w:type="dxa" w:w="1152"/>
            <w:tcMar>
              <w:top w:w="70" w:type="dxa"/>
              <w:start w:w="90" w:type="dxa"/>
              <w:bottom w:w="70" w:type="dxa"/>
              <w:end w:w="90" w:type="dxa"/>
            </w:tcMar>
          </w:tcPr>
          <w:p>
            <w:r>
              <w:rPr>
                <w:sz w:val="15"/>
              </w:rPr>
              <w:t>252</w:t>
            </w:r>
          </w:p>
        </w:tc>
        <w:tc>
          <w:tcPr>
            <w:tcW w:type="dxa" w:w="1584"/>
            <w:tcMar>
              <w:top w:w="70" w:type="dxa"/>
              <w:start w:w="90" w:type="dxa"/>
              <w:bottom w:w="70" w:type="dxa"/>
              <w:end w:w="90" w:type="dxa"/>
            </w:tcMar>
          </w:tcPr>
          <w:p>
            <w:r>
              <w:rPr>
                <w:sz w:val="15"/>
              </w:rPr>
              <w:t>2.52</w:t>
            </w:r>
          </w:p>
        </w:tc>
        <w:tc>
          <w:tcPr>
            <w:tcW w:type="dxa" w:w="1152"/>
            <w:tcMar>
              <w:top w:w="70" w:type="dxa"/>
              <w:start w:w="90" w:type="dxa"/>
              <w:bottom w:w="70" w:type="dxa"/>
              <w:end w:w="90" w:type="dxa"/>
            </w:tcMar>
          </w:tcPr>
          <w:p>
            <w:r>
              <w:rPr>
                <w:sz w:val="15"/>
              </w:rPr>
              <w:t>10</w:t>
            </w:r>
          </w:p>
        </w:tc>
        <w:tc>
          <w:tcPr>
            <w:tcW w:type="dxa" w:w="1296"/>
            <w:tcMar>
              <w:top w:w="70" w:type="dxa"/>
              <w:start w:w="90" w:type="dxa"/>
              <w:bottom w:w="70" w:type="dxa"/>
              <w:end w:w="90" w:type="dxa"/>
            </w:tcMar>
          </w:tcPr>
          <w:p>
            <w:r>
              <w:rPr>
                <w:sz w:val="15"/>
              </w:rPr>
              <w:t>3.97%</w:t>
            </w:r>
          </w:p>
        </w:tc>
      </w:tr>
      <w:tr>
        <w:tc>
          <w:tcPr>
            <w:tcW w:type="dxa" w:w="1152"/>
            <w:tcMar>
              <w:top w:w="70" w:type="dxa"/>
              <w:start w:w="90" w:type="dxa"/>
              <w:bottom w:w="70" w:type="dxa"/>
              <w:end w:w="90" w:type="dxa"/>
            </w:tcMar>
            <w:shd w:fill="FAFAFA"/>
          </w:tcPr>
          <w:p>
            <w:r>
              <w:rPr>
                <w:sz w:val="15"/>
              </w:rPr>
              <w:t>2015</w:t>
            </w:r>
          </w:p>
        </w:tc>
        <w:tc>
          <w:tcPr>
            <w:tcW w:type="dxa" w:w="1152"/>
            <w:tcMar>
              <w:top w:w="70" w:type="dxa"/>
              <w:start w:w="90" w:type="dxa"/>
              <w:bottom w:w="70" w:type="dxa"/>
              <w:end w:w="90" w:type="dxa"/>
            </w:tcMar>
            <w:shd w:fill="FAFAFA"/>
          </w:tcPr>
          <w:p>
            <w:r>
              <w:rPr>
                <w:sz w:val="15"/>
              </w:rPr>
              <w:t>252</w:t>
            </w:r>
          </w:p>
        </w:tc>
        <w:tc>
          <w:tcPr>
            <w:tcW w:type="dxa" w:w="1584"/>
            <w:tcMar>
              <w:top w:w="70" w:type="dxa"/>
              <w:start w:w="90" w:type="dxa"/>
              <w:bottom w:w="70" w:type="dxa"/>
              <w:end w:w="90" w:type="dxa"/>
            </w:tcMar>
            <w:shd w:fill="FAFAFA"/>
          </w:tcPr>
          <w:p>
            <w:r>
              <w:rPr>
                <w:sz w:val="15"/>
              </w:rPr>
              <w:t>2.52</w:t>
            </w:r>
          </w:p>
        </w:tc>
        <w:tc>
          <w:tcPr>
            <w:tcW w:type="dxa" w:w="1152"/>
            <w:tcMar>
              <w:top w:w="70" w:type="dxa"/>
              <w:start w:w="90" w:type="dxa"/>
              <w:bottom w:w="70" w:type="dxa"/>
              <w:end w:w="90" w:type="dxa"/>
            </w:tcMar>
            <w:shd w:fill="FAFAFA"/>
          </w:tcPr>
          <w:p>
            <w:r>
              <w:rPr>
                <w:sz w:val="15"/>
              </w:rPr>
              <w:t>5</w:t>
            </w:r>
          </w:p>
        </w:tc>
        <w:tc>
          <w:tcPr>
            <w:tcW w:type="dxa" w:w="1296"/>
            <w:tcMar>
              <w:top w:w="70" w:type="dxa"/>
              <w:start w:w="90" w:type="dxa"/>
              <w:bottom w:w="70" w:type="dxa"/>
              <w:end w:w="90" w:type="dxa"/>
            </w:tcMar>
            <w:shd w:fill="FAFAFA"/>
          </w:tcPr>
          <w:p>
            <w:r>
              <w:rPr>
                <w:sz w:val="15"/>
              </w:rPr>
              <w:t>1.98%</w:t>
            </w:r>
          </w:p>
        </w:tc>
      </w:tr>
      <w:tr>
        <w:tc>
          <w:tcPr>
            <w:tcW w:type="dxa" w:w="1152"/>
            <w:tcMar>
              <w:top w:w="70" w:type="dxa"/>
              <w:start w:w="90" w:type="dxa"/>
              <w:bottom w:w="70" w:type="dxa"/>
              <w:end w:w="90" w:type="dxa"/>
            </w:tcMar>
          </w:tcPr>
          <w:p>
            <w:r>
              <w:rPr>
                <w:sz w:val="15"/>
              </w:rPr>
              <w:t>2016</w:t>
            </w:r>
          </w:p>
        </w:tc>
        <w:tc>
          <w:tcPr>
            <w:tcW w:type="dxa" w:w="1152"/>
            <w:tcMar>
              <w:top w:w="70" w:type="dxa"/>
              <w:start w:w="90" w:type="dxa"/>
              <w:bottom w:w="70" w:type="dxa"/>
              <w:end w:w="90" w:type="dxa"/>
            </w:tcMar>
          </w:tcPr>
          <w:p>
            <w:r>
              <w:rPr>
                <w:sz w:val="15"/>
              </w:rPr>
              <w:t>252</w:t>
            </w:r>
          </w:p>
        </w:tc>
        <w:tc>
          <w:tcPr>
            <w:tcW w:type="dxa" w:w="1584"/>
            <w:tcMar>
              <w:top w:w="70" w:type="dxa"/>
              <w:start w:w="90" w:type="dxa"/>
              <w:bottom w:w="70" w:type="dxa"/>
              <w:end w:w="90" w:type="dxa"/>
            </w:tcMar>
          </w:tcPr>
          <w:p>
            <w:r>
              <w:rPr>
                <w:sz w:val="15"/>
              </w:rPr>
              <w:t>2.52</w:t>
            </w:r>
          </w:p>
        </w:tc>
        <w:tc>
          <w:tcPr>
            <w:tcW w:type="dxa" w:w="1152"/>
            <w:tcMar>
              <w:top w:w="70" w:type="dxa"/>
              <w:start w:w="90" w:type="dxa"/>
              <w:bottom w:w="70" w:type="dxa"/>
              <w:end w:w="90" w:type="dxa"/>
            </w:tcMar>
          </w:tcPr>
          <w:p>
            <w:r>
              <w:rPr>
                <w:sz w:val="15"/>
              </w:rPr>
              <w:t>2</w:t>
            </w:r>
          </w:p>
        </w:tc>
        <w:tc>
          <w:tcPr>
            <w:tcW w:type="dxa" w:w="1296"/>
            <w:tcMar>
              <w:top w:w="70" w:type="dxa"/>
              <w:start w:w="90" w:type="dxa"/>
              <w:bottom w:w="70" w:type="dxa"/>
              <w:end w:w="90" w:type="dxa"/>
            </w:tcMar>
          </w:tcPr>
          <w:p>
            <w:r>
              <w:rPr>
                <w:sz w:val="15"/>
              </w:rPr>
              <w:t>0.79%</w:t>
            </w:r>
          </w:p>
        </w:tc>
      </w:tr>
      <w:tr>
        <w:tc>
          <w:tcPr>
            <w:tcW w:type="dxa" w:w="1152"/>
            <w:tcMar>
              <w:top w:w="70" w:type="dxa"/>
              <w:start w:w="90" w:type="dxa"/>
              <w:bottom w:w="70" w:type="dxa"/>
              <w:end w:w="90" w:type="dxa"/>
            </w:tcMar>
            <w:shd w:fill="FAFAFA"/>
          </w:tcPr>
          <w:p>
            <w:r>
              <w:rPr>
                <w:sz w:val="15"/>
              </w:rPr>
              <w:t>2017</w:t>
            </w:r>
          </w:p>
        </w:tc>
        <w:tc>
          <w:tcPr>
            <w:tcW w:type="dxa" w:w="1152"/>
            <w:tcMar>
              <w:top w:w="70" w:type="dxa"/>
              <w:start w:w="90" w:type="dxa"/>
              <w:bottom w:w="70" w:type="dxa"/>
              <w:end w:w="90" w:type="dxa"/>
            </w:tcMar>
            <w:shd w:fill="FAFAFA"/>
          </w:tcPr>
          <w:p>
            <w:r>
              <w:rPr>
                <w:sz w:val="15"/>
              </w:rPr>
              <w:t>251</w:t>
            </w:r>
          </w:p>
        </w:tc>
        <w:tc>
          <w:tcPr>
            <w:tcW w:type="dxa" w:w="1584"/>
            <w:tcMar>
              <w:top w:w="70" w:type="dxa"/>
              <w:start w:w="90" w:type="dxa"/>
              <w:bottom w:w="70" w:type="dxa"/>
              <w:end w:w="90" w:type="dxa"/>
            </w:tcMar>
            <w:shd w:fill="FAFAFA"/>
          </w:tcPr>
          <w:p>
            <w:r>
              <w:rPr>
                <w:sz w:val="15"/>
              </w:rPr>
              <w:t>2.51</w:t>
            </w:r>
          </w:p>
        </w:tc>
        <w:tc>
          <w:tcPr>
            <w:tcW w:type="dxa" w:w="1152"/>
            <w:tcMar>
              <w:top w:w="70" w:type="dxa"/>
              <w:start w:w="90" w:type="dxa"/>
              <w:bottom w:w="70" w:type="dxa"/>
              <w:end w:w="90" w:type="dxa"/>
            </w:tcMar>
            <w:shd w:fill="FAFAFA"/>
          </w:tcPr>
          <w:p>
            <w:r>
              <w:rPr>
                <w:sz w:val="15"/>
              </w:rPr>
              <w:t>4</w:t>
            </w:r>
          </w:p>
        </w:tc>
        <w:tc>
          <w:tcPr>
            <w:tcW w:type="dxa" w:w="1296"/>
            <w:tcMar>
              <w:top w:w="70" w:type="dxa"/>
              <w:start w:w="90" w:type="dxa"/>
              <w:bottom w:w="70" w:type="dxa"/>
              <w:end w:w="90" w:type="dxa"/>
            </w:tcMar>
            <w:shd w:fill="FAFAFA"/>
          </w:tcPr>
          <w:p>
            <w:r>
              <w:rPr>
                <w:sz w:val="15"/>
              </w:rPr>
              <w:t>1.59%</w:t>
            </w:r>
          </w:p>
        </w:tc>
      </w:tr>
      <w:tr>
        <w:tc>
          <w:tcPr>
            <w:tcW w:type="dxa" w:w="1152"/>
            <w:tcMar>
              <w:top w:w="70" w:type="dxa"/>
              <w:start w:w="90" w:type="dxa"/>
              <w:bottom w:w="70" w:type="dxa"/>
              <w:end w:w="90" w:type="dxa"/>
            </w:tcMar>
          </w:tcPr>
          <w:p>
            <w:r>
              <w:rPr>
                <w:sz w:val="15"/>
              </w:rPr>
              <w:t>2018</w:t>
            </w:r>
          </w:p>
        </w:tc>
        <w:tc>
          <w:tcPr>
            <w:tcW w:type="dxa" w:w="1152"/>
            <w:tcMar>
              <w:top w:w="70" w:type="dxa"/>
              <w:start w:w="90" w:type="dxa"/>
              <w:bottom w:w="70" w:type="dxa"/>
              <w:end w:w="90" w:type="dxa"/>
            </w:tcMar>
          </w:tcPr>
          <w:p>
            <w:r>
              <w:rPr>
                <w:sz w:val="15"/>
              </w:rPr>
              <w:t>251</w:t>
            </w:r>
          </w:p>
        </w:tc>
        <w:tc>
          <w:tcPr>
            <w:tcW w:type="dxa" w:w="1584"/>
            <w:tcMar>
              <w:top w:w="70" w:type="dxa"/>
              <w:start w:w="90" w:type="dxa"/>
              <w:bottom w:w="70" w:type="dxa"/>
              <w:end w:w="90" w:type="dxa"/>
            </w:tcMar>
          </w:tcPr>
          <w:p>
            <w:r>
              <w:rPr>
                <w:sz w:val="15"/>
              </w:rPr>
              <w:t>2.51</w:t>
            </w:r>
          </w:p>
        </w:tc>
        <w:tc>
          <w:tcPr>
            <w:tcW w:type="dxa" w:w="1152"/>
            <w:tcMar>
              <w:top w:w="70" w:type="dxa"/>
              <w:start w:w="90" w:type="dxa"/>
              <w:bottom w:w="70" w:type="dxa"/>
              <w:end w:w="90" w:type="dxa"/>
            </w:tcMar>
          </w:tcPr>
          <w:p>
            <w:r>
              <w:rPr>
                <w:sz w:val="15"/>
              </w:rPr>
              <w:t>8</w:t>
            </w:r>
          </w:p>
        </w:tc>
        <w:tc>
          <w:tcPr>
            <w:tcW w:type="dxa" w:w="1296"/>
            <w:tcMar>
              <w:top w:w="70" w:type="dxa"/>
              <w:start w:w="90" w:type="dxa"/>
              <w:bottom w:w="70" w:type="dxa"/>
              <w:end w:w="90" w:type="dxa"/>
            </w:tcMar>
          </w:tcPr>
          <w:p>
            <w:r>
              <w:rPr>
                <w:sz w:val="15"/>
              </w:rPr>
              <w:t>3.19%</w:t>
            </w:r>
          </w:p>
        </w:tc>
      </w:tr>
      <w:tr>
        <w:tc>
          <w:tcPr>
            <w:tcW w:type="dxa" w:w="1152"/>
            <w:tcMar>
              <w:top w:w="70" w:type="dxa"/>
              <w:start w:w="90" w:type="dxa"/>
              <w:bottom w:w="70" w:type="dxa"/>
              <w:end w:w="90" w:type="dxa"/>
            </w:tcMar>
            <w:shd w:fill="FAFAFA"/>
          </w:tcPr>
          <w:p>
            <w:r>
              <w:rPr>
                <w:sz w:val="15"/>
              </w:rPr>
              <w:t>2019</w:t>
            </w:r>
          </w:p>
        </w:tc>
        <w:tc>
          <w:tcPr>
            <w:tcW w:type="dxa" w:w="1152"/>
            <w:tcMar>
              <w:top w:w="70" w:type="dxa"/>
              <w:start w:w="90" w:type="dxa"/>
              <w:bottom w:w="70" w:type="dxa"/>
              <w:end w:w="90" w:type="dxa"/>
            </w:tcMar>
            <w:shd w:fill="FAFAFA"/>
          </w:tcPr>
          <w:p>
            <w:r>
              <w:rPr>
                <w:sz w:val="15"/>
              </w:rPr>
              <w:t>252</w:t>
            </w:r>
          </w:p>
        </w:tc>
        <w:tc>
          <w:tcPr>
            <w:tcW w:type="dxa" w:w="1584"/>
            <w:tcMar>
              <w:top w:w="70" w:type="dxa"/>
              <w:start w:w="90" w:type="dxa"/>
              <w:bottom w:w="70" w:type="dxa"/>
              <w:end w:w="90" w:type="dxa"/>
            </w:tcMar>
            <w:shd w:fill="FAFAFA"/>
          </w:tcPr>
          <w:p>
            <w:r>
              <w:rPr>
                <w:sz w:val="15"/>
              </w:rPr>
              <w:t>2.52</w:t>
            </w:r>
          </w:p>
        </w:tc>
        <w:tc>
          <w:tcPr>
            <w:tcW w:type="dxa" w:w="1152"/>
            <w:tcMar>
              <w:top w:w="70" w:type="dxa"/>
              <w:start w:w="90" w:type="dxa"/>
              <w:bottom w:w="70" w:type="dxa"/>
              <w:end w:w="90" w:type="dxa"/>
            </w:tcMar>
            <w:shd w:fill="FAFAFA"/>
          </w:tcPr>
          <w:p>
            <w:r>
              <w:rPr>
                <w:sz w:val="15"/>
              </w:rPr>
              <w:t>5</w:t>
            </w:r>
          </w:p>
        </w:tc>
        <w:tc>
          <w:tcPr>
            <w:tcW w:type="dxa" w:w="1296"/>
            <w:tcMar>
              <w:top w:w="70" w:type="dxa"/>
              <w:start w:w="90" w:type="dxa"/>
              <w:bottom w:w="70" w:type="dxa"/>
              <w:end w:w="90" w:type="dxa"/>
            </w:tcMar>
            <w:shd w:fill="FAFAFA"/>
          </w:tcPr>
          <w:p>
            <w:r>
              <w:rPr>
                <w:sz w:val="15"/>
              </w:rPr>
              <w:t>1.98%</w:t>
            </w:r>
          </w:p>
        </w:tc>
      </w:tr>
      <w:tr>
        <w:tc>
          <w:tcPr>
            <w:tcW w:type="dxa" w:w="1152"/>
            <w:tcMar>
              <w:top w:w="70" w:type="dxa"/>
              <w:start w:w="90" w:type="dxa"/>
              <w:bottom w:w="70" w:type="dxa"/>
              <w:end w:w="90" w:type="dxa"/>
            </w:tcMar>
          </w:tcPr>
          <w:p>
            <w:r>
              <w:rPr>
                <w:sz w:val="15"/>
              </w:rPr>
              <w:t>2020</w:t>
            </w:r>
          </w:p>
        </w:tc>
        <w:tc>
          <w:tcPr>
            <w:tcW w:type="dxa" w:w="1152"/>
            <w:tcMar>
              <w:top w:w="70" w:type="dxa"/>
              <w:start w:w="90" w:type="dxa"/>
              <w:bottom w:w="70" w:type="dxa"/>
              <w:end w:w="90" w:type="dxa"/>
            </w:tcMar>
          </w:tcPr>
          <w:p>
            <w:r>
              <w:rPr>
                <w:sz w:val="15"/>
              </w:rPr>
              <w:t>253</w:t>
            </w:r>
          </w:p>
        </w:tc>
        <w:tc>
          <w:tcPr>
            <w:tcW w:type="dxa" w:w="1584"/>
            <w:tcMar>
              <w:top w:w="70" w:type="dxa"/>
              <w:start w:w="90" w:type="dxa"/>
              <w:bottom w:w="70" w:type="dxa"/>
              <w:end w:w="90" w:type="dxa"/>
            </w:tcMar>
          </w:tcPr>
          <w:p>
            <w:r>
              <w:rPr>
                <w:sz w:val="15"/>
              </w:rPr>
              <w:t>2.53</w:t>
            </w:r>
          </w:p>
        </w:tc>
        <w:tc>
          <w:tcPr>
            <w:tcW w:type="dxa" w:w="1152"/>
            <w:tcMar>
              <w:top w:w="70" w:type="dxa"/>
              <w:start w:w="90" w:type="dxa"/>
              <w:bottom w:w="70" w:type="dxa"/>
              <w:end w:w="90" w:type="dxa"/>
            </w:tcMar>
          </w:tcPr>
          <w:p>
            <w:r>
              <w:rPr>
                <w:sz w:val="15"/>
              </w:rPr>
              <w:t>12</w:t>
            </w:r>
          </w:p>
        </w:tc>
        <w:tc>
          <w:tcPr>
            <w:tcW w:type="dxa" w:w="1296"/>
            <w:tcMar>
              <w:top w:w="70" w:type="dxa"/>
              <w:start w:w="90" w:type="dxa"/>
              <w:bottom w:w="70" w:type="dxa"/>
              <w:end w:w="90" w:type="dxa"/>
            </w:tcMar>
          </w:tcPr>
          <w:p>
            <w:r>
              <w:rPr>
                <w:sz w:val="15"/>
              </w:rPr>
              <w:t>4.74%</w:t>
            </w:r>
          </w:p>
        </w:tc>
      </w:tr>
      <w:tr>
        <w:tc>
          <w:tcPr>
            <w:tcW w:type="dxa" w:w="1152"/>
            <w:tcMar>
              <w:top w:w="70" w:type="dxa"/>
              <w:start w:w="90" w:type="dxa"/>
              <w:bottom w:w="70" w:type="dxa"/>
              <w:end w:w="90" w:type="dxa"/>
            </w:tcMar>
            <w:shd w:fill="FAFAFA"/>
          </w:tcPr>
          <w:p>
            <w:r>
              <w:rPr>
                <w:sz w:val="15"/>
              </w:rPr>
              <w:t>2021</w:t>
            </w:r>
          </w:p>
        </w:tc>
        <w:tc>
          <w:tcPr>
            <w:tcW w:type="dxa" w:w="1152"/>
            <w:tcMar>
              <w:top w:w="70" w:type="dxa"/>
              <w:start w:w="90" w:type="dxa"/>
              <w:bottom w:w="70" w:type="dxa"/>
              <w:end w:w="90" w:type="dxa"/>
            </w:tcMar>
            <w:shd w:fill="FAFAFA"/>
          </w:tcPr>
          <w:p>
            <w:r>
              <w:rPr>
                <w:sz w:val="15"/>
              </w:rPr>
              <w:t>252</w:t>
            </w:r>
          </w:p>
        </w:tc>
        <w:tc>
          <w:tcPr>
            <w:tcW w:type="dxa" w:w="1584"/>
            <w:tcMar>
              <w:top w:w="70" w:type="dxa"/>
              <w:start w:w="90" w:type="dxa"/>
              <w:bottom w:w="70" w:type="dxa"/>
              <w:end w:w="90" w:type="dxa"/>
            </w:tcMar>
            <w:shd w:fill="FAFAFA"/>
          </w:tcPr>
          <w:p>
            <w:r>
              <w:rPr>
                <w:sz w:val="15"/>
              </w:rPr>
              <w:t>2.52</w:t>
            </w:r>
          </w:p>
        </w:tc>
        <w:tc>
          <w:tcPr>
            <w:tcW w:type="dxa" w:w="1152"/>
            <w:tcMar>
              <w:top w:w="70" w:type="dxa"/>
              <w:start w:w="90" w:type="dxa"/>
              <w:bottom w:w="70" w:type="dxa"/>
              <w:end w:w="90" w:type="dxa"/>
            </w:tcMar>
            <w:shd w:fill="FAFAFA"/>
          </w:tcPr>
          <w:p>
            <w:r>
              <w:rPr>
                <w:sz w:val="15"/>
              </w:rPr>
              <w:t>10</w:t>
            </w:r>
          </w:p>
        </w:tc>
        <w:tc>
          <w:tcPr>
            <w:tcW w:type="dxa" w:w="1296"/>
            <w:tcMar>
              <w:top w:w="70" w:type="dxa"/>
              <w:start w:w="90" w:type="dxa"/>
              <w:bottom w:w="70" w:type="dxa"/>
              <w:end w:w="90" w:type="dxa"/>
            </w:tcMar>
            <w:shd w:fill="FAFAFA"/>
          </w:tcPr>
          <w:p>
            <w:r>
              <w:rPr>
                <w:sz w:val="15"/>
              </w:rPr>
              <w:t>3.97%</w:t>
            </w:r>
          </w:p>
        </w:tc>
      </w:tr>
      <w:tr>
        <w:tc>
          <w:tcPr>
            <w:tcW w:type="dxa" w:w="1152"/>
            <w:tcMar>
              <w:top w:w="70" w:type="dxa"/>
              <w:start w:w="90" w:type="dxa"/>
              <w:bottom w:w="70" w:type="dxa"/>
              <w:end w:w="90" w:type="dxa"/>
            </w:tcMar>
          </w:tcPr>
          <w:p>
            <w:r>
              <w:rPr>
                <w:sz w:val="15"/>
              </w:rPr>
              <w:t>2022</w:t>
            </w:r>
          </w:p>
        </w:tc>
        <w:tc>
          <w:tcPr>
            <w:tcW w:type="dxa" w:w="1152"/>
            <w:tcMar>
              <w:top w:w="70" w:type="dxa"/>
              <w:start w:w="90" w:type="dxa"/>
              <w:bottom w:w="70" w:type="dxa"/>
              <w:end w:w="90" w:type="dxa"/>
            </w:tcMar>
          </w:tcPr>
          <w:p>
            <w:r>
              <w:rPr>
                <w:sz w:val="15"/>
              </w:rPr>
              <w:t>251</w:t>
            </w:r>
          </w:p>
        </w:tc>
        <w:tc>
          <w:tcPr>
            <w:tcW w:type="dxa" w:w="1584"/>
            <w:tcMar>
              <w:top w:w="70" w:type="dxa"/>
              <w:start w:w="90" w:type="dxa"/>
              <w:bottom w:w="70" w:type="dxa"/>
              <w:end w:w="90" w:type="dxa"/>
            </w:tcMar>
          </w:tcPr>
          <w:p>
            <w:r>
              <w:rPr>
                <w:sz w:val="15"/>
              </w:rPr>
              <w:t>2.51</w:t>
            </w:r>
          </w:p>
        </w:tc>
        <w:tc>
          <w:tcPr>
            <w:tcW w:type="dxa" w:w="1152"/>
            <w:tcMar>
              <w:top w:w="70" w:type="dxa"/>
              <w:start w:w="90" w:type="dxa"/>
              <w:bottom w:w="70" w:type="dxa"/>
              <w:end w:w="90" w:type="dxa"/>
            </w:tcMar>
          </w:tcPr>
          <w:p>
            <w:r>
              <w:rPr>
                <w:sz w:val="15"/>
              </w:rPr>
              <w:t>3</w:t>
            </w:r>
          </w:p>
        </w:tc>
        <w:tc>
          <w:tcPr>
            <w:tcW w:type="dxa" w:w="1296"/>
            <w:tcMar>
              <w:top w:w="70" w:type="dxa"/>
              <w:start w:w="90" w:type="dxa"/>
              <w:bottom w:w="70" w:type="dxa"/>
              <w:end w:w="90" w:type="dxa"/>
            </w:tcMar>
          </w:tcPr>
          <w:p>
            <w:r>
              <w:rPr>
                <w:sz w:val="15"/>
              </w:rPr>
              <w:t>1.20%</w:t>
            </w:r>
          </w:p>
        </w:tc>
      </w:tr>
      <w:tr>
        <w:tc>
          <w:tcPr>
            <w:tcW w:type="dxa" w:w="1152"/>
            <w:tcMar>
              <w:top w:w="70" w:type="dxa"/>
              <w:start w:w="90" w:type="dxa"/>
              <w:bottom w:w="70" w:type="dxa"/>
              <w:end w:w="90" w:type="dxa"/>
            </w:tcMar>
            <w:shd w:fill="FAFAFA"/>
          </w:tcPr>
          <w:p>
            <w:r>
              <w:rPr>
                <w:sz w:val="15"/>
              </w:rPr>
              <w:t>2023</w:t>
            </w:r>
          </w:p>
        </w:tc>
        <w:tc>
          <w:tcPr>
            <w:tcW w:type="dxa" w:w="1152"/>
            <w:tcMar>
              <w:top w:w="70" w:type="dxa"/>
              <w:start w:w="90" w:type="dxa"/>
              <w:bottom w:w="70" w:type="dxa"/>
              <w:end w:w="90" w:type="dxa"/>
            </w:tcMar>
            <w:shd w:fill="FAFAFA"/>
          </w:tcPr>
          <w:p>
            <w:r>
              <w:rPr>
                <w:sz w:val="15"/>
              </w:rPr>
              <w:t>250</w:t>
            </w:r>
          </w:p>
        </w:tc>
        <w:tc>
          <w:tcPr>
            <w:tcW w:type="dxa" w:w="1584"/>
            <w:tcMar>
              <w:top w:w="70" w:type="dxa"/>
              <w:start w:w="90" w:type="dxa"/>
              <w:bottom w:w="70" w:type="dxa"/>
              <w:end w:w="90" w:type="dxa"/>
            </w:tcMar>
            <w:shd w:fill="FAFAFA"/>
          </w:tcPr>
          <w:p>
            <w:r>
              <w:rPr>
                <w:sz w:val="15"/>
              </w:rPr>
              <w:t>2.50</w:t>
            </w:r>
          </w:p>
        </w:tc>
        <w:tc>
          <w:tcPr>
            <w:tcW w:type="dxa" w:w="1152"/>
            <w:tcMar>
              <w:top w:w="70" w:type="dxa"/>
              <w:start w:w="90" w:type="dxa"/>
              <w:bottom w:w="70" w:type="dxa"/>
              <w:end w:w="90" w:type="dxa"/>
            </w:tcMar>
            <w:shd w:fill="FAFAFA"/>
          </w:tcPr>
          <w:p>
            <w:r>
              <w:rPr>
                <w:sz w:val="15"/>
              </w:rPr>
              <w:t>2</w:t>
            </w:r>
          </w:p>
        </w:tc>
        <w:tc>
          <w:tcPr>
            <w:tcW w:type="dxa" w:w="1296"/>
            <w:tcMar>
              <w:top w:w="70" w:type="dxa"/>
              <w:start w:w="90" w:type="dxa"/>
              <w:bottom w:w="70" w:type="dxa"/>
              <w:end w:w="90" w:type="dxa"/>
            </w:tcMar>
            <w:shd w:fill="FAFAFA"/>
          </w:tcPr>
          <w:p>
            <w:r>
              <w:rPr>
                <w:sz w:val="15"/>
              </w:rPr>
              <w:t>0.80%</w:t>
            </w:r>
          </w:p>
        </w:tc>
      </w:tr>
      <w:tr>
        <w:tc>
          <w:tcPr>
            <w:tcW w:type="dxa" w:w="1152"/>
            <w:tcMar>
              <w:top w:w="70" w:type="dxa"/>
              <w:start w:w="90" w:type="dxa"/>
              <w:bottom w:w="70" w:type="dxa"/>
              <w:end w:w="90" w:type="dxa"/>
            </w:tcMar>
          </w:tcPr>
          <w:p>
            <w:r>
              <w:rPr>
                <w:sz w:val="15"/>
              </w:rPr>
              <w:t>2024</w:t>
            </w:r>
          </w:p>
        </w:tc>
        <w:tc>
          <w:tcPr>
            <w:tcW w:type="dxa" w:w="1152"/>
            <w:tcMar>
              <w:top w:w="70" w:type="dxa"/>
              <w:start w:w="90" w:type="dxa"/>
              <w:bottom w:w="70" w:type="dxa"/>
              <w:end w:w="90" w:type="dxa"/>
            </w:tcMar>
          </w:tcPr>
          <w:p>
            <w:r>
              <w:rPr>
                <w:sz w:val="15"/>
              </w:rPr>
              <w:t>252</w:t>
            </w:r>
          </w:p>
        </w:tc>
        <w:tc>
          <w:tcPr>
            <w:tcW w:type="dxa" w:w="1584"/>
            <w:tcMar>
              <w:top w:w="70" w:type="dxa"/>
              <w:start w:w="90" w:type="dxa"/>
              <w:bottom w:w="70" w:type="dxa"/>
              <w:end w:w="90" w:type="dxa"/>
            </w:tcMar>
          </w:tcPr>
          <w:p>
            <w:r>
              <w:rPr>
                <w:sz w:val="15"/>
              </w:rPr>
              <w:t>2.52</w:t>
            </w:r>
          </w:p>
        </w:tc>
        <w:tc>
          <w:tcPr>
            <w:tcW w:type="dxa" w:w="1152"/>
            <w:tcMar>
              <w:top w:w="70" w:type="dxa"/>
              <w:start w:w="90" w:type="dxa"/>
              <w:bottom w:w="70" w:type="dxa"/>
              <w:end w:w="90" w:type="dxa"/>
            </w:tcMar>
          </w:tcPr>
          <w:p>
            <w:r>
              <w:rPr>
                <w:sz w:val="15"/>
              </w:rPr>
              <w:t>6</w:t>
            </w:r>
          </w:p>
        </w:tc>
        <w:tc>
          <w:tcPr>
            <w:tcW w:type="dxa" w:w="1296"/>
            <w:tcMar>
              <w:top w:w="70" w:type="dxa"/>
              <w:start w:w="90" w:type="dxa"/>
              <w:bottom w:w="70" w:type="dxa"/>
              <w:end w:w="90" w:type="dxa"/>
            </w:tcMar>
          </w:tcPr>
          <w:p>
            <w:r>
              <w:rPr>
                <w:sz w:val="15"/>
              </w:rPr>
              <w:t>2.38%</w:t>
            </w:r>
          </w:p>
        </w:tc>
      </w:tr>
      <w:tr>
        <w:tc>
          <w:tcPr>
            <w:tcW w:type="dxa" w:w="1152"/>
            <w:tcMar>
              <w:top w:w="70" w:type="dxa"/>
              <w:start w:w="90" w:type="dxa"/>
              <w:bottom w:w="70" w:type="dxa"/>
              <w:end w:w="90" w:type="dxa"/>
            </w:tcMar>
            <w:shd w:fill="FAFAFA"/>
          </w:tcPr>
          <w:p>
            <w:r>
              <w:rPr>
                <w:sz w:val="15"/>
              </w:rPr>
              <w:t>2025</w:t>
            </w:r>
          </w:p>
        </w:tc>
        <w:tc>
          <w:tcPr>
            <w:tcW w:type="dxa" w:w="1152"/>
            <w:tcMar>
              <w:top w:w="70" w:type="dxa"/>
              <w:start w:w="90" w:type="dxa"/>
              <w:bottom w:w="70" w:type="dxa"/>
              <w:end w:w="90" w:type="dxa"/>
            </w:tcMar>
            <w:shd w:fill="FAFAFA"/>
          </w:tcPr>
          <w:p>
            <w:r>
              <w:rPr>
                <w:sz w:val="15"/>
              </w:rPr>
              <w:t>250</w:t>
            </w:r>
          </w:p>
        </w:tc>
        <w:tc>
          <w:tcPr>
            <w:tcW w:type="dxa" w:w="1584"/>
            <w:tcMar>
              <w:top w:w="70" w:type="dxa"/>
              <w:start w:w="90" w:type="dxa"/>
              <w:bottom w:w="70" w:type="dxa"/>
              <w:end w:w="90" w:type="dxa"/>
            </w:tcMar>
            <w:shd w:fill="FAFAFA"/>
          </w:tcPr>
          <w:p>
            <w:r>
              <w:rPr>
                <w:sz w:val="15"/>
              </w:rPr>
              <w:t>2.50</w:t>
            </w:r>
          </w:p>
        </w:tc>
        <w:tc>
          <w:tcPr>
            <w:tcW w:type="dxa" w:w="1152"/>
            <w:tcMar>
              <w:top w:w="70" w:type="dxa"/>
              <w:start w:w="90" w:type="dxa"/>
              <w:bottom w:w="70" w:type="dxa"/>
              <w:end w:w="90" w:type="dxa"/>
            </w:tcMar>
            <w:shd w:fill="FAFAFA"/>
          </w:tcPr>
          <w:p>
            <w:r>
              <w:rPr>
                <w:sz w:val="15"/>
              </w:rPr>
              <w:t>6</w:t>
            </w:r>
          </w:p>
        </w:tc>
        <w:tc>
          <w:tcPr>
            <w:tcW w:type="dxa" w:w="1296"/>
            <w:tcMar>
              <w:top w:w="70" w:type="dxa"/>
              <w:start w:w="90" w:type="dxa"/>
              <w:bottom w:w="70" w:type="dxa"/>
              <w:end w:w="90" w:type="dxa"/>
            </w:tcMar>
            <w:shd w:fill="FAFAFA"/>
          </w:tcPr>
          <w:p>
            <w:r>
              <w:rPr>
                <w:sz w:val="15"/>
              </w:rPr>
              <w:t>2.40%</w:t>
            </w:r>
          </w:p>
        </w:tc>
      </w:tr>
      <w:tr>
        <w:tc>
          <w:tcPr>
            <w:tcW w:type="dxa" w:w="1152"/>
            <w:tcMar>
              <w:top w:w="70" w:type="dxa"/>
              <w:start w:w="90" w:type="dxa"/>
              <w:bottom w:w="70" w:type="dxa"/>
              <w:end w:w="90" w:type="dxa"/>
            </w:tcMar>
          </w:tcPr>
          <w:p>
            <w:r>
              <w:rPr>
                <w:sz w:val="15"/>
              </w:rPr>
              <w:t>2026</w:t>
            </w:r>
          </w:p>
        </w:tc>
        <w:tc>
          <w:tcPr>
            <w:tcW w:type="dxa" w:w="1152"/>
            <w:tcMar>
              <w:top w:w="70" w:type="dxa"/>
              <w:start w:w="90" w:type="dxa"/>
              <w:bottom w:w="70" w:type="dxa"/>
              <w:end w:w="90" w:type="dxa"/>
            </w:tcMar>
          </w:tcPr>
          <w:p>
            <w:r>
              <w:rPr>
                <w:sz w:val="15"/>
              </w:rPr>
              <w:t>166</w:t>
            </w:r>
          </w:p>
        </w:tc>
        <w:tc>
          <w:tcPr>
            <w:tcW w:type="dxa" w:w="1584"/>
            <w:tcMar>
              <w:top w:w="70" w:type="dxa"/>
              <w:start w:w="90" w:type="dxa"/>
              <w:bottom w:w="70" w:type="dxa"/>
              <w:end w:w="90" w:type="dxa"/>
            </w:tcMar>
          </w:tcPr>
          <w:p>
            <w:r>
              <w:rPr>
                <w:sz w:val="15"/>
              </w:rPr>
              <w:t>1.66</w:t>
            </w:r>
          </w:p>
        </w:tc>
        <w:tc>
          <w:tcPr>
            <w:tcW w:type="dxa" w:w="1152"/>
            <w:tcMar>
              <w:top w:w="70" w:type="dxa"/>
              <w:start w:w="90" w:type="dxa"/>
              <w:bottom w:w="70" w:type="dxa"/>
              <w:end w:w="90" w:type="dxa"/>
            </w:tcMar>
          </w:tcPr>
          <w:p>
            <w:r>
              <w:rPr>
                <w:sz w:val="15"/>
              </w:rPr>
              <w:t>2</w:t>
            </w:r>
          </w:p>
        </w:tc>
        <w:tc>
          <w:tcPr>
            <w:tcW w:type="dxa" w:w="1296"/>
            <w:tcMar>
              <w:top w:w="70" w:type="dxa"/>
              <w:start w:w="90" w:type="dxa"/>
              <w:bottom w:w="70" w:type="dxa"/>
              <w:end w:w="90" w:type="dxa"/>
            </w:tcMar>
          </w:tcPr>
          <w:p>
            <w:r>
              <w:rPr>
                <w:sz w:val="15"/>
              </w:rPr>
              <w:t>1.20%</w:t>
            </w:r>
          </w:p>
        </w:tc>
      </w:tr>
    </w:tbl>
    <w:p>
      <w:r>
        <w:rPr>
          <w:b/>
        </w:rPr>
        <w:t xml:space="preserve">Annual pattern. </w:t>
      </w:r>
      <w:r>
        <w:t>Exceptions were especially elevated in 2020 (12; 4.74%), 2014 (10; 3.97%), 2021 (10; 3.97%), and 2018 (8; 3.19%). Annual counts are supplementary because each year contains only about 250 observations, but the concentration is consistent with the broader concern that EWMA can be vulnerable around abrupt or clustered market moves.</w:t>
      </w:r>
    </w:p>
    <w:p>
      <w:r>
        <w:drawing>
          <wp:inline xmlns:a="http://schemas.openxmlformats.org/drawingml/2006/main" xmlns:pic="http://schemas.openxmlformats.org/drawingml/2006/picture">
            <wp:extent cx="6217920" cy="2846040"/>
            <wp:docPr id="1" name="Picture 1"/>
            <wp:cNvGraphicFramePr>
              <a:graphicFrameLocks noChangeAspect="1"/>
            </wp:cNvGraphicFramePr>
            <a:graphic>
              <a:graphicData uri="http://schemas.openxmlformats.org/drawingml/2006/picture">
                <pic:pic>
                  <pic:nvPicPr>
                    <pic:cNvPr id="0" name="ewma_backtesting_exceptions.png"/>
                    <pic:cNvPicPr/>
                  </pic:nvPicPr>
                  <pic:blipFill>
                    <a:blip r:embed="rId11"/>
                    <a:stretch>
                      <a:fillRect/>
                    </a:stretch>
                  </pic:blipFill>
                  <pic:spPr>
                    <a:xfrm>
                      <a:off x="0" y="0"/>
                      <a:ext cx="6217920" cy="2846040"/>
                    </a:xfrm>
                    <a:prstGeom prst="rect"/>
                  </pic:spPr>
                </pic:pic>
              </a:graphicData>
            </a:graphic>
          </wp:inline>
        </w:drawing>
      </w:r>
    </w:p>
    <w:p>
      <w:pPr>
        <w:pStyle w:val="SmallNote"/>
        <w:jc w:val="center"/>
      </w:pPr>
      <w:r>
        <w:t>Figure 1. EWMA 1-day 99% VaR backtest. Red points identify days where realized P&amp;L fell below the negative VaR threshold.</w:t>
      </w:r>
    </w:p>
    <w:p>
      <w:pPr>
        <w:pStyle w:val="Heading2"/>
      </w:pPr>
      <w:r>
        <w:t>6.2 Statistical Test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456"/>
            <w:shd w:fill="CC0000"/>
            <w:tcMar>
              <w:top w:w="70" w:type="dxa"/>
              <w:start w:w="90" w:type="dxa"/>
              <w:bottom w:w="70" w:type="dxa"/>
              <w:end w:w="90" w:type="dxa"/>
            </w:tcMar>
          </w:tcPr>
          <w:p>
            <w:r>
              <w:rPr>
                <w:b/>
                <w:color w:val="FFFFFF"/>
                <w:sz w:val="17"/>
              </w:rPr>
              <w:t>Test</w:t>
            </w:r>
          </w:p>
        </w:tc>
        <w:tc>
          <w:tcPr>
            <w:tcW w:type="dxa" w:w="1728"/>
            <w:shd w:fill="CC0000"/>
            <w:tcMar>
              <w:top w:w="70" w:type="dxa"/>
              <w:start w:w="90" w:type="dxa"/>
              <w:bottom w:w="70" w:type="dxa"/>
              <w:end w:w="90" w:type="dxa"/>
            </w:tcMar>
          </w:tcPr>
          <w:p>
            <w:r>
              <w:rPr>
                <w:b/>
                <w:color w:val="FFFFFF"/>
                <w:sz w:val="17"/>
              </w:rPr>
              <w:t>Statistic</w:t>
            </w:r>
          </w:p>
        </w:tc>
        <w:tc>
          <w:tcPr>
            <w:tcW w:type="dxa" w:w="2016"/>
            <w:shd w:fill="CC0000"/>
            <w:tcMar>
              <w:top w:w="70" w:type="dxa"/>
              <w:start w:w="90" w:type="dxa"/>
              <w:bottom w:w="70" w:type="dxa"/>
              <w:end w:w="90" w:type="dxa"/>
            </w:tcMar>
          </w:tcPr>
          <w:p>
            <w:r>
              <w:rPr>
                <w:b/>
                <w:color w:val="FFFFFF"/>
                <w:sz w:val="17"/>
              </w:rPr>
              <w:t>p-value</w:t>
            </w:r>
          </w:p>
        </w:tc>
        <w:tc>
          <w:tcPr>
            <w:tcW w:type="dxa" w:w="2016"/>
            <w:shd w:fill="CC0000"/>
            <w:tcMar>
              <w:top w:w="70" w:type="dxa"/>
              <w:start w:w="90" w:type="dxa"/>
              <w:bottom w:w="70" w:type="dxa"/>
              <w:end w:w="90" w:type="dxa"/>
            </w:tcMar>
          </w:tcPr>
          <w:p>
            <w:r>
              <w:rPr>
                <w:b/>
                <w:color w:val="FFFFFF"/>
                <w:sz w:val="17"/>
              </w:rPr>
              <w:t>Result at 5%</w:t>
            </w:r>
          </w:p>
        </w:tc>
      </w:tr>
      <w:tr>
        <w:tc>
          <w:tcPr>
            <w:tcW w:type="dxa" w:w="3456"/>
            <w:tcMar>
              <w:top w:w="70" w:type="dxa"/>
              <w:start w:w="90" w:type="dxa"/>
              <w:bottom w:w="70" w:type="dxa"/>
              <w:end w:w="90" w:type="dxa"/>
            </w:tcMar>
          </w:tcPr>
          <w:p>
            <w:r>
              <w:rPr>
                <w:sz w:val="17"/>
              </w:rPr>
              <w:t>Kupiec POF</w:t>
            </w:r>
          </w:p>
        </w:tc>
        <w:tc>
          <w:tcPr>
            <w:tcW w:type="dxa" w:w="1728"/>
            <w:tcMar>
              <w:top w:w="70" w:type="dxa"/>
              <w:start w:w="90" w:type="dxa"/>
              <w:bottom w:w="70" w:type="dxa"/>
              <w:end w:w="90" w:type="dxa"/>
            </w:tcMar>
          </w:tcPr>
          <w:p>
            <w:r>
              <w:rPr>
                <w:sz w:val="17"/>
              </w:rPr>
              <w:t>49.8633</w:t>
            </w:r>
          </w:p>
        </w:tc>
        <w:tc>
          <w:tcPr>
            <w:tcW w:type="dxa" w:w="2016"/>
            <w:tcMar>
              <w:top w:w="70" w:type="dxa"/>
              <w:start w:w="90" w:type="dxa"/>
              <w:bottom w:w="70" w:type="dxa"/>
              <w:end w:w="90" w:type="dxa"/>
            </w:tcMar>
          </w:tcPr>
          <w:p>
            <w:r>
              <w:rPr>
                <w:sz w:val="17"/>
              </w:rPr>
              <w:t>1.65 x 10^-12</w:t>
            </w:r>
          </w:p>
        </w:tc>
        <w:tc>
          <w:tcPr>
            <w:tcW w:type="dxa" w:w="2016"/>
            <w:tcMar>
              <w:top w:w="70" w:type="dxa"/>
              <w:start w:w="90" w:type="dxa"/>
              <w:bottom w:w="70" w:type="dxa"/>
              <w:end w:w="90" w:type="dxa"/>
            </w:tcMar>
          </w:tcPr>
          <w:p>
            <w:r>
              <w:rPr>
                <w:sz w:val="17"/>
              </w:rPr>
              <w:t>Reject H0</w:t>
            </w:r>
          </w:p>
        </w:tc>
      </w:tr>
      <w:tr>
        <w:tc>
          <w:tcPr>
            <w:tcW w:type="dxa" w:w="3456"/>
            <w:tcMar>
              <w:top w:w="70" w:type="dxa"/>
              <w:start w:w="90" w:type="dxa"/>
              <w:bottom w:w="70" w:type="dxa"/>
              <w:end w:w="90" w:type="dxa"/>
            </w:tcMar>
            <w:shd w:fill="FAFAFA"/>
          </w:tcPr>
          <w:p>
            <w:r>
              <w:rPr>
                <w:sz w:val="17"/>
              </w:rPr>
              <w:t>Christoffersen Independence</w:t>
            </w:r>
          </w:p>
        </w:tc>
        <w:tc>
          <w:tcPr>
            <w:tcW w:type="dxa" w:w="1728"/>
            <w:tcMar>
              <w:top w:w="70" w:type="dxa"/>
              <w:start w:w="90" w:type="dxa"/>
              <w:bottom w:w="70" w:type="dxa"/>
              <w:end w:w="90" w:type="dxa"/>
            </w:tcMar>
            <w:shd w:fill="FAFAFA"/>
          </w:tcPr>
          <w:p>
            <w:r>
              <w:rPr>
                <w:sz w:val="17"/>
              </w:rPr>
              <w:t>7.5985</w:t>
            </w:r>
          </w:p>
        </w:tc>
        <w:tc>
          <w:tcPr>
            <w:tcW w:type="dxa" w:w="2016"/>
            <w:tcMar>
              <w:top w:w="70" w:type="dxa"/>
              <w:start w:w="90" w:type="dxa"/>
              <w:bottom w:w="70" w:type="dxa"/>
              <w:end w:w="90" w:type="dxa"/>
            </w:tcMar>
            <w:shd w:fill="FAFAFA"/>
          </w:tcPr>
          <w:p>
            <w:r>
              <w:rPr>
                <w:sz w:val="17"/>
              </w:rPr>
              <w:t>0.005842</w:t>
            </w:r>
          </w:p>
        </w:tc>
        <w:tc>
          <w:tcPr>
            <w:tcW w:type="dxa" w:w="2016"/>
            <w:tcMar>
              <w:top w:w="70" w:type="dxa"/>
              <w:start w:w="90" w:type="dxa"/>
              <w:bottom w:w="70" w:type="dxa"/>
              <w:end w:w="90" w:type="dxa"/>
            </w:tcMar>
            <w:shd w:fill="FAFAFA"/>
          </w:tcPr>
          <w:p>
            <w:r>
              <w:rPr>
                <w:sz w:val="17"/>
              </w:rPr>
              <w:t>Reject H0</w:t>
            </w:r>
          </w:p>
        </w:tc>
      </w:tr>
    </w:tbl>
    <w:p>
      <w:r>
        <w:rPr>
          <w:b/>
        </w:rPr>
        <w:t xml:space="preserve">Kupiec POF. </w:t>
      </w:r>
      <w:r>
        <w:t>The null hypothesis that the exception probability equals 1% is rejected. The result confirms that the observed 2.31% exception rate is statistically inconsistent with the intended unconditional 99% coverage over the full evaluation period.</w:t>
      </w:r>
    </w:p>
    <w:p>
      <w:r>
        <w:rPr>
          <w:b/>
        </w:rPr>
        <w:t xml:space="preserve">Christoffersen independence. </w:t>
      </w:r>
      <w:r>
        <w:t>The independence null is also rejected. Transition counts were n00 = 3,763, n01 = 84, n10 = 84, and n11 = 7. The estimated probability of an exception following a non-exception was about 2.18%, while the probability following an exception was about 7.69%. This provides evidence that exceptions cluster rather than occurring independently.</w:t>
      </w:r>
    </w:p>
    <w:tbl>
      <w:tblPr>
        <w:tblW w:type="auto" w:w="0"/>
        <w:jc w:val="center"/>
        <w:tblLook w:firstColumn="1" w:firstRow="1" w:lastColumn="0" w:lastRow="0" w:noHBand="0" w:noVBand="1" w:val="04A0"/>
      </w:tblPr>
      <w:tblGrid>
        <w:gridCol w:w="10166"/>
      </w:tblGrid>
      <w:tr>
        <w:tc>
          <w:tcPr>
            <w:tcW w:type="dxa" w:w="10166"/>
            <w:shd w:fill="F8EAEA"/>
            <w:tcMar>
              <w:top w:w="110" w:type="dxa"/>
              <w:start w:w="140" w:type="dxa"/>
              <w:bottom w:w="110" w:type="dxa"/>
              <w:end w:w="140" w:type="dxa"/>
            </w:tcMar>
          </w:tcPr>
          <w:p>
            <w:r>
              <w:rPr>
                <w:b/>
                <w:color w:val="222222"/>
                <w:sz w:val="19"/>
              </w:rPr>
              <w:t>EWMA fails both unconditional coverage and independence at the 5% significance level. This is evidence of model weakness, not a standalone final effectiveness rating.</w:t>
            </w:r>
          </w:p>
        </w:tc>
      </w:tr>
    </w:tbl>
    <w:p>
      <w:pPr>
        <w:spacing w:after="0"/>
      </w:pPr>
    </w:p>
    <w:p>
      <w:pPr>
        <w:pStyle w:val="Heading2"/>
      </w:pPr>
      <w:r>
        <w:t>6.3 Benchmarking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024"/>
            <w:shd w:fill="CC0000"/>
            <w:tcMar>
              <w:top w:w="70" w:type="dxa"/>
              <w:start w:w="90" w:type="dxa"/>
              <w:bottom w:w="70" w:type="dxa"/>
              <w:end w:w="90" w:type="dxa"/>
            </w:tcMar>
          </w:tcPr>
          <w:p>
            <w:r>
              <w:rPr>
                <w:b/>
                <w:color w:val="FFFFFF"/>
                <w:sz w:val="16"/>
              </w:rPr>
              <w:t>Metric</w:t>
            </w:r>
          </w:p>
        </w:tc>
        <w:tc>
          <w:tcPr>
            <w:tcW w:type="dxa" w:w="2232"/>
            <w:shd w:fill="CC0000"/>
            <w:tcMar>
              <w:top w:w="70" w:type="dxa"/>
              <w:start w:w="90" w:type="dxa"/>
              <w:bottom w:w="70" w:type="dxa"/>
              <w:end w:w="90" w:type="dxa"/>
            </w:tcMar>
          </w:tcPr>
          <w:p>
            <w:r>
              <w:rPr>
                <w:b/>
                <w:color w:val="FFFFFF"/>
                <w:sz w:val="16"/>
              </w:rPr>
              <w:t>Historical</w:t>
            </w:r>
          </w:p>
        </w:tc>
        <w:tc>
          <w:tcPr>
            <w:tcW w:type="dxa" w:w="2232"/>
            <w:shd w:fill="CC0000"/>
            <w:tcMar>
              <w:top w:w="70" w:type="dxa"/>
              <w:start w:w="90" w:type="dxa"/>
              <w:bottom w:w="70" w:type="dxa"/>
              <w:end w:w="90" w:type="dxa"/>
            </w:tcMar>
          </w:tcPr>
          <w:p>
            <w:r>
              <w:rPr>
                <w:b/>
                <w:color w:val="FFFFFF"/>
                <w:sz w:val="16"/>
              </w:rPr>
              <w:t>Parametric</w:t>
            </w:r>
          </w:p>
        </w:tc>
        <w:tc>
          <w:tcPr>
            <w:tcW w:type="dxa" w:w="2232"/>
            <w:shd w:fill="CC0000"/>
            <w:tcMar>
              <w:top w:w="70" w:type="dxa"/>
              <w:start w:w="90" w:type="dxa"/>
              <w:bottom w:w="70" w:type="dxa"/>
              <w:end w:w="90" w:type="dxa"/>
            </w:tcMar>
          </w:tcPr>
          <w:p>
            <w:r>
              <w:rPr>
                <w:b/>
                <w:color w:val="FFFFFF"/>
                <w:sz w:val="16"/>
              </w:rPr>
              <w:t>EWMA</w:t>
            </w:r>
          </w:p>
        </w:tc>
      </w:tr>
      <w:tr>
        <w:tc>
          <w:tcPr>
            <w:tcW w:type="dxa" w:w="3024"/>
            <w:tcMar>
              <w:top w:w="70" w:type="dxa"/>
              <w:start w:w="90" w:type="dxa"/>
              <w:bottom w:w="70" w:type="dxa"/>
              <w:end w:w="90" w:type="dxa"/>
            </w:tcMar>
          </w:tcPr>
          <w:p>
            <w:r>
              <w:rPr>
                <w:sz w:val="16"/>
              </w:rPr>
              <w:t>Average VaR ($)</w:t>
            </w:r>
          </w:p>
        </w:tc>
        <w:tc>
          <w:tcPr>
            <w:tcW w:type="dxa" w:w="2232"/>
            <w:tcMar>
              <w:top w:w="70" w:type="dxa"/>
              <w:start w:w="90" w:type="dxa"/>
              <w:bottom w:w="70" w:type="dxa"/>
              <w:end w:w="90" w:type="dxa"/>
            </w:tcMar>
          </w:tcPr>
          <w:p>
            <w:r>
              <w:rPr>
                <w:sz w:val="16"/>
              </w:rPr>
              <w:t>$28,603.45</w:t>
            </w:r>
          </w:p>
        </w:tc>
        <w:tc>
          <w:tcPr>
            <w:tcW w:type="dxa" w:w="2232"/>
            <w:tcMar>
              <w:top w:w="70" w:type="dxa"/>
              <w:start w:w="90" w:type="dxa"/>
              <w:bottom w:w="70" w:type="dxa"/>
              <w:end w:w="90" w:type="dxa"/>
            </w:tcMar>
          </w:tcPr>
          <w:p>
            <w:r>
              <w:rPr>
                <w:sz w:val="16"/>
              </w:rPr>
              <w:t>$23,187.73</w:t>
            </w:r>
          </w:p>
        </w:tc>
        <w:tc>
          <w:tcPr>
            <w:tcW w:type="dxa" w:w="2232"/>
            <w:tcMar>
              <w:top w:w="70" w:type="dxa"/>
              <w:start w:w="90" w:type="dxa"/>
              <w:bottom w:w="70" w:type="dxa"/>
              <w:end w:w="90" w:type="dxa"/>
            </w:tcMar>
          </w:tcPr>
          <w:p>
            <w:r>
              <w:rPr>
                <w:sz w:val="16"/>
              </w:rPr>
              <w:t>$21,915.04</w:t>
            </w:r>
          </w:p>
        </w:tc>
      </w:tr>
      <w:tr>
        <w:tc>
          <w:tcPr>
            <w:tcW w:type="dxa" w:w="3024"/>
            <w:tcMar>
              <w:top w:w="70" w:type="dxa"/>
              <w:start w:w="90" w:type="dxa"/>
              <w:bottom w:w="70" w:type="dxa"/>
              <w:end w:w="90" w:type="dxa"/>
            </w:tcMar>
            <w:shd w:fill="FAFAFA"/>
          </w:tcPr>
          <w:p>
            <w:r>
              <w:rPr>
                <w:sz w:val="16"/>
              </w:rPr>
              <w:t>Maximum VaR ($)</w:t>
            </w:r>
          </w:p>
        </w:tc>
        <w:tc>
          <w:tcPr>
            <w:tcW w:type="dxa" w:w="2232"/>
            <w:tcMar>
              <w:top w:w="70" w:type="dxa"/>
              <w:start w:w="90" w:type="dxa"/>
              <w:bottom w:w="70" w:type="dxa"/>
              <w:end w:w="90" w:type="dxa"/>
            </w:tcMar>
            <w:shd w:fill="FAFAFA"/>
          </w:tcPr>
          <w:p>
            <w:r>
              <w:rPr>
                <w:sz w:val="16"/>
              </w:rPr>
              <w:t>$68,076.17</w:t>
            </w:r>
          </w:p>
        </w:tc>
        <w:tc>
          <w:tcPr>
            <w:tcW w:type="dxa" w:w="2232"/>
            <w:tcMar>
              <w:top w:w="70" w:type="dxa"/>
              <w:start w:w="90" w:type="dxa"/>
              <w:bottom w:w="70" w:type="dxa"/>
              <w:end w:w="90" w:type="dxa"/>
            </w:tcMar>
            <w:shd w:fill="FAFAFA"/>
          </w:tcPr>
          <w:p>
            <w:r>
              <w:rPr>
                <w:sz w:val="16"/>
              </w:rPr>
              <w:t>$48,837.90</w:t>
            </w:r>
          </w:p>
        </w:tc>
        <w:tc>
          <w:tcPr>
            <w:tcW w:type="dxa" w:w="2232"/>
            <w:tcMar>
              <w:top w:w="70" w:type="dxa"/>
              <w:start w:w="90" w:type="dxa"/>
              <w:bottom w:w="70" w:type="dxa"/>
              <w:end w:w="90" w:type="dxa"/>
            </w:tcMar>
            <w:shd w:fill="FAFAFA"/>
          </w:tcPr>
          <w:p>
            <w:r>
              <w:rPr>
                <w:sz w:val="16"/>
              </w:rPr>
              <w:t>$118,677.25</w:t>
            </w:r>
          </w:p>
        </w:tc>
      </w:tr>
      <w:tr>
        <w:tc>
          <w:tcPr>
            <w:tcW w:type="dxa" w:w="3024"/>
            <w:tcMar>
              <w:top w:w="70" w:type="dxa"/>
              <w:start w:w="90" w:type="dxa"/>
              <w:bottom w:w="70" w:type="dxa"/>
              <w:end w:w="90" w:type="dxa"/>
            </w:tcMar>
          </w:tcPr>
          <w:p>
            <w:r>
              <w:rPr>
                <w:sz w:val="16"/>
              </w:rPr>
              <w:t>Actual exceptions</w:t>
            </w:r>
          </w:p>
        </w:tc>
        <w:tc>
          <w:tcPr>
            <w:tcW w:type="dxa" w:w="2232"/>
            <w:tcMar>
              <w:top w:w="70" w:type="dxa"/>
              <w:start w:w="90" w:type="dxa"/>
              <w:bottom w:w="70" w:type="dxa"/>
              <w:end w:w="90" w:type="dxa"/>
            </w:tcMar>
          </w:tcPr>
          <w:p>
            <w:r>
              <w:rPr>
                <w:sz w:val="16"/>
              </w:rPr>
              <w:t>59</w:t>
            </w:r>
          </w:p>
        </w:tc>
        <w:tc>
          <w:tcPr>
            <w:tcW w:type="dxa" w:w="2232"/>
            <w:tcMar>
              <w:top w:w="70" w:type="dxa"/>
              <w:start w:w="90" w:type="dxa"/>
              <w:bottom w:w="70" w:type="dxa"/>
              <w:end w:w="90" w:type="dxa"/>
            </w:tcMar>
          </w:tcPr>
          <w:p>
            <w:r>
              <w:rPr>
                <w:sz w:val="16"/>
              </w:rPr>
              <w:t>106</w:t>
            </w:r>
          </w:p>
        </w:tc>
        <w:tc>
          <w:tcPr>
            <w:tcW w:type="dxa" w:w="2232"/>
            <w:tcMar>
              <w:top w:w="70" w:type="dxa"/>
              <w:start w:w="90" w:type="dxa"/>
              <w:bottom w:w="70" w:type="dxa"/>
              <w:end w:w="90" w:type="dxa"/>
            </w:tcMar>
          </w:tcPr>
          <w:p>
            <w:r>
              <w:rPr>
                <w:sz w:val="16"/>
              </w:rPr>
              <w:t>91</w:t>
            </w:r>
          </w:p>
        </w:tc>
      </w:tr>
      <w:tr>
        <w:tc>
          <w:tcPr>
            <w:tcW w:type="dxa" w:w="3024"/>
            <w:tcMar>
              <w:top w:w="70" w:type="dxa"/>
              <w:start w:w="90" w:type="dxa"/>
              <w:bottom w:w="70" w:type="dxa"/>
              <w:end w:w="90" w:type="dxa"/>
            </w:tcMar>
            <w:shd w:fill="FAFAFA"/>
          </w:tcPr>
          <w:p>
            <w:r>
              <w:rPr>
                <w:sz w:val="16"/>
              </w:rPr>
              <w:t>Exception rate</w:t>
            </w:r>
          </w:p>
        </w:tc>
        <w:tc>
          <w:tcPr>
            <w:tcW w:type="dxa" w:w="2232"/>
            <w:tcMar>
              <w:top w:w="70" w:type="dxa"/>
              <w:start w:w="90" w:type="dxa"/>
              <w:bottom w:w="70" w:type="dxa"/>
              <w:end w:w="90" w:type="dxa"/>
            </w:tcMar>
            <w:shd w:fill="FAFAFA"/>
          </w:tcPr>
          <w:p>
            <w:r>
              <w:rPr>
                <w:sz w:val="16"/>
              </w:rPr>
              <w:t>1.50%</w:t>
            </w:r>
          </w:p>
        </w:tc>
        <w:tc>
          <w:tcPr>
            <w:tcW w:type="dxa" w:w="2232"/>
            <w:tcMar>
              <w:top w:w="70" w:type="dxa"/>
              <w:start w:w="90" w:type="dxa"/>
              <w:bottom w:w="70" w:type="dxa"/>
              <w:end w:w="90" w:type="dxa"/>
            </w:tcMar>
            <w:shd w:fill="FAFAFA"/>
          </w:tcPr>
          <w:p>
            <w:r>
              <w:rPr>
                <w:sz w:val="16"/>
              </w:rPr>
              <w:t>2.69%</w:t>
            </w:r>
          </w:p>
        </w:tc>
        <w:tc>
          <w:tcPr>
            <w:tcW w:type="dxa" w:w="2232"/>
            <w:tcMar>
              <w:top w:w="70" w:type="dxa"/>
              <w:start w:w="90" w:type="dxa"/>
              <w:bottom w:w="70" w:type="dxa"/>
              <w:end w:w="90" w:type="dxa"/>
            </w:tcMar>
            <w:shd w:fill="FAFAFA"/>
          </w:tcPr>
          <w:p>
            <w:r>
              <w:rPr>
                <w:sz w:val="16"/>
              </w:rPr>
              <w:t>2.31%</w:t>
            </w:r>
          </w:p>
        </w:tc>
      </w:tr>
      <w:tr>
        <w:tc>
          <w:tcPr>
            <w:tcW w:type="dxa" w:w="3024"/>
            <w:tcMar>
              <w:top w:w="70" w:type="dxa"/>
              <w:start w:w="90" w:type="dxa"/>
              <w:bottom w:w="70" w:type="dxa"/>
              <w:end w:w="90" w:type="dxa"/>
            </w:tcMar>
          </w:tcPr>
          <w:p>
            <w:r>
              <w:rPr>
                <w:sz w:val="16"/>
              </w:rPr>
              <w:t>Kupiec p-value</w:t>
            </w:r>
          </w:p>
        </w:tc>
        <w:tc>
          <w:tcPr>
            <w:tcW w:type="dxa" w:w="2232"/>
            <w:tcMar>
              <w:top w:w="70" w:type="dxa"/>
              <w:start w:w="90" w:type="dxa"/>
              <w:bottom w:w="70" w:type="dxa"/>
              <w:end w:w="90" w:type="dxa"/>
            </w:tcMar>
          </w:tcPr>
          <w:p>
            <w:r>
              <w:rPr>
                <w:sz w:val="16"/>
              </w:rPr>
              <w:t>0.003448</w:t>
            </w:r>
          </w:p>
        </w:tc>
        <w:tc>
          <w:tcPr>
            <w:tcW w:type="dxa" w:w="2232"/>
            <w:tcMar>
              <w:top w:w="70" w:type="dxa"/>
              <w:start w:w="90" w:type="dxa"/>
              <w:bottom w:w="70" w:type="dxa"/>
              <w:end w:w="90" w:type="dxa"/>
            </w:tcMar>
          </w:tcPr>
          <w:p>
            <w:r>
              <w:rPr>
                <w:sz w:val="16"/>
              </w:rPr>
              <w:t>1.15 x 10^-18</w:t>
            </w:r>
          </w:p>
        </w:tc>
        <w:tc>
          <w:tcPr>
            <w:tcW w:type="dxa" w:w="2232"/>
            <w:tcMar>
              <w:top w:w="70" w:type="dxa"/>
              <w:start w:w="90" w:type="dxa"/>
              <w:bottom w:w="70" w:type="dxa"/>
              <w:end w:w="90" w:type="dxa"/>
            </w:tcMar>
          </w:tcPr>
          <w:p>
            <w:r>
              <w:rPr>
                <w:sz w:val="16"/>
              </w:rPr>
              <w:t>1.65 x 10^-12</w:t>
            </w:r>
          </w:p>
        </w:tc>
      </w:tr>
      <w:tr>
        <w:tc>
          <w:tcPr>
            <w:tcW w:type="dxa" w:w="3024"/>
            <w:tcMar>
              <w:top w:w="70" w:type="dxa"/>
              <w:start w:w="90" w:type="dxa"/>
              <w:bottom w:w="70" w:type="dxa"/>
              <w:end w:w="90" w:type="dxa"/>
            </w:tcMar>
            <w:shd w:fill="FAFAFA"/>
          </w:tcPr>
          <w:p>
            <w:r>
              <w:rPr>
                <w:sz w:val="16"/>
              </w:rPr>
              <w:t>Christoffersen p-value</w:t>
            </w:r>
          </w:p>
        </w:tc>
        <w:tc>
          <w:tcPr>
            <w:tcW w:type="dxa" w:w="2232"/>
            <w:tcMar>
              <w:top w:w="70" w:type="dxa"/>
              <w:start w:w="90" w:type="dxa"/>
              <w:bottom w:w="70" w:type="dxa"/>
              <w:end w:w="90" w:type="dxa"/>
            </w:tcMar>
            <w:shd w:fill="FAFAFA"/>
          </w:tcPr>
          <w:p>
            <w:r>
              <w:rPr>
                <w:sz w:val="16"/>
              </w:rPr>
              <w:t>0.000021</w:t>
            </w:r>
          </w:p>
        </w:tc>
        <w:tc>
          <w:tcPr>
            <w:tcW w:type="dxa" w:w="2232"/>
            <w:tcMar>
              <w:top w:w="70" w:type="dxa"/>
              <w:start w:w="90" w:type="dxa"/>
              <w:bottom w:w="70" w:type="dxa"/>
              <w:end w:w="90" w:type="dxa"/>
            </w:tcMar>
            <w:shd w:fill="FAFAFA"/>
          </w:tcPr>
          <w:p>
            <w:r>
              <w:rPr>
                <w:sz w:val="16"/>
              </w:rPr>
              <w:t>0.000024</w:t>
            </w:r>
          </w:p>
        </w:tc>
        <w:tc>
          <w:tcPr>
            <w:tcW w:type="dxa" w:w="2232"/>
            <w:tcMar>
              <w:top w:w="70" w:type="dxa"/>
              <w:start w:w="90" w:type="dxa"/>
              <w:bottom w:w="70" w:type="dxa"/>
              <w:end w:w="90" w:type="dxa"/>
            </w:tcMar>
            <w:shd w:fill="FAFAFA"/>
          </w:tcPr>
          <w:p>
            <w:r>
              <w:rPr>
                <w:sz w:val="16"/>
              </w:rPr>
              <w:t>0.005842</w:t>
            </w:r>
          </w:p>
        </w:tc>
      </w:tr>
    </w:tbl>
    <w:p>
      <w:r>
        <w:rPr>
          <w:b/>
        </w:rPr>
        <w:t xml:space="preserve">Full-period comparison. </w:t>
      </w:r>
      <w:r>
        <w:t>Historical Simulation produced the highest average VaR and the fewest exceptions, while Parametric Normal VaR produced the most exceptions. EWMA had the lowest average VaR but by far the highest maximum VaR. This combination is consistent with an adaptive model that is relatively low in calm markets but can increase sharply once large recent returns enter the variance recursion. All three models reject both Kupiec coverage and Christoffersen independence over the common evaluation period, so lower exception counts should not be interpreted as proof of adequacy.</w:t>
      </w:r>
    </w:p>
    <w:p>
      <w:r>
        <w:drawing>
          <wp:inline xmlns:a="http://schemas.openxmlformats.org/drawingml/2006/main" xmlns:pic="http://schemas.openxmlformats.org/drawingml/2006/picture">
            <wp:extent cx="6217920" cy="2837198"/>
            <wp:docPr id="2" name="Picture 2"/>
            <wp:cNvGraphicFramePr>
              <a:graphicFrameLocks noChangeAspect="1"/>
            </wp:cNvGraphicFramePr>
            <a:graphic>
              <a:graphicData uri="http://schemas.openxmlformats.org/drawingml/2006/picture">
                <pic:pic>
                  <pic:nvPicPr>
                    <pic:cNvPr id="0" name="var_model_comparison_full_period.png"/>
                    <pic:cNvPicPr/>
                  </pic:nvPicPr>
                  <pic:blipFill>
                    <a:blip r:embed="rId12"/>
                    <a:stretch>
                      <a:fillRect/>
                    </a:stretch>
                  </pic:blipFill>
                  <pic:spPr>
                    <a:xfrm>
                      <a:off x="0" y="0"/>
                      <a:ext cx="6217920" cy="2837198"/>
                    </a:xfrm>
                    <a:prstGeom prst="rect"/>
                  </pic:spPr>
                </pic:pic>
              </a:graphicData>
            </a:graphic>
          </wp:inline>
        </w:drawing>
      </w:r>
    </w:p>
    <w:p>
      <w:pPr>
        <w:pStyle w:val="SmallNote"/>
        <w:jc w:val="center"/>
      </w:pPr>
      <w:r>
        <w:t>Figure 2. Full-period comparison. Historical VaR is blue, Parametric VaR is orange, and EWMA VaR is green; all are shown as negative loss thresholds.</w:t>
      </w:r>
    </w:p>
    <w:p>
      <w:r>
        <w:rPr>
          <w:b/>
        </w:rPr>
        <w:t xml:space="preserve">COVID-19 stress period. </w:t>
      </w:r>
      <w:r>
        <w:t>The stress-period chart highlights the models' different dynamics. EWMA reacts fastest and most aggressively once large returns occur, moving to approximately -$119,000 in late March 2020 before declining as recent volatility fades. Historical Simulation adjusts in discrete steps as extreme observations enter and remain in its 250-day window. Parametric VaR rises more gradually and remains materially below the EWMA peak. This demonstrates EWMA's responsiveness, but also its reactive nature: the model only increases after extreme returns have already been observed.</w:t>
      </w:r>
    </w:p>
    <w:p>
      <w:r>
        <w:drawing>
          <wp:inline xmlns:a="http://schemas.openxmlformats.org/drawingml/2006/main" xmlns:pic="http://schemas.openxmlformats.org/drawingml/2006/picture">
            <wp:extent cx="6217920" cy="2866072"/>
            <wp:docPr id="3" name="Picture 3"/>
            <wp:cNvGraphicFramePr>
              <a:graphicFrameLocks noChangeAspect="1"/>
            </wp:cNvGraphicFramePr>
            <a:graphic>
              <a:graphicData uri="http://schemas.openxmlformats.org/drawingml/2006/picture">
                <pic:pic>
                  <pic:nvPicPr>
                    <pic:cNvPr id="0" name="var_model_comparison_covid.png"/>
                    <pic:cNvPicPr/>
                  </pic:nvPicPr>
                  <pic:blipFill>
                    <a:blip r:embed="rId13"/>
                    <a:stretch>
                      <a:fillRect/>
                    </a:stretch>
                  </pic:blipFill>
                  <pic:spPr>
                    <a:xfrm>
                      <a:off x="0" y="0"/>
                      <a:ext cx="6217920" cy="2866072"/>
                    </a:xfrm>
                    <a:prstGeom prst="rect"/>
                  </pic:spPr>
                </pic:pic>
              </a:graphicData>
            </a:graphic>
          </wp:inline>
        </w:drawing>
      </w:r>
    </w:p>
    <w:p>
      <w:pPr>
        <w:pStyle w:val="SmallNote"/>
        <w:jc w:val="center"/>
      </w:pPr>
      <w:r>
        <w:t>Figure 3. COVID-19 stress-period comparison, February through June 2020.</w:t>
      </w:r>
    </w:p>
    <w:p>
      <w:pPr>
        <w:pStyle w:val="Heading2"/>
      </w:pPr>
      <w:r>
        <w:t>6.4 Preliminary Findings and Recommended Follow-up</w:t>
      </w:r>
    </w:p>
    <w:p>
      <w:pPr>
        <w:pStyle w:val="ListBullet"/>
        <w:spacing w:after="40"/>
      </w:pPr>
      <w:r>
        <w:rPr>
          <w:sz w:val="19"/>
        </w:rPr>
        <w:t>Coverage weakness: 91 exceptions and a 2.31% exception rate indicate that the EWMA model understates the frequency of tail losses relative to its 99% target.</w:t>
      </w:r>
    </w:p>
    <w:p>
      <w:pPr>
        <w:pStyle w:val="ListBullet"/>
        <w:spacing w:after="40"/>
      </w:pPr>
      <w:r>
        <w:rPr>
          <w:sz w:val="19"/>
        </w:rPr>
        <w:t>Clustering weakness: the Christoffersen rejection shows that exceptions are not independent, which is consistent with periods where risk changes faster than the model can fully adjust.</w:t>
      </w:r>
    </w:p>
    <w:p>
      <w:pPr>
        <w:pStyle w:val="ListBullet"/>
        <w:spacing w:after="40"/>
      </w:pPr>
      <w:r>
        <w:rPr>
          <w:sz w:val="19"/>
        </w:rPr>
        <w:t>Normal-tail limitation: dynamic volatility alone does not correct for fat-tailed return innovations; the 2.326 Normal multiplier may remain too small during severe market moves.</w:t>
      </w:r>
    </w:p>
    <w:p>
      <w:pPr>
        <w:pStyle w:val="ListBullet"/>
        <w:spacing w:after="40"/>
      </w:pPr>
      <w:r>
        <w:rPr>
          <w:sz w:val="19"/>
        </w:rPr>
        <w:t>Responsiveness tradeoff: EWMA adapts much faster than the rolling alternatives after shocks, but its fast decay can also reduce VaR quickly once recent volatility subsides.</w:t>
      </w:r>
    </w:p>
    <w:p>
      <w:pPr>
        <w:pStyle w:val="ListBullet"/>
        <w:spacing w:after="40"/>
      </w:pPr>
      <w:r>
        <w:rPr>
          <w:sz w:val="19"/>
        </w:rPr>
        <w:t>Benchmarking context: Historical Simulation is more conservative on average but also fails both statistical tests, while Parametric VaR performs worst on exception frequency. Benchmarking therefore does not identify a simple dominant model.</w:t>
      </w:r>
    </w:p>
    <w:p>
      <w:pPr>
        <w:pStyle w:val="ListBullet"/>
        <w:spacing w:after="40"/>
      </w:pPr>
      <w:r>
        <w:rPr>
          <w:sz w:val="19"/>
        </w:rPr>
        <w:t>Control improvement: explicitly freeze the model end date or version the input dataset so reruns cannot silently change the evaluation sample.</w:t>
      </w:r>
    </w:p>
    <w:p>
      <w:r>
        <w:t>Recommended next validation work. Phase III sensitivity and COVID stress-period analysis is completed in Section 7. If additional testing is required, the next useful extensions would be heavier-tailed return innovations, alternative volatility models with asymmetry or mean reversion, and additional historical stress periods. No final model effectiveness rating is assigned in this report.</w:t>
      </w:r>
    </w:p>
    <w:p>
      <w:pPr>
        <w:pStyle w:val="Heading1"/>
      </w:pPr>
      <w:r>
        <w:t>References</w:t>
      </w:r>
    </w:p>
    <w:p>
      <w:pPr>
        <w:pStyle w:val="SmallNote"/>
        <w:ind w:left="216" w:hanging="216"/>
      </w:pPr>
      <w:r>
        <w:t>Christoffersen, P. F. (1998). Evaluating Interval Forecasts. International Economic Review, 39(4), 841-862.</w:t>
      </w:r>
    </w:p>
    <w:p>
      <w:pPr>
        <w:pStyle w:val="SmallNote"/>
        <w:ind w:left="216" w:hanging="216"/>
      </w:pPr>
      <w:r>
        <w:t>Federal Reserve Board, FDIC, and OCC. (2026). Supervisory Guidance on Model Risk Management, SR 26-2, April 17, 2026.</w:t>
      </w:r>
    </w:p>
    <w:p>
      <w:pPr>
        <w:pStyle w:val="SmallNote"/>
        <w:ind w:left="216" w:hanging="216"/>
      </w:pPr>
      <w:r>
        <w:t>J.P. Morgan / RiskMetrics. (1996). RiskMetrics Technical Document, Fourth Edition.</w:t>
      </w:r>
    </w:p>
    <w:p>
      <w:pPr>
        <w:pStyle w:val="SmallNote"/>
        <w:ind w:left="216" w:hanging="216"/>
      </w:pPr>
      <w:r>
        <w:t>Kupiec, P. H. (1995). Techniques for Verifying the Accuracy of Risk Measurement Models. Finance and Economics Discussion Series 95-24, Board of Governors of the Federal Reserve System.</w:t>
      </w:r>
    </w:p>
    <w:p>
      <w:pPr>
        <w:pStyle w:val="SmallNote"/>
        <w:ind w:left="216" w:hanging="216"/>
      </w:pPr>
      <w:r>
        <w:t>Project source files: EWMA model-development documentation, Python implementation, standardized EWMA output, common SPY dataset, and combined model comparison output.</w:t>
      </w:r>
    </w:p>
    <w:p>
      <w:r>
        <w:br w:type="page"/>
      </w:r>
    </w:p>
    <w:p>
      <w:pPr>
        <w:spacing w:before="100" w:after="60"/>
      </w:pPr>
      <w:r>
        <w:rPr>
          <w:b/>
          <w:color w:val="CC0000"/>
          <w:sz w:val="32"/>
        </w:rPr>
        <w:t>7. Sensitivity &amp; Stress Testing</w:t>
      </w:r>
    </w:p>
    <w:p>
      <w:pPr>
        <w:spacing w:after="80" w:line="252" w:lineRule="auto"/>
      </w:pPr>
      <w:r>
        <w:rPr>
          <w:sz w:val="21"/>
        </w:rPr>
        <w:t>Phase III evaluates whether the EWMA model is robust to reasonable changes in its decay factor and how it behaves during the February-April 2020 COVID-19 market disruption. The baseline remains lambda = 0.94; alternatives of 0.90, 0.97, and 0.99 are compared on the same 3,939-day evaluation period.</w:t>
      </w:r>
    </w:p>
    <w:p>
      <w:pPr>
        <w:spacing w:before="100" w:after="60"/>
      </w:pPr>
      <w:r>
        <w:rPr>
          <w:b/>
          <w:color w:val="CC0000"/>
          <w:sz w:val="25"/>
        </w:rPr>
        <w:t>7.1 Parameter Sensitivity</w:t>
      </w:r>
    </w:p>
    <w:p>
      <w:pPr>
        <w:spacing w:after="80" w:line="252" w:lineRule="auto"/>
      </w:pPr>
      <w:r>
        <w:rPr>
          <w:sz w:val="21"/>
        </w:rPr>
        <w:t>A lower lambda places more weight on the latest squared return and therefore reacts faster to new information. A higher lambda produces slower updating and greater persistence. The tested values were lambda = 0.90, 0.94, 0.97, and 0.99.</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CC0000"/>
          </w:tcPr>
          <w:p>
            <w:r>
              <w:rPr>
                <w:b/>
                <w:color w:val="FFFFFF"/>
                <w:sz w:val="15"/>
              </w:rPr>
            </w:r>
            <w:r>
              <w:rPr>
                <w:b/>
                <w:color w:val="FFFFFF"/>
                <w:sz w:val="15"/>
              </w:rPr>
              <w:t>Configuration</w:t>
            </w:r>
          </w:p>
        </w:tc>
        <w:tc>
          <w:tcPr>
            <w:tcW w:type="dxa" w:w="1452"/>
            <w:vAlign w:val="center"/>
            <w:shd w:fill="CC0000"/>
          </w:tcPr>
          <w:p>
            <w:r>
              <w:rPr>
                <w:b/>
                <w:color w:val="FFFFFF"/>
                <w:sz w:val="15"/>
              </w:rPr>
            </w:r>
            <w:r>
              <w:rPr>
                <w:b/>
                <w:color w:val="FFFFFF"/>
                <w:sz w:val="15"/>
              </w:rPr>
              <w:t>Latest wt.</w:t>
            </w:r>
          </w:p>
        </w:tc>
        <w:tc>
          <w:tcPr>
            <w:tcW w:type="dxa" w:w="1452"/>
            <w:vAlign w:val="center"/>
            <w:shd w:fill="CC0000"/>
          </w:tcPr>
          <w:p>
            <w:r>
              <w:rPr>
                <w:b/>
                <w:color w:val="FFFFFF"/>
                <w:sz w:val="15"/>
              </w:rPr>
            </w:r>
            <w:r>
              <w:rPr>
                <w:b/>
                <w:color w:val="FFFFFF"/>
                <w:sz w:val="15"/>
              </w:rPr>
              <w:t>Half-life</w:t>
            </w:r>
          </w:p>
        </w:tc>
        <w:tc>
          <w:tcPr>
            <w:tcW w:type="dxa" w:w="1452"/>
            <w:vAlign w:val="center"/>
            <w:shd w:fill="CC0000"/>
          </w:tcPr>
          <w:p>
            <w:r>
              <w:rPr>
                <w:b/>
                <w:color w:val="FFFFFF"/>
                <w:sz w:val="15"/>
              </w:rPr>
            </w:r>
            <w:r>
              <w:rPr>
                <w:b/>
                <w:color w:val="FFFFFF"/>
                <w:sz w:val="15"/>
              </w:rPr>
              <w:t>Avg VaR ($)</w:t>
            </w:r>
          </w:p>
        </w:tc>
        <w:tc>
          <w:tcPr>
            <w:tcW w:type="dxa" w:w="1452"/>
            <w:vAlign w:val="center"/>
            <w:shd w:fill="CC0000"/>
          </w:tcPr>
          <w:p>
            <w:r>
              <w:rPr>
                <w:b/>
                <w:color w:val="FFFFFF"/>
                <w:sz w:val="15"/>
              </w:rPr>
            </w:r>
            <w:r>
              <w:rPr>
                <w:b/>
                <w:color w:val="FFFFFF"/>
                <w:sz w:val="15"/>
              </w:rPr>
              <w:t>Max VaR ($)</w:t>
            </w:r>
          </w:p>
        </w:tc>
        <w:tc>
          <w:tcPr>
            <w:tcW w:type="dxa" w:w="1452"/>
            <w:vAlign w:val="center"/>
            <w:shd w:fill="CC0000"/>
          </w:tcPr>
          <w:p>
            <w:r>
              <w:rPr>
                <w:b/>
                <w:color w:val="FFFFFF"/>
                <w:sz w:val="15"/>
              </w:rPr>
            </w:r>
            <w:r>
              <w:rPr>
                <w:b/>
                <w:color w:val="FFFFFF"/>
                <w:sz w:val="15"/>
              </w:rPr>
              <w:t>Exceptions</w:t>
            </w:r>
          </w:p>
        </w:tc>
        <w:tc>
          <w:tcPr>
            <w:tcW w:type="dxa" w:w="1452"/>
            <w:vAlign w:val="center"/>
            <w:shd w:fill="CC0000"/>
          </w:tcPr>
          <w:p>
            <w:r>
              <w:rPr>
                <w:b/>
                <w:color w:val="FFFFFF"/>
                <w:sz w:val="15"/>
              </w:rPr>
            </w:r>
            <w:r>
              <w:rPr>
                <w:b/>
                <w:color w:val="FFFFFF"/>
                <w:sz w:val="15"/>
              </w:rPr>
              <w:t>Rate</w:t>
            </w:r>
          </w:p>
        </w:tc>
      </w:tr>
      <w:tr>
        <w:tc>
          <w:tcPr>
            <w:tcW w:type="dxa" w:w="1452"/>
            <w:vAlign w:val="center"/>
          </w:tcPr>
          <w:p>
            <w:r>
              <w:rPr>
                <w:sz w:val="15"/>
              </w:rPr>
            </w:r>
            <w:r>
              <w:rPr>
                <w:b w:val="0"/>
                <w:sz w:val="15"/>
              </w:rPr>
              <w:t>lambda = 0.90</w:t>
            </w:r>
          </w:p>
        </w:tc>
        <w:tc>
          <w:tcPr>
            <w:tcW w:type="dxa" w:w="1452"/>
            <w:vAlign w:val="center"/>
          </w:tcPr>
          <w:p>
            <w:r>
              <w:rPr>
                <w:sz w:val="15"/>
              </w:rPr>
            </w:r>
            <w:r>
              <w:rPr>
                <w:b w:val="0"/>
                <w:sz w:val="15"/>
              </w:rPr>
              <w:t>10%</w:t>
            </w:r>
          </w:p>
        </w:tc>
        <w:tc>
          <w:tcPr>
            <w:tcW w:type="dxa" w:w="1452"/>
            <w:vAlign w:val="center"/>
          </w:tcPr>
          <w:p>
            <w:r>
              <w:rPr>
                <w:sz w:val="15"/>
              </w:rPr>
            </w:r>
            <w:r>
              <w:rPr>
                <w:b w:val="0"/>
                <w:sz w:val="15"/>
              </w:rPr>
              <w:t>6.6</w:t>
            </w:r>
          </w:p>
        </w:tc>
        <w:tc>
          <w:tcPr>
            <w:tcW w:type="dxa" w:w="1452"/>
            <w:vAlign w:val="center"/>
          </w:tcPr>
          <w:p>
            <w:r>
              <w:rPr>
                <w:sz w:val="15"/>
              </w:rPr>
            </w:r>
            <w:r>
              <w:rPr>
                <w:b w:val="0"/>
                <w:sz w:val="15"/>
              </w:rPr>
              <w:t>$21,463.16</w:t>
            </w:r>
          </w:p>
        </w:tc>
        <w:tc>
          <w:tcPr>
            <w:tcW w:type="dxa" w:w="1452"/>
            <w:vAlign w:val="center"/>
          </w:tcPr>
          <w:p>
            <w:r>
              <w:rPr>
                <w:sz w:val="15"/>
              </w:rPr>
            </w:r>
            <w:r>
              <w:rPr>
                <w:b w:val="0"/>
                <w:sz w:val="15"/>
              </w:rPr>
              <w:t>$140,680.43</w:t>
            </w:r>
          </w:p>
        </w:tc>
        <w:tc>
          <w:tcPr>
            <w:tcW w:type="dxa" w:w="1452"/>
            <w:vAlign w:val="center"/>
          </w:tcPr>
          <w:p>
            <w:r>
              <w:rPr>
                <w:sz w:val="15"/>
              </w:rPr>
            </w:r>
            <w:r>
              <w:rPr>
                <w:b w:val="0"/>
                <w:sz w:val="15"/>
              </w:rPr>
              <w:t>95</w:t>
            </w:r>
          </w:p>
        </w:tc>
        <w:tc>
          <w:tcPr>
            <w:tcW w:type="dxa" w:w="1452"/>
            <w:vAlign w:val="center"/>
          </w:tcPr>
          <w:p>
            <w:r>
              <w:rPr>
                <w:sz w:val="15"/>
              </w:rPr>
            </w:r>
            <w:r>
              <w:rPr>
                <w:b w:val="0"/>
                <w:sz w:val="15"/>
              </w:rPr>
              <w:t>2.41%</w:t>
            </w:r>
          </w:p>
        </w:tc>
      </w:tr>
      <w:tr>
        <w:tc>
          <w:tcPr>
            <w:tcW w:type="dxa" w:w="1452"/>
            <w:vAlign w:val="center"/>
          </w:tcPr>
          <w:p>
            <w:r>
              <w:rPr>
                <w:sz w:val="15"/>
              </w:rPr>
            </w:r>
            <w:r>
              <w:rPr>
                <w:b w:val="0"/>
                <w:sz w:val="15"/>
              </w:rPr>
              <w:t>lambda = 0.94</w:t>
            </w:r>
          </w:p>
        </w:tc>
        <w:tc>
          <w:tcPr>
            <w:tcW w:type="dxa" w:w="1452"/>
            <w:vAlign w:val="center"/>
          </w:tcPr>
          <w:p>
            <w:r>
              <w:rPr>
                <w:sz w:val="15"/>
              </w:rPr>
            </w:r>
            <w:r>
              <w:rPr>
                <w:b w:val="0"/>
                <w:sz w:val="15"/>
              </w:rPr>
              <w:t>6%</w:t>
            </w:r>
          </w:p>
        </w:tc>
        <w:tc>
          <w:tcPr>
            <w:tcW w:type="dxa" w:w="1452"/>
            <w:vAlign w:val="center"/>
          </w:tcPr>
          <w:p>
            <w:r>
              <w:rPr>
                <w:sz w:val="15"/>
              </w:rPr>
            </w:r>
            <w:r>
              <w:rPr>
                <w:b w:val="0"/>
                <w:sz w:val="15"/>
              </w:rPr>
              <w:t>11.2</w:t>
            </w:r>
          </w:p>
        </w:tc>
        <w:tc>
          <w:tcPr>
            <w:tcW w:type="dxa" w:w="1452"/>
            <w:vAlign w:val="center"/>
          </w:tcPr>
          <w:p>
            <w:r>
              <w:rPr>
                <w:sz w:val="15"/>
              </w:rPr>
            </w:r>
            <w:r>
              <w:rPr>
                <w:b w:val="0"/>
                <w:sz w:val="15"/>
              </w:rPr>
              <w:t>$21,915.04</w:t>
            </w:r>
          </w:p>
        </w:tc>
        <w:tc>
          <w:tcPr>
            <w:tcW w:type="dxa" w:w="1452"/>
            <w:vAlign w:val="center"/>
          </w:tcPr>
          <w:p>
            <w:r>
              <w:rPr>
                <w:sz w:val="15"/>
              </w:rPr>
            </w:r>
            <w:r>
              <w:rPr>
                <w:b w:val="0"/>
                <w:sz w:val="15"/>
              </w:rPr>
              <w:t>$118,677.25</w:t>
            </w:r>
          </w:p>
        </w:tc>
        <w:tc>
          <w:tcPr>
            <w:tcW w:type="dxa" w:w="1452"/>
            <w:vAlign w:val="center"/>
          </w:tcPr>
          <w:p>
            <w:r>
              <w:rPr>
                <w:sz w:val="15"/>
              </w:rPr>
            </w:r>
            <w:r>
              <w:rPr>
                <w:b w:val="0"/>
                <w:sz w:val="15"/>
              </w:rPr>
              <w:t>91</w:t>
            </w:r>
          </w:p>
        </w:tc>
        <w:tc>
          <w:tcPr>
            <w:tcW w:type="dxa" w:w="1452"/>
            <w:vAlign w:val="center"/>
          </w:tcPr>
          <w:p>
            <w:r>
              <w:rPr>
                <w:sz w:val="15"/>
              </w:rPr>
            </w:r>
            <w:r>
              <w:rPr>
                <w:b w:val="0"/>
                <w:sz w:val="15"/>
              </w:rPr>
              <w:t>2.31%</w:t>
            </w:r>
          </w:p>
        </w:tc>
      </w:tr>
      <w:tr>
        <w:tc>
          <w:tcPr>
            <w:tcW w:type="dxa" w:w="1452"/>
            <w:vAlign w:val="center"/>
          </w:tcPr>
          <w:p>
            <w:r>
              <w:rPr>
                <w:sz w:val="15"/>
              </w:rPr>
            </w:r>
            <w:r>
              <w:rPr>
                <w:b w:val="0"/>
                <w:sz w:val="15"/>
              </w:rPr>
              <w:t>lambda = 0.97</w:t>
            </w:r>
          </w:p>
        </w:tc>
        <w:tc>
          <w:tcPr>
            <w:tcW w:type="dxa" w:w="1452"/>
            <w:vAlign w:val="center"/>
          </w:tcPr>
          <w:p>
            <w:r>
              <w:rPr>
                <w:sz w:val="15"/>
              </w:rPr>
            </w:r>
            <w:r>
              <w:rPr>
                <w:b w:val="0"/>
                <w:sz w:val="15"/>
              </w:rPr>
              <w:t>3%</w:t>
            </w:r>
          </w:p>
        </w:tc>
        <w:tc>
          <w:tcPr>
            <w:tcW w:type="dxa" w:w="1452"/>
            <w:vAlign w:val="center"/>
          </w:tcPr>
          <w:p>
            <w:r>
              <w:rPr>
                <w:sz w:val="15"/>
              </w:rPr>
            </w:r>
            <w:r>
              <w:rPr>
                <w:b w:val="0"/>
                <w:sz w:val="15"/>
              </w:rPr>
              <w:t>22.8</w:t>
            </w:r>
          </w:p>
        </w:tc>
        <w:tc>
          <w:tcPr>
            <w:tcW w:type="dxa" w:w="1452"/>
            <w:vAlign w:val="center"/>
          </w:tcPr>
          <w:p>
            <w:r>
              <w:rPr>
                <w:sz w:val="15"/>
              </w:rPr>
            </w:r>
            <w:r>
              <w:rPr>
                <w:b w:val="0"/>
                <w:sz w:val="15"/>
              </w:rPr>
              <w:t>$22,560.55</w:t>
            </w:r>
          </w:p>
        </w:tc>
        <w:tc>
          <w:tcPr>
            <w:tcW w:type="dxa" w:w="1452"/>
            <w:vAlign w:val="center"/>
          </w:tcPr>
          <w:p>
            <w:r>
              <w:rPr>
                <w:sz w:val="15"/>
              </w:rPr>
            </w:r>
            <w:r>
              <w:rPr>
                <w:b w:val="0"/>
                <w:sz w:val="15"/>
              </w:rPr>
              <w:t>$93,902.40</w:t>
            </w:r>
          </w:p>
        </w:tc>
        <w:tc>
          <w:tcPr>
            <w:tcW w:type="dxa" w:w="1452"/>
            <w:vAlign w:val="center"/>
          </w:tcPr>
          <w:p>
            <w:r>
              <w:rPr>
                <w:sz w:val="15"/>
              </w:rPr>
            </w:r>
            <w:r>
              <w:rPr>
                <w:b w:val="0"/>
                <w:sz w:val="15"/>
              </w:rPr>
              <w:t>82</w:t>
            </w:r>
          </w:p>
        </w:tc>
        <w:tc>
          <w:tcPr>
            <w:tcW w:type="dxa" w:w="1452"/>
            <w:vAlign w:val="center"/>
          </w:tcPr>
          <w:p>
            <w:r>
              <w:rPr>
                <w:sz w:val="15"/>
              </w:rPr>
            </w:r>
            <w:r>
              <w:rPr>
                <w:b w:val="0"/>
                <w:sz w:val="15"/>
              </w:rPr>
              <w:t>2.08%</w:t>
            </w:r>
          </w:p>
        </w:tc>
      </w:tr>
      <w:tr>
        <w:tc>
          <w:tcPr>
            <w:tcW w:type="dxa" w:w="1452"/>
            <w:vAlign w:val="center"/>
          </w:tcPr>
          <w:p>
            <w:r>
              <w:rPr>
                <w:sz w:val="15"/>
              </w:rPr>
            </w:r>
            <w:r>
              <w:rPr>
                <w:b w:val="0"/>
                <w:sz w:val="15"/>
              </w:rPr>
              <w:t>lambda = 0.99</w:t>
            </w:r>
          </w:p>
        </w:tc>
        <w:tc>
          <w:tcPr>
            <w:tcW w:type="dxa" w:w="1452"/>
            <w:vAlign w:val="center"/>
          </w:tcPr>
          <w:p>
            <w:r>
              <w:rPr>
                <w:sz w:val="15"/>
              </w:rPr>
            </w:r>
            <w:r>
              <w:rPr>
                <w:b w:val="0"/>
                <w:sz w:val="15"/>
              </w:rPr>
              <w:t>1%</w:t>
            </w:r>
          </w:p>
        </w:tc>
        <w:tc>
          <w:tcPr>
            <w:tcW w:type="dxa" w:w="1452"/>
            <w:vAlign w:val="center"/>
          </w:tcPr>
          <w:p>
            <w:r>
              <w:rPr>
                <w:sz w:val="15"/>
              </w:rPr>
            </w:r>
            <w:r>
              <w:rPr>
                <w:b w:val="0"/>
                <w:sz w:val="15"/>
              </w:rPr>
              <w:t>69.0</w:t>
            </w:r>
          </w:p>
        </w:tc>
        <w:tc>
          <w:tcPr>
            <w:tcW w:type="dxa" w:w="1452"/>
            <w:vAlign w:val="center"/>
          </w:tcPr>
          <w:p>
            <w:r>
              <w:rPr>
                <w:sz w:val="15"/>
              </w:rPr>
            </w:r>
            <w:r>
              <w:rPr>
                <w:b w:val="0"/>
                <w:sz w:val="15"/>
              </w:rPr>
              <w:t>$23,692.66</w:t>
            </w:r>
          </w:p>
        </w:tc>
        <w:tc>
          <w:tcPr>
            <w:tcW w:type="dxa" w:w="1452"/>
            <w:vAlign w:val="center"/>
          </w:tcPr>
          <w:p>
            <w:r>
              <w:rPr>
                <w:sz w:val="15"/>
              </w:rPr>
            </w:r>
            <w:r>
              <w:rPr>
                <w:b w:val="0"/>
                <w:sz w:val="15"/>
              </w:rPr>
              <w:t>$62,842.21</w:t>
            </w:r>
          </w:p>
        </w:tc>
        <w:tc>
          <w:tcPr>
            <w:tcW w:type="dxa" w:w="1452"/>
            <w:vAlign w:val="center"/>
          </w:tcPr>
          <w:p>
            <w:r>
              <w:rPr>
                <w:sz w:val="15"/>
              </w:rPr>
            </w:r>
            <w:r>
              <w:rPr>
                <w:b w:val="0"/>
                <w:sz w:val="15"/>
              </w:rPr>
              <w:t>85</w:t>
            </w:r>
          </w:p>
        </w:tc>
        <w:tc>
          <w:tcPr>
            <w:tcW w:type="dxa" w:w="1452"/>
            <w:vAlign w:val="center"/>
          </w:tcPr>
          <w:p>
            <w:r>
              <w:rPr>
                <w:sz w:val="15"/>
              </w:rPr>
            </w:r>
            <w:r>
              <w:rPr>
                <w:b w:val="0"/>
                <w:sz w:val="15"/>
              </w:rPr>
              <w:t>2.16%</w:t>
            </w:r>
          </w:p>
        </w:tc>
      </w:tr>
    </w:tbl>
    <w:p>
      <w:pPr>
        <w:spacing w:after="80" w:line="252" w:lineRule="auto"/>
      </w:pPr>
      <w:r>
        <w:rPr>
          <w:sz w:val="21"/>
        </w:rPr>
        <w:t>Average VaR is relatively stable across the tested decay factors: the full-range spread is $2,229.50, about 10% of the baseline average VaR. Peak VaR is much more sensitive. Lower lambda values react faster and produce substantially larger stress-period peaks, while higher lambda values update more slowly and retain volatility for longer.</w:t>
      </w:r>
    </w:p>
    <w:p>
      <w:pPr>
        <w:spacing w:after="80" w:line="252" w:lineRule="auto"/>
      </w:pPr>
      <w:r>
        <w:rPr>
          <w:sz w:val="21"/>
        </w:rPr>
        <w:t>The lowest full-period exception rate is 2.08% at lambda = 0.97, compared with 2.31% at the baseline. However, every tested configuration remains well above the 1% target. Parameter tuning alone therefore does not resolve the model's coverage weakness.</w:t>
      </w:r>
    </w:p>
    <w:p>
      <w:pPr>
        <w:jc w:val="center"/>
      </w:pPr>
      <w:r>
        <w:drawing>
          <wp:inline xmlns:a="http://schemas.openxmlformats.org/drawingml/2006/main" xmlns:pic="http://schemas.openxmlformats.org/drawingml/2006/picture">
            <wp:extent cx="5943600" cy="2815677"/>
            <wp:docPr id="4" name="Picture 4"/>
            <wp:cNvGraphicFramePr>
              <a:graphicFrameLocks noChangeAspect="1"/>
            </wp:cNvGraphicFramePr>
            <a:graphic>
              <a:graphicData uri="http://schemas.openxmlformats.org/drawingml/2006/picture">
                <pic:pic>
                  <pic:nvPicPr>
                    <pic:cNvPr id="0" name="phase3_sensitivity_covid.png"/>
                    <pic:cNvPicPr/>
                  </pic:nvPicPr>
                  <pic:blipFill>
                    <a:blip r:embed="rId14"/>
                    <a:stretch>
                      <a:fillRect/>
                    </a:stretch>
                  </pic:blipFill>
                  <pic:spPr>
                    <a:xfrm>
                      <a:off x="0" y="0"/>
                      <a:ext cx="5943600" cy="2815677"/>
                    </a:xfrm>
                    <a:prstGeom prst="rect"/>
                  </pic:spPr>
                </pic:pic>
              </a:graphicData>
            </a:graphic>
          </wp:inline>
        </w:drawing>
      </w:r>
    </w:p>
    <w:p>
      <w:pPr>
        <w:jc w:val="center"/>
      </w:pPr>
      <w:r>
        <w:rPr>
          <w:i/>
          <w:color w:val="595959"/>
          <w:sz w:val="17"/>
        </w:rPr>
        <w:t>Figure 4. EWMA decay-factor sensitivity during the February-April 2020 COVID-19 stress period.</w:t>
      </w:r>
    </w:p>
    <w:p>
      <w:pPr>
        <w:spacing w:before="100" w:after="60"/>
      </w:pPr>
      <w:r>
        <w:rPr>
          <w:b/>
          <w:color w:val="CC0000"/>
          <w:sz w:val="25"/>
        </w:rPr>
        <w:t>7.2 Stress Testing</w:t>
      </w:r>
    </w:p>
    <w:p>
      <w:pPr>
        <w:spacing w:after="80" w:line="252" w:lineRule="auto"/>
      </w:pPr>
      <w:r>
        <w:rPr>
          <w:sz w:val="21"/>
        </w:rPr>
        <w:t>The common historical stress period is February 1 through April 30, 2020. This is an observed historical stress-period analysis, not a hypothetical shock scenario.</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CC0000"/>
          </w:tcPr>
          <w:p>
            <w:r>
              <w:rPr>
                <w:b/>
                <w:color w:val="FFFFFF"/>
                <w:sz w:val="15"/>
              </w:rPr>
            </w:r>
            <w:r>
              <w:rPr>
                <w:b/>
                <w:color w:val="FFFFFF"/>
                <w:sz w:val="15"/>
              </w:rPr>
              <w:t>Configuration</w:t>
            </w:r>
          </w:p>
        </w:tc>
        <w:tc>
          <w:tcPr>
            <w:tcW w:type="dxa" w:w="1694"/>
            <w:vAlign w:val="center"/>
            <w:shd w:fill="CC0000"/>
          </w:tcPr>
          <w:p>
            <w:r>
              <w:rPr>
                <w:b/>
                <w:color w:val="FFFFFF"/>
                <w:sz w:val="15"/>
              </w:rPr>
            </w:r>
            <w:r>
              <w:rPr>
                <w:b/>
                <w:color w:val="FFFFFF"/>
                <w:sz w:val="15"/>
              </w:rPr>
              <w:t>Avg COVID VaR</w:t>
            </w:r>
          </w:p>
        </w:tc>
        <w:tc>
          <w:tcPr>
            <w:tcW w:type="dxa" w:w="1694"/>
            <w:vAlign w:val="center"/>
            <w:shd w:fill="CC0000"/>
          </w:tcPr>
          <w:p>
            <w:r>
              <w:rPr>
                <w:b/>
                <w:color w:val="FFFFFF"/>
                <w:sz w:val="15"/>
              </w:rPr>
            </w:r>
            <w:r>
              <w:rPr>
                <w:b/>
                <w:color w:val="FFFFFF"/>
                <w:sz w:val="15"/>
              </w:rPr>
              <w:t>Max COVID VaR</w:t>
            </w:r>
          </w:p>
        </w:tc>
        <w:tc>
          <w:tcPr>
            <w:tcW w:type="dxa" w:w="1694"/>
            <w:vAlign w:val="center"/>
            <w:shd w:fill="CC0000"/>
          </w:tcPr>
          <w:p>
            <w:r>
              <w:rPr>
                <w:b/>
                <w:color w:val="FFFFFF"/>
                <w:sz w:val="15"/>
              </w:rPr>
            </w:r>
            <w:r>
              <w:rPr>
                <w:b/>
                <w:color w:val="FFFFFF"/>
                <w:sz w:val="15"/>
              </w:rPr>
              <w:t>Peak date</w:t>
            </w:r>
          </w:p>
        </w:tc>
        <w:tc>
          <w:tcPr>
            <w:tcW w:type="dxa" w:w="1694"/>
            <w:vAlign w:val="center"/>
            <w:shd w:fill="CC0000"/>
          </w:tcPr>
          <w:p>
            <w:r>
              <w:rPr>
                <w:b/>
                <w:color w:val="FFFFFF"/>
                <w:sz w:val="15"/>
              </w:rPr>
            </w:r>
            <w:r>
              <w:rPr>
                <w:b/>
                <w:color w:val="FFFFFF"/>
                <w:sz w:val="15"/>
              </w:rPr>
              <w:t>Exceptions</w:t>
            </w:r>
          </w:p>
        </w:tc>
        <w:tc>
          <w:tcPr>
            <w:tcW w:type="dxa" w:w="1694"/>
            <w:vAlign w:val="center"/>
            <w:shd w:fill="CC0000"/>
          </w:tcPr>
          <w:p>
            <w:r>
              <w:rPr>
                <w:b/>
                <w:color w:val="FFFFFF"/>
                <w:sz w:val="15"/>
              </w:rPr>
            </w:r>
            <w:r>
              <w:rPr>
                <w:b/>
                <w:color w:val="FFFFFF"/>
                <w:sz w:val="15"/>
              </w:rPr>
              <w:t>Rate</w:t>
            </w:r>
          </w:p>
        </w:tc>
      </w:tr>
      <w:tr>
        <w:tc>
          <w:tcPr>
            <w:tcW w:type="dxa" w:w="1694"/>
            <w:vAlign w:val="center"/>
          </w:tcPr>
          <w:p>
            <w:r>
              <w:rPr>
                <w:sz w:val="15"/>
              </w:rPr>
            </w:r>
            <w:r>
              <w:rPr>
                <w:b w:val="0"/>
                <w:sz w:val="15"/>
              </w:rPr>
              <w:t>lambda = 0.90</w:t>
            </w:r>
          </w:p>
        </w:tc>
        <w:tc>
          <w:tcPr>
            <w:tcW w:type="dxa" w:w="1694"/>
            <w:vAlign w:val="center"/>
          </w:tcPr>
          <w:p>
            <w:r>
              <w:rPr>
                <w:sz w:val="15"/>
              </w:rPr>
            </w:r>
            <w:r>
              <w:rPr>
                <w:b w:val="0"/>
                <w:sz w:val="15"/>
              </w:rPr>
              <w:t>$73,203.68</w:t>
            </w:r>
          </w:p>
        </w:tc>
        <w:tc>
          <w:tcPr>
            <w:tcW w:type="dxa" w:w="1694"/>
            <w:vAlign w:val="center"/>
          </w:tcPr>
          <w:p>
            <w:r>
              <w:rPr>
                <w:sz w:val="15"/>
              </w:rPr>
            </w:r>
            <w:r>
              <w:rPr>
                <w:b w:val="0"/>
                <w:sz w:val="15"/>
              </w:rPr>
              <w:t>$140,680.43</w:t>
            </w:r>
          </w:p>
        </w:tc>
        <w:tc>
          <w:tcPr>
            <w:tcW w:type="dxa" w:w="1694"/>
            <w:vAlign w:val="center"/>
          </w:tcPr>
          <w:p>
            <w:r>
              <w:rPr>
                <w:sz w:val="15"/>
              </w:rPr>
            </w:r>
            <w:r>
              <w:rPr>
                <w:b w:val="0"/>
                <w:sz w:val="15"/>
              </w:rPr>
              <w:t>2020-03-17</w:t>
            </w:r>
          </w:p>
        </w:tc>
        <w:tc>
          <w:tcPr>
            <w:tcW w:type="dxa" w:w="1694"/>
            <w:vAlign w:val="center"/>
          </w:tcPr>
          <w:p>
            <w:r>
              <w:rPr>
                <w:sz w:val="15"/>
              </w:rPr>
            </w:r>
            <w:r>
              <w:rPr>
                <w:b w:val="0"/>
                <w:sz w:val="15"/>
              </w:rPr>
              <w:t>5</w:t>
            </w:r>
          </w:p>
        </w:tc>
        <w:tc>
          <w:tcPr>
            <w:tcW w:type="dxa" w:w="1694"/>
            <w:vAlign w:val="center"/>
          </w:tcPr>
          <w:p>
            <w:r>
              <w:rPr>
                <w:sz w:val="15"/>
              </w:rPr>
            </w:r>
            <w:r>
              <w:rPr>
                <w:b w:val="0"/>
                <w:sz w:val="15"/>
              </w:rPr>
              <w:t>8.06%</w:t>
            </w:r>
          </w:p>
        </w:tc>
      </w:tr>
      <w:tr>
        <w:tc>
          <w:tcPr>
            <w:tcW w:type="dxa" w:w="1694"/>
            <w:vAlign w:val="center"/>
          </w:tcPr>
          <w:p>
            <w:r>
              <w:rPr>
                <w:sz w:val="15"/>
              </w:rPr>
            </w:r>
            <w:r>
              <w:rPr>
                <w:b w:val="0"/>
                <w:sz w:val="15"/>
              </w:rPr>
              <w:t>lambda = 0.94</w:t>
            </w:r>
          </w:p>
        </w:tc>
        <w:tc>
          <w:tcPr>
            <w:tcW w:type="dxa" w:w="1694"/>
            <w:vAlign w:val="center"/>
          </w:tcPr>
          <w:p>
            <w:r>
              <w:rPr>
                <w:sz w:val="15"/>
              </w:rPr>
            </w:r>
            <w:r>
              <w:rPr>
                <w:b w:val="0"/>
                <w:sz w:val="15"/>
              </w:rPr>
              <w:t>$69,131.07</w:t>
            </w:r>
          </w:p>
        </w:tc>
        <w:tc>
          <w:tcPr>
            <w:tcW w:type="dxa" w:w="1694"/>
            <w:vAlign w:val="center"/>
          </w:tcPr>
          <w:p>
            <w:r>
              <w:rPr>
                <w:sz w:val="15"/>
              </w:rPr>
            </w:r>
            <w:r>
              <w:rPr>
                <w:b w:val="0"/>
                <w:sz w:val="15"/>
              </w:rPr>
              <w:t>$118,677.25</w:t>
            </w:r>
          </w:p>
        </w:tc>
        <w:tc>
          <w:tcPr>
            <w:tcW w:type="dxa" w:w="1694"/>
            <w:vAlign w:val="center"/>
          </w:tcPr>
          <w:p>
            <w:r>
              <w:rPr>
                <w:sz w:val="15"/>
              </w:rPr>
            </w:r>
            <w:r>
              <w:rPr>
                <w:b w:val="0"/>
                <w:sz w:val="15"/>
              </w:rPr>
              <w:t>2020-03-25</w:t>
            </w:r>
          </w:p>
        </w:tc>
        <w:tc>
          <w:tcPr>
            <w:tcW w:type="dxa" w:w="1694"/>
            <w:vAlign w:val="center"/>
          </w:tcPr>
          <w:p>
            <w:r>
              <w:rPr>
                <w:sz w:val="15"/>
              </w:rPr>
            </w:r>
            <w:r>
              <w:rPr>
                <w:b w:val="0"/>
                <w:sz w:val="15"/>
              </w:rPr>
              <w:t>6</w:t>
            </w:r>
          </w:p>
        </w:tc>
        <w:tc>
          <w:tcPr>
            <w:tcW w:type="dxa" w:w="1694"/>
            <w:vAlign w:val="center"/>
          </w:tcPr>
          <w:p>
            <w:r>
              <w:rPr>
                <w:sz w:val="15"/>
              </w:rPr>
            </w:r>
            <w:r>
              <w:rPr>
                <w:b w:val="0"/>
                <w:sz w:val="15"/>
              </w:rPr>
              <w:t>9.68%</w:t>
            </w:r>
          </w:p>
        </w:tc>
      </w:tr>
      <w:tr>
        <w:tc>
          <w:tcPr>
            <w:tcW w:type="dxa" w:w="1694"/>
            <w:vAlign w:val="center"/>
          </w:tcPr>
          <w:p>
            <w:r>
              <w:rPr>
                <w:sz w:val="15"/>
              </w:rPr>
            </w:r>
            <w:r>
              <w:rPr>
                <w:b w:val="0"/>
                <w:sz w:val="15"/>
              </w:rPr>
              <w:t>lambda = 0.97</w:t>
            </w:r>
          </w:p>
        </w:tc>
        <w:tc>
          <w:tcPr>
            <w:tcW w:type="dxa" w:w="1694"/>
            <w:vAlign w:val="center"/>
          </w:tcPr>
          <w:p>
            <w:r>
              <w:rPr>
                <w:sz w:val="15"/>
              </w:rPr>
            </w:r>
            <w:r>
              <w:rPr>
                <w:b w:val="0"/>
                <w:sz w:val="15"/>
              </w:rPr>
              <w:t>$59,082.25</w:t>
            </w:r>
          </w:p>
        </w:tc>
        <w:tc>
          <w:tcPr>
            <w:tcW w:type="dxa" w:w="1694"/>
            <w:vAlign w:val="center"/>
          </w:tcPr>
          <w:p>
            <w:r>
              <w:rPr>
                <w:sz w:val="15"/>
              </w:rPr>
            </w:r>
            <w:r>
              <w:rPr>
                <w:b w:val="0"/>
                <w:sz w:val="15"/>
              </w:rPr>
              <w:t>$93,902.40</w:t>
            </w:r>
          </w:p>
        </w:tc>
        <w:tc>
          <w:tcPr>
            <w:tcW w:type="dxa" w:w="1694"/>
            <w:vAlign w:val="center"/>
          </w:tcPr>
          <w:p>
            <w:r>
              <w:rPr>
                <w:sz w:val="15"/>
              </w:rPr>
            </w:r>
            <w:r>
              <w:rPr>
                <w:b w:val="0"/>
                <w:sz w:val="15"/>
              </w:rPr>
              <w:t>2020-03-27</w:t>
            </w:r>
          </w:p>
        </w:tc>
        <w:tc>
          <w:tcPr>
            <w:tcW w:type="dxa" w:w="1694"/>
            <w:vAlign w:val="center"/>
          </w:tcPr>
          <w:p>
            <w:r>
              <w:rPr>
                <w:sz w:val="15"/>
              </w:rPr>
            </w:r>
            <w:r>
              <w:rPr>
                <w:b w:val="0"/>
                <w:sz w:val="15"/>
              </w:rPr>
              <w:t>6</w:t>
            </w:r>
          </w:p>
        </w:tc>
        <w:tc>
          <w:tcPr>
            <w:tcW w:type="dxa" w:w="1694"/>
            <w:vAlign w:val="center"/>
          </w:tcPr>
          <w:p>
            <w:r>
              <w:rPr>
                <w:sz w:val="15"/>
              </w:rPr>
            </w:r>
            <w:r>
              <w:rPr>
                <w:b w:val="0"/>
                <w:sz w:val="15"/>
              </w:rPr>
              <w:t>9.68%</w:t>
            </w:r>
          </w:p>
        </w:tc>
      </w:tr>
      <w:tr>
        <w:tc>
          <w:tcPr>
            <w:tcW w:type="dxa" w:w="1694"/>
            <w:vAlign w:val="center"/>
          </w:tcPr>
          <w:p>
            <w:r>
              <w:rPr>
                <w:sz w:val="15"/>
              </w:rPr>
            </w:r>
            <w:r>
              <w:rPr>
                <w:b w:val="0"/>
                <w:sz w:val="15"/>
              </w:rPr>
              <w:t>lambda = 0.99</w:t>
            </w:r>
          </w:p>
        </w:tc>
        <w:tc>
          <w:tcPr>
            <w:tcW w:type="dxa" w:w="1694"/>
            <w:vAlign w:val="center"/>
          </w:tcPr>
          <w:p>
            <w:r>
              <w:rPr>
                <w:sz w:val="15"/>
              </w:rPr>
            </w:r>
            <w:r>
              <w:rPr>
                <w:b w:val="0"/>
                <w:sz w:val="15"/>
              </w:rPr>
              <w:t>$42,471.94</w:t>
            </w:r>
          </w:p>
        </w:tc>
        <w:tc>
          <w:tcPr>
            <w:tcW w:type="dxa" w:w="1694"/>
            <w:vAlign w:val="center"/>
          </w:tcPr>
          <w:p>
            <w:r>
              <w:rPr>
                <w:sz w:val="15"/>
              </w:rPr>
            </w:r>
            <w:r>
              <w:rPr>
                <w:b w:val="0"/>
                <w:sz w:val="15"/>
              </w:rPr>
              <w:t>$62,842.21</w:t>
            </w:r>
          </w:p>
        </w:tc>
        <w:tc>
          <w:tcPr>
            <w:tcW w:type="dxa" w:w="1694"/>
            <w:vAlign w:val="center"/>
          </w:tcPr>
          <w:p>
            <w:r>
              <w:rPr>
                <w:sz w:val="15"/>
              </w:rPr>
            </w:r>
            <w:r>
              <w:rPr>
                <w:b w:val="0"/>
                <w:sz w:val="15"/>
              </w:rPr>
              <w:t>2020-04-07</w:t>
            </w:r>
          </w:p>
        </w:tc>
        <w:tc>
          <w:tcPr>
            <w:tcW w:type="dxa" w:w="1694"/>
            <w:vAlign w:val="center"/>
          </w:tcPr>
          <w:p>
            <w:r>
              <w:rPr>
                <w:sz w:val="15"/>
              </w:rPr>
            </w:r>
            <w:r>
              <w:rPr>
                <w:b w:val="0"/>
                <w:sz w:val="15"/>
              </w:rPr>
              <w:t>9</w:t>
            </w:r>
          </w:p>
        </w:tc>
        <w:tc>
          <w:tcPr>
            <w:tcW w:type="dxa" w:w="1694"/>
            <w:vAlign w:val="center"/>
          </w:tcPr>
          <w:p>
            <w:r>
              <w:rPr>
                <w:sz w:val="15"/>
              </w:rPr>
            </w:r>
            <w:r>
              <w:rPr>
                <w:b w:val="0"/>
                <w:sz w:val="15"/>
              </w:rPr>
              <w:t>14.52%</w:t>
            </w:r>
          </w:p>
        </w:tc>
      </w:tr>
    </w:tbl>
    <w:p>
      <w:pPr>
        <w:spacing w:after="80" w:line="252" w:lineRule="auto"/>
      </w:pPr>
      <w:r>
        <w:rPr>
          <w:sz w:val="21"/>
        </w:rPr>
        <w:t>The results show the expected EWMA tradeoff. Lambda = 0.90 responds fastest and reaches the largest VaR peak ($140,680), while lambda = 0.99 reacts much more slowly, peaks at only $62,842, and records nine COVID exceptions. The baseline lambda = 0.94 produces six COVID exceptions and a maximum VaR of $118,677.</w:t>
      </w:r>
    </w:p>
    <w:p>
      <w:pPr>
        <w:spacing w:after="80" w:line="252" w:lineRule="auto"/>
      </w:pPr>
      <w:r>
        <w:rPr>
          <w:sz w:val="21"/>
        </w:rPr>
        <w:t>After the March 9 loss of $78,095, baseline next-day VaR rose about 30%. After the March 12 loss of $95,677, next-day VaR rose about 22%, and after the March 16 loss of $109,424 it rose about 15%. EWMA therefore adapts strongly after large moves, but it cannot raise the forecast until the shock has already occurred.</w:t>
      </w:r>
    </w:p>
    <w:p>
      <w:pPr>
        <w:jc w:val="center"/>
      </w:pPr>
      <w:r>
        <w:drawing>
          <wp:inline xmlns:a="http://schemas.openxmlformats.org/drawingml/2006/main" xmlns:pic="http://schemas.openxmlformats.org/drawingml/2006/picture">
            <wp:extent cx="5943600" cy="2722220"/>
            <wp:docPr id="5" name="Picture 5"/>
            <wp:cNvGraphicFramePr>
              <a:graphicFrameLocks noChangeAspect="1"/>
            </wp:cNvGraphicFramePr>
            <a:graphic>
              <a:graphicData uri="http://schemas.openxmlformats.org/drawingml/2006/picture">
                <pic:pic>
                  <pic:nvPicPr>
                    <pic:cNvPr id="0" name="image(9).png"/>
                    <pic:cNvPicPr/>
                  </pic:nvPicPr>
                  <pic:blipFill>
                    <a:blip r:embed="rId15"/>
                    <a:stretch>
                      <a:fillRect/>
                    </a:stretch>
                  </pic:blipFill>
                  <pic:spPr>
                    <a:xfrm>
                      <a:off x="0" y="0"/>
                      <a:ext cx="5943600" cy="2722220"/>
                    </a:xfrm>
                    <a:prstGeom prst="rect"/>
                  </pic:spPr>
                </pic:pic>
              </a:graphicData>
            </a:graphic>
          </wp:inline>
        </w:drawing>
      </w:r>
    </w:p>
    <w:p>
      <w:pPr>
        <w:jc w:val="center"/>
      </w:pPr>
      <w:r>
        <w:rPr>
          <w:i/>
          <w:color w:val="595959"/>
          <w:sz w:val="17"/>
        </w:rPr>
        <w:t>Figure 5. Baseline EWMA VaR versus realized P&amp;L during February-April 2020. Six exceptions are marked in red.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CC0000"/>
          </w:tcPr>
          <w:p>
            <w:r>
              <w:rPr>
                <w:b/>
                <w:color w:val="FFFFFF"/>
                <w:sz w:val="15"/>
              </w:rPr>
            </w:r>
            <w:r>
              <w:rPr>
                <w:b/>
                <w:color w:val="FFFFFF"/>
                <w:sz w:val="15"/>
              </w:rPr>
              <w:t>Model</w:t>
            </w:r>
          </w:p>
        </w:tc>
        <w:tc>
          <w:tcPr>
            <w:tcW w:type="dxa" w:w="1694"/>
            <w:vAlign w:val="center"/>
            <w:shd w:fill="CC0000"/>
          </w:tcPr>
          <w:p>
            <w:r>
              <w:rPr>
                <w:b/>
                <w:color w:val="FFFFFF"/>
                <w:sz w:val="15"/>
              </w:rPr>
            </w:r>
            <w:r>
              <w:rPr>
                <w:b/>
                <w:color w:val="FFFFFF"/>
                <w:sz w:val="15"/>
              </w:rPr>
              <w:t>Avg COVID VaR</w:t>
            </w:r>
          </w:p>
        </w:tc>
        <w:tc>
          <w:tcPr>
            <w:tcW w:type="dxa" w:w="1694"/>
            <w:vAlign w:val="center"/>
            <w:shd w:fill="CC0000"/>
          </w:tcPr>
          <w:p>
            <w:r>
              <w:rPr>
                <w:b/>
                <w:color w:val="FFFFFF"/>
                <w:sz w:val="15"/>
              </w:rPr>
            </w:r>
            <w:r>
              <w:rPr>
                <w:b/>
                <w:color w:val="FFFFFF"/>
                <w:sz w:val="15"/>
              </w:rPr>
              <w:t>Max COVID VaR</w:t>
            </w:r>
          </w:p>
        </w:tc>
        <w:tc>
          <w:tcPr>
            <w:tcW w:type="dxa" w:w="1694"/>
            <w:vAlign w:val="center"/>
            <w:shd w:fill="CC0000"/>
          </w:tcPr>
          <w:p>
            <w:r>
              <w:rPr>
                <w:b/>
                <w:color w:val="FFFFFF"/>
                <w:sz w:val="15"/>
              </w:rPr>
            </w:r>
            <w:r>
              <w:rPr>
                <w:b/>
                <w:color w:val="FFFFFF"/>
                <w:sz w:val="15"/>
              </w:rPr>
              <w:t>Peak date</w:t>
            </w:r>
          </w:p>
        </w:tc>
        <w:tc>
          <w:tcPr>
            <w:tcW w:type="dxa" w:w="1694"/>
            <w:vAlign w:val="center"/>
            <w:shd w:fill="CC0000"/>
          </w:tcPr>
          <w:p>
            <w:r>
              <w:rPr>
                <w:b/>
                <w:color w:val="FFFFFF"/>
                <w:sz w:val="15"/>
              </w:rPr>
            </w:r>
            <w:r>
              <w:rPr>
                <w:b/>
                <w:color w:val="FFFFFF"/>
                <w:sz w:val="15"/>
              </w:rPr>
              <w:t>Exceptions</w:t>
            </w:r>
          </w:p>
        </w:tc>
        <w:tc>
          <w:tcPr>
            <w:tcW w:type="dxa" w:w="1694"/>
            <w:vAlign w:val="center"/>
            <w:shd w:fill="CC0000"/>
          </w:tcPr>
          <w:p>
            <w:r>
              <w:rPr>
                <w:b/>
                <w:color w:val="FFFFFF"/>
                <w:sz w:val="15"/>
              </w:rPr>
            </w:r>
            <w:r>
              <w:rPr>
                <w:b/>
                <w:color w:val="FFFFFF"/>
                <w:sz w:val="15"/>
              </w:rPr>
              <w:t>Rate</w:t>
            </w:r>
          </w:p>
        </w:tc>
      </w:tr>
      <w:tr>
        <w:tc>
          <w:tcPr>
            <w:tcW w:type="dxa" w:w="1694"/>
            <w:vAlign w:val="center"/>
          </w:tcPr>
          <w:p>
            <w:r>
              <w:rPr>
                <w:sz w:val="15"/>
              </w:rPr>
            </w:r>
            <w:r>
              <w:rPr>
                <w:b w:val="0"/>
                <w:sz w:val="15"/>
              </w:rPr>
              <w:t>Historical</w:t>
            </w:r>
          </w:p>
        </w:tc>
        <w:tc>
          <w:tcPr>
            <w:tcW w:type="dxa" w:w="1694"/>
            <w:vAlign w:val="center"/>
          </w:tcPr>
          <w:p>
            <w:r>
              <w:rPr>
                <w:sz w:val="15"/>
              </w:rPr>
            </w:r>
            <w:r>
              <w:rPr>
                <w:b w:val="0"/>
                <w:sz w:val="15"/>
              </w:rPr>
              <w:t>$47,563.33</w:t>
            </w:r>
          </w:p>
        </w:tc>
        <w:tc>
          <w:tcPr>
            <w:tcW w:type="dxa" w:w="1694"/>
            <w:vAlign w:val="center"/>
          </w:tcPr>
          <w:p>
            <w:r>
              <w:rPr>
                <w:sz w:val="15"/>
              </w:rPr>
            </w:r>
            <w:r>
              <w:rPr>
                <w:b w:val="0"/>
                <w:sz w:val="15"/>
              </w:rPr>
              <w:t>$64,638.34</w:t>
            </w:r>
          </w:p>
        </w:tc>
        <w:tc>
          <w:tcPr>
            <w:tcW w:type="dxa" w:w="1694"/>
            <w:vAlign w:val="center"/>
          </w:tcPr>
          <w:p>
            <w:r>
              <w:rPr>
                <w:sz w:val="15"/>
              </w:rPr>
            </w:r>
            <w:r>
              <w:rPr>
                <w:b w:val="0"/>
                <w:sz w:val="15"/>
              </w:rPr>
              <w:t>2020-03-19</w:t>
            </w:r>
          </w:p>
        </w:tc>
        <w:tc>
          <w:tcPr>
            <w:tcW w:type="dxa" w:w="1694"/>
            <w:vAlign w:val="center"/>
          </w:tcPr>
          <w:p>
            <w:r>
              <w:rPr>
                <w:sz w:val="15"/>
              </w:rPr>
            </w:r>
            <w:r>
              <w:rPr>
                <w:b w:val="0"/>
                <w:sz w:val="15"/>
              </w:rPr>
              <w:t>8</w:t>
            </w:r>
          </w:p>
        </w:tc>
        <w:tc>
          <w:tcPr>
            <w:tcW w:type="dxa" w:w="1694"/>
            <w:vAlign w:val="center"/>
          </w:tcPr>
          <w:p>
            <w:r>
              <w:rPr>
                <w:sz w:val="15"/>
              </w:rPr>
            </w:r>
            <w:r>
              <w:rPr>
                <w:b w:val="0"/>
                <w:sz w:val="15"/>
              </w:rPr>
              <w:t>12.90%</w:t>
            </w:r>
          </w:p>
        </w:tc>
      </w:tr>
      <w:tr>
        <w:tc>
          <w:tcPr>
            <w:tcW w:type="dxa" w:w="1694"/>
            <w:vAlign w:val="center"/>
          </w:tcPr>
          <w:p>
            <w:r>
              <w:rPr>
                <w:sz w:val="15"/>
              </w:rPr>
            </w:r>
            <w:r>
              <w:rPr>
                <w:b w:val="0"/>
                <w:sz w:val="15"/>
              </w:rPr>
              <w:t>Parametric</w:t>
            </w:r>
          </w:p>
        </w:tc>
        <w:tc>
          <w:tcPr>
            <w:tcW w:type="dxa" w:w="1694"/>
            <w:vAlign w:val="center"/>
          </w:tcPr>
          <w:p>
            <w:r>
              <w:rPr>
                <w:sz w:val="15"/>
              </w:rPr>
            </w:r>
            <w:r>
              <w:rPr>
                <w:b w:val="0"/>
                <w:sz w:val="15"/>
              </w:rPr>
              <w:t>$32,171.19</w:t>
            </w:r>
          </w:p>
        </w:tc>
        <w:tc>
          <w:tcPr>
            <w:tcW w:type="dxa" w:w="1694"/>
            <w:vAlign w:val="center"/>
          </w:tcPr>
          <w:p>
            <w:r>
              <w:rPr>
                <w:sz w:val="15"/>
              </w:rPr>
            </w:r>
            <w:r>
              <w:rPr>
                <w:b w:val="0"/>
                <w:sz w:val="15"/>
              </w:rPr>
              <w:t>$46,039.00</w:t>
            </w:r>
          </w:p>
        </w:tc>
        <w:tc>
          <w:tcPr>
            <w:tcW w:type="dxa" w:w="1694"/>
            <w:vAlign w:val="center"/>
          </w:tcPr>
          <w:p>
            <w:r>
              <w:rPr>
                <w:sz w:val="15"/>
              </w:rPr>
            </w:r>
            <w:r>
              <w:rPr>
                <w:b w:val="0"/>
                <w:sz w:val="15"/>
              </w:rPr>
              <w:t>2020-04-30</w:t>
            </w:r>
          </w:p>
        </w:tc>
        <w:tc>
          <w:tcPr>
            <w:tcW w:type="dxa" w:w="1694"/>
            <w:vAlign w:val="center"/>
          </w:tcPr>
          <w:p>
            <w:r>
              <w:rPr>
                <w:sz w:val="15"/>
              </w:rPr>
            </w:r>
            <w:r>
              <w:rPr>
                <w:b w:val="0"/>
                <w:sz w:val="15"/>
              </w:rPr>
              <w:t>12</w:t>
            </w:r>
          </w:p>
        </w:tc>
        <w:tc>
          <w:tcPr>
            <w:tcW w:type="dxa" w:w="1694"/>
            <w:vAlign w:val="center"/>
          </w:tcPr>
          <w:p>
            <w:r>
              <w:rPr>
                <w:sz w:val="15"/>
              </w:rPr>
            </w:r>
            <w:r>
              <w:rPr>
                <w:b w:val="0"/>
                <w:sz w:val="15"/>
              </w:rPr>
              <w:t>19.35%</w:t>
            </w:r>
          </w:p>
        </w:tc>
      </w:tr>
      <w:tr>
        <w:tc>
          <w:tcPr>
            <w:tcW w:type="dxa" w:w="1694"/>
            <w:vAlign w:val="center"/>
          </w:tcPr>
          <w:p>
            <w:r>
              <w:rPr>
                <w:sz w:val="15"/>
              </w:rPr>
            </w:r>
            <w:r>
              <w:rPr>
                <w:b w:val="0"/>
                <w:sz w:val="15"/>
              </w:rPr>
              <w:t>EWMA</w:t>
            </w:r>
          </w:p>
        </w:tc>
        <w:tc>
          <w:tcPr>
            <w:tcW w:type="dxa" w:w="1694"/>
            <w:vAlign w:val="center"/>
          </w:tcPr>
          <w:p>
            <w:r>
              <w:rPr>
                <w:sz w:val="15"/>
              </w:rPr>
            </w:r>
            <w:r>
              <w:rPr>
                <w:b w:val="0"/>
                <w:sz w:val="15"/>
              </w:rPr>
              <w:t>$69,131.07</w:t>
            </w:r>
          </w:p>
        </w:tc>
        <w:tc>
          <w:tcPr>
            <w:tcW w:type="dxa" w:w="1694"/>
            <w:vAlign w:val="center"/>
          </w:tcPr>
          <w:p>
            <w:r>
              <w:rPr>
                <w:sz w:val="15"/>
              </w:rPr>
            </w:r>
            <w:r>
              <w:rPr>
                <w:b w:val="0"/>
                <w:sz w:val="15"/>
              </w:rPr>
              <w:t>$118,677.25</w:t>
            </w:r>
          </w:p>
        </w:tc>
        <w:tc>
          <w:tcPr>
            <w:tcW w:type="dxa" w:w="1694"/>
            <w:vAlign w:val="center"/>
          </w:tcPr>
          <w:p>
            <w:r>
              <w:rPr>
                <w:sz w:val="15"/>
              </w:rPr>
            </w:r>
            <w:r>
              <w:rPr>
                <w:b w:val="0"/>
                <w:sz w:val="15"/>
              </w:rPr>
              <w:t>2020-03-25</w:t>
            </w:r>
          </w:p>
        </w:tc>
        <w:tc>
          <w:tcPr>
            <w:tcW w:type="dxa" w:w="1694"/>
            <w:vAlign w:val="center"/>
          </w:tcPr>
          <w:p>
            <w:r>
              <w:rPr>
                <w:sz w:val="15"/>
              </w:rPr>
            </w:r>
            <w:r>
              <w:rPr>
                <w:b w:val="0"/>
                <w:sz w:val="15"/>
              </w:rPr>
              <w:t>6</w:t>
            </w:r>
          </w:p>
        </w:tc>
        <w:tc>
          <w:tcPr>
            <w:tcW w:type="dxa" w:w="1694"/>
            <w:vAlign w:val="center"/>
          </w:tcPr>
          <w:p>
            <w:r>
              <w:rPr>
                <w:sz w:val="15"/>
              </w:rPr>
            </w:r>
            <w:r>
              <w:rPr>
                <w:b w:val="0"/>
                <w:sz w:val="15"/>
              </w:rPr>
              <w:t>9.68%</w:t>
            </w:r>
          </w:p>
        </w:tc>
      </w:tr>
    </w:tbl>
    <w:p>
      <w:pPr>
        <w:spacing w:after="80" w:line="252" w:lineRule="auto"/>
      </w:pPr>
      <w:r>
        <w:rPr>
          <w:sz w:val="21"/>
        </w:rPr>
        <w:t>During COVID, EWMA produces the highest average and maximum VaR and the fewest exceptions of the three baseline models. Historical Simulation adjusts in steps as extreme returns enter its rolling window. Parametric Normal VaR adjusts most gradually and records the highest COVID exception rate. This supports EWMA's relative responsiveness, but does not establish overall adequacy because full-period coverage remains weak.</w:t>
      </w:r>
    </w:p>
    <w:p>
      <w:pPr>
        <w:jc w:val="center"/>
      </w:pPr>
      <w:r>
        <w:drawing>
          <wp:inline xmlns:a="http://schemas.openxmlformats.org/drawingml/2006/main" xmlns:pic="http://schemas.openxmlformats.org/drawingml/2006/picture">
            <wp:extent cx="5943600" cy="2744393"/>
            <wp:docPr id="6" name="Picture 6"/>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943600" cy="2744393"/>
                    </a:xfrm>
                    <a:prstGeom prst="rect"/>
                  </pic:spPr>
                </pic:pic>
              </a:graphicData>
            </a:graphic>
          </wp:inline>
        </w:drawing>
      </w:r>
    </w:p>
    <w:p>
      <w:pPr>
        <w:jc w:val="center"/>
      </w:pPr>
      <w:r>
        <w:rPr>
          <w:i/>
          <w:color w:val="595959"/>
          <w:sz w:val="17"/>
        </w:rPr>
        <w:t>Figure 6. Historical, Parametric, and EWMA baseline VaR during February-April 2020.</w:t>
      </w:r>
    </w:p>
    <w:p>
      <w:pPr>
        <w:spacing w:before="100" w:after="60"/>
      </w:pPr>
      <w:r>
        <w:rPr>
          <w:b/>
          <w:color w:val="CC0000"/>
          <w:sz w:val="25"/>
        </w:rPr>
        <w:t>7.3 Robustness Assessment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C0000"/>
          </w:tcPr>
          <w:p>
            <w:r>
              <w:rPr>
                <w:b/>
                <w:color w:val="FFFFFF"/>
                <w:sz w:val="16"/>
              </w:rPr>
            </w:r>
            <w:r>
              <w:rPr>
                <w:b/>
                <w:color w:val="FFFFFF"/>
                <w:sz w:val="16"/>
              </w:rPr>
              <w:t>Dimension</w:t>
            </w:r>
          </w:p>
        </w:tc>
        <w:tc>
          <w:tcPr>
            <w:tcW w:type="dxa" w:w="5083"/>
            <w:vAlign w:val="center"/>
            <w:shd w:fill="CC0000"/>
          </w:tcPr>
          <w:p>
            <w:r>
              <w:rPr>
                <w:b/>
                <w:color w:val="FFFFFF"/>
                <w:sz w:val="16"/>
              </w:rPr>
            </w:r>
            <w:r>
              <w:rPr>
                <w:b/>
                <w:color w:val="FFFFFF"/>
                <w:sz w:val="16"/>
              </w:rPr>
              <w:t>Assessment</w:t>
            </w:r>
          </w:p>
        </w:tc>
      </w:tr>
      <w:tr>
        <w:tc>
          <w:tcPr>
            <w:tcW w:type="dxa" w:w="5083"/>
            <w:vAlign w:val="center"/>
          </w:tcPr>
          <w:p>
            <w:r>
              <w:rPr>
                <w:sz w:val="16"/>
              </w:rPr>
            </w:r>
            <w:r>
              <w:rPr>
                <w:b w:val="0"/>
                <w:sz w:val="16"/>
              </w:rPr>
              <w:t>Parameter stability</w:t>
            </w:r>
          </w:p>
        </w:tc>
        <w:tc>
          <w:tcPr>
            <w:tcW w:type="dxa" w:w="5083"/>
            <w:vAlign w:val="center"/>
          </w:tcPr>
          <w:p>
            <w:r>
              <w:rPr>
                <w:sz w:val="16"/>
              </w:rPr>
            </w:r>
            <w:r>
              <w:rPr>
                <w:b w:val="0"/>
                <w:sz w:val="16"/>
              </w:rPr>
              <w:t>Average VaR is reasonably stable, but peak VaR and short-run responsiveness are materially sensitive to lambda.</w:t>
            </w:r>
          </w:p>
        </w:tc>
      </w:tr>
      <w:tr>
        <w:tc>
          <w:tcPr>
            <w:tcW w:type="dxa" w:w="5083"/>
            <w:vAlign w:val="center"/>
          </w:tcPr>
          <w:p>
            <w:r>
              <w:rPr>
                <w:sz w:val="16"/>
              </w:rPr>
            </w:r>
            <w:r>
              <w:rPr>
                <w:b w:val="0"/>
                <w:sz w:val="16"/>
              </w:rPr>
              <w:t>Stress responsiveness</w:t>
            </w:r>
          </w:p>
        </w:tc>
        <w:tc>
          <w:tcPr>
            <w:tcW w:type="dxa" w:w="5083"/>
            <w:vAlign w:val="center"/>
          </w:tcPr>
          <w:p>
            <w:r>
              <w:rPr>
                <w:sz w:val="16"/>
              </w:rPr>
            </w:r>
            <w:r>
              <w:rPr>
                <w:b w:val="0"/>
                <w:sz w:val="16"/>
              </w:rPr>
              <w:t>EWMA responds strongly after large losses; lower lambda values react faster, while higher values lag and produce more COVID exceptions.</w:t>
            </w:r>
          </w:p>
        </w:tc>
      </w:tr>
      <w:tr>
        <w:tc>
          <w:tcPr>
            <w:tcW w:type="dxa" w:w="5083"/>
            <w:vAlign w:val="center"/>
          </w:tcPr>
          <w:p>
            <w:r>
              <w:rPr>
                <w:sz w:val="16"/>
              </w:rPr>
            </w:r>
            <w:r>
              <w:rPr>
                <w:b w:val="0"/>
                <w:sz w:val="16"/>
              </w:rPr>
              <w:t>Coverage</w:t>
            </w:r>
          </w:p>
        </w:tc>
        <w:tc>
          <w:tcPr>
            <w:tcW w:type="dxa" w:w="5083"/>
            <w:vAlign w:val="center"/>
          </w:tcPr>
          <w:p>
            <w:r>
              <w:rPr>
                <w:sz w:val="16"/>
              </w:rPr>
            </w:r>
            <w:r>
              <w:rPr>
                <w:b w:val="0"/>
                <w:sz w:val="16"/>
              </w:rPr>
              <w:t>No tested lambda produces exception coverage close to the intended 1%; the best tested full-period rate is 2.08%.</w:t>
            </w:r>
          </w:p>
        </w:tc>
      </w:tr>
      <w:tr>
        <w:tc>
          <w:tcPr>
            <w:tcW w:type="dxa" w:w="5083"/>
            <w:vAlign w:val="center"/>
          </w:tcPr>
          <w:p>
            <w:r>
              <w:rPr>
                <w:sz w:val="16"/>
              </w:rPr>
            </w:r>
            <w:r>
              <w:rPr>
                <w:b w:val="0"/>
                <w:sz w:val="16"/>
              </w:rPr>
              <w:t>Methodology limitation</w:t>
            </w:r>
          </w:p>
        </w:tc>
        <w:tc>
          <w:tcPr>
            <w:tcW w:type="dxa" w:w="5083"/>
            <w:vAlign w:val="center"/>
          </w:tcPr>
          <w:p>
            <w:r>
              <w:rPr>
                <w:sz w:val="16"/>
              </w:rPr>
            </w:r>
            <w:r>
              <w:rPr>
                <w:b w:val="0"/>
                <w:sz w:val="16"/>
              </w:rPr>
              <w:t>The model remains reactive and conditionally Normal. Changing lambda does not address fat tails or allow VaR to anticipate a sudden shock.</w:t>
            </w:r>
          </w:p>
        </w:tc>
      </w:tr>
      <w:tr>
        <w:tc>
          <w:tcPr>
            <w:tcW w:type="dxa" w:w="5083"/>
            <w:vAlign w:val="center"/>
          </w:tcPr>
          <w:p>
            <w:r>
              <w:rPr>
                <w:sz w:val="16"/>
              </w:rPr>
            </w:r>
            <w:r>
              <w:rPr>
                <w:b w:val="0"/>
                <w:sz w:val="16"/>
              </w:rPr>
              <w:t>Implementation</w:t>
            </w:r>
          </w:p>
        </w:tc>
        <w:tc>
          <w:tcPr>
            <w:tcW w:type="dxa" w:w="5083"/>
            <w:vAlign w:val="center"/>
          </w:tcPr>
          <w:p>
            <w:r>
              <w:rPr>
                <w:sz w:val="16"/>
              </w:rPr>
            </w:r>
            <w:r>
              <w:rPr>
                <w:b w:val="0"/>
                <w:sz w:val="16"/>
              </w:rPr>
              <w:t>No new implementation error was identified; the observed weaknesses are primarily methodological/performance issues.</w:t>
            </w:r>
          </w:p>
        </w:tc>
      </w:tr>
    </w:tbl>
    <w:p>
      <w:pPr>
        <w:spacing w:before="100" w:after="60"/>
      </w:pPr>
      <w:r>
        <w:rPr>
          <w:b/>
          <w:color w:val="CC0000"/>
          <w:sz w:val="25"/>
        </w:rPr>
        <w:t>7.4 Preliminary Validation Findings</w:t>
      </w:r>
    </w:p>
    <w:p>
      <w:pPr>
        <w:pStyle w:val="ListBullet"/>
        <w:spacing w:after="40"/>
      </w:pPr>
      <w:r>
        <w:rPr>
          <w:sz w:val="21"/>
        </w:rPr>
        <w:t>The baseline lambda = 0.94 is a reasonable compromise between speed and persistence, but the results do not show that it is uniquely optimal for SPY.</w:t>
      </w:r>
    </w:p>
    <w:p>
      <w:pPr>
        <w:pStyle w:val="ListBullet"/>
        <w:spacing w:after="40"/>
      </w:pPr>
      <w:r>
        <w:rPr>
          <w:sz w:val="21"/>
        </w:rPr>
        <w:t>Lower lambda values improve immediate stress responsiveness but create larger VaR spikes and do not improve full-period coverage.</w:t>
      </w:r>
    </w:p>
    <w:p>
      <w:pPr>
        <w:pStyle w:val="ListBullet"/>
        <w:spacing w:after="40"/>
      </w:pPr>
      <w:r>
        <w:rPr>
          <w:sz w:val="21"/>
        </w:rPr>
        <w:t>Higher lambda values smooth and prolong volatility estimates but react too slowly to abrupt shocks; lambda = 0.99 produces nine COVID exceptions.</w:t>
      </w:r>
    </w:p>
    <w:p>
      <w:pPr>
        <w:pStyle w:val="ListBullet"/>
        <w:spacing w:after="40"/>
      </w:pPr>
      <w:r>
        <w:rPr>
          <w:sz w:val="21"/>
        </w:rPr>
        <w:t>The full-period exception rate remains above 2% for every tested lambda, so the main coverage weakness is not solved by decay-factor tuning alone.</w:t>
      </w:r>
    </w:p>
    <w:p>
      <w:pPr>
        <w:pStyle w:val="ListBullet"/>
        <w:spacing w:after="40"/>
      </w:pPr>
      <w:r>
        <w:rPr>
          <w:sz w:val="21"/>
        </w:rPr>
        <w:t>The key remaining model-risk concern is the combination of reactive volatility updating and a Normal tail assumption.</w:t>
      </w:r>
    </w:p>
    <w:p>
      <w:pPr>
        <w:spacing w:after="80" w:line="252" w:lineRule="auto"/>
      </w:pPr>
      <w:r>
        <w:rPr>
          <w:sz w:val="21"/>
        </w:rPr>
        <w:t>Preliminary recommendation. Retain lambda = 0.94 as the project baseline for comparability unless the team has a documented reason to recalibrate it. Treat excessive exception frequency and exception clustering from Phase II as the more significant validation findings. Phase III shows that reasonable lambda changes alter responsiveness but do not eliminate those weaknesses. No final effectiveness rating is assigned at this stage.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NC STATE UNIVERSITY  |  VaR MODEL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CC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22222"/>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CC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