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9801" w14:textId="79C42923" w:rsidR="0023770F" w:rsidRDefault="00497E39">
      <w:pPr>
        <w:pStyle w:val="Title"/>
      </w:pPr>
      <w:r>
        <w:t>Historical Simulation</w:t>
      </w:r>
      <w:r w:rsidR="00000000">
        <w:t xml:space="preserve"> </w:t>
      </w:r>
      <w:proofErr w:type="spellStart"/>
      <w:r w:rsidR="00000000">
        <w:t>VaR</w:t>
      </w:r>
      <w:proofErr w:type="spellEnd"/>
      <w:r w:rsidR="00000000">
        <w:t xml:space="preserve"> Model Development Summary</w:t>
      </w:r>
    </w:p>
    <w:p w14:paraId="6AC417D5" w14:textId="77777777" w:rsidR="0023770F" w:rsidRDefault="00000000">
      <w:pPr>
        <w:spacing w:after="140"/>
      </w:pPr>
      <w:r>
        <w:rPr>
          <w:b/>
          <w:color w:val="5F5F5F"/>
          <w:sz w:val="22"/>
        </w:rPr>
        <w:t>Baseline Development Version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024"/>
        <w:gridCol w:w="1224"/>
        <w:gridCol w:w="3384"/>
      </w:tblGrid>
      <w:tr w:rsidR="0023770F" w14:paraId="7757AF73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32C6D" w14:textId="77777777" w:rsidR="0023770F" w:rsidRDefault="00000000">
            <w:r>
              <w:rPr>
                <w:b/>
                <w:color w:val="282828"/>
                <w:sz w:val="18"/>
              </w:rPr>
              <w:t>Model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C60EF" w14:textId="4BF4E51E" w:rsidR="0023770F" w:rsidRDefault="00497E39">
            <w:r>
              <w:rPr>
                <w:sz w:val="18"/>
              </w:rPr>
              <w:t>Historical Simulation</w:t>
            </w:r>
            <w:r w:rsidR="00000000">
              <w:rPr>
                <w:sz w:val="18"/>
              </w:rPr>
              <w:t xml:space="preserve"> </w:t>
            </w:r>
            <w:proofErr w:type="spellStart"/>
            <w:r w:rsidR="00000000">
              <w:rPr>
                <w:sz w:val="18"/>
              </w:rPr>
              <w:t>VaR</w:t>
            </w:r>
            <w:proofErr w:type="spellEnd"/>
          </w:p>
        </w:tc>
        <w:tc>
          <w:tcPr>
            <w:tcW w:w="122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F9D18" w14:textId="77777777" w:rsidR="0023770F" w:rsidRDefault="00000000">
            <w:r>
              <w:rPr>
                <w:b/>
                <w:color w:val="282828"/>
                <w:sz w:val="18"/>
              </w:rPr>
              <w:t>Developer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A8D9E" w14:textId="1517A2F9" w:rsidR="0023770F" w:rsidRDefault="00497E39">
            <w:r>
              <w:rPr>
                <w:sz w:val="18"/>
              </w:rPr>
              <w:t>Cassie Wan</w:t>
            </w:r>
          </w:p>
        </w:tc>
      </w:tr>
      <w:tr w:rsidR="0023770F" w14:paraId="0CA3189B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2D2CC" w14:textId="77777777" w:rsidR="0023770F" w:rsidRDefault="00000000">
            <w:r>
              <w:rPr>
                <w:b/>
                <w:color w:val="282828"/>
                <w:sz w:val="18"/>
              </w:rPr>
              <w:t>Version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DDE68" w14:textId="77777777" w:rsidR="0023770F" w:rsidRDefault="00000000">
            <w:r>
              <w:rPr>
                <w:sz w:val="18"/>
              </w:rPr>
              <w:t>1.0</w:t>
            </w:r>
          </w:p>
        </w:tc>
        <w:tc>
          <w:tcPr>
            <w:tcW w:w="122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A3731" w14:textId="77777777" w:rsidR="0023770F" w:rsidRDefault="00000000">
            <w:r>
              <w:rPr>
                <w:b/>
                <w:color w:val="282828"/>
                <w:sz w:val="18"/>
              </w:rPr>
              <w:t>Date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40C92" w14:textId="487D30ED" w:rsidR="0023770F" w:rsidRDefault="00000000">
            <w:r>
              <w:rPr>
                <w:sz w:val="18"/>
              </w:rPr>
              <w:t xml:space="preserve">October </w:t>
            </w:r>
            <w:r w:rsidR="00497E39">
              <w:rPr>
                <w:sz w:val="18"/>
              </w:rPr>
              <w:t>6</w:t>
            </w:r>
            <w:r>
              <w:rPr>
                <w:sz w:val="18"/>
              </w:rPr>
              <w:t>, 2026</w:t>
            </w:r>
          </w:p>
        </w:tc>
      </w:tr>
    </w:tbl>
    <w:p w14:paraId="67F3A46F" w14:textId="77777777" w:rsidR="0023770F" w:rsidRDefault="00000000">
      <w:pPr>
        <w:pStyle w:val="Heading1"/>
      </w:pPr>
      <w:r>
        <w:t>Methodology</w:t>
      </w:r>
    </w:p>
    <w:p w14:paraId="6433EAAE" w14:textId="649C9458" w:rsidR="00497E39" w:rsidRDefault="00000000" w:rsidP="00497E39">
      <w:r>
        <w:t>The model estimates the 1-day 99% Value-at-Risk (VaR) of a hypothetical $1,000,000 long position in SPY. Daily simple returns are calculated from Bloomberg Last Price observations.</w:t>
      </w:r>
      <w:r w:rsidR="00497E39">
        <w:t xml:space="preserve"> The model</w:t>
      </w:r>
      <w:r w:rsidR="00497E39" w:rsidRPr="00497E39">
        <w:t xml:space="preserve"> is a baseline, non-parametric risk model and instead uses the recent empirical distribution of SPY returns.</w:t>
      </w:r>
      <w:r>
        <w:t xml:space="preserve"> For each forecast date, </w:t>
      </w:r>
      <w:r w:rsidR="00497E39" w:rsidRPr="00497E39">
        <w:t xml:space="preserve">the model takes the </w:t>
      </w:r>
      <w:r w:rsidR="00497E39">
        <w:t>past</w:t>
      </w:r>
      <w:r w:rsidR="00497E39" w:rsidRPr="00497E39">
        <w:t xml:space="preserve"> 250 trading-day returns, ranks them, and uses the empirical 1% quantile as the 99% loss threshold, which is converted into dollars.</w:t>
      </w:r>
    </w:p>
    <w:p w14:paraId="04436228" w14:textId="3C7511E3" w:rsidR="0023770F" w:rsidRPr="006B6E6C" w:rsidRDefault="00497E39" w:rsidP="00497E39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043ADBCA" w14:textId="24243A90" w:rsidR="006B6E6C" w:rsidRDefault="006B6E6C" w:rsidP="006B6E6C">
      <w:r w:rsidRPr="006B6E6C">
        <w:rPr>
          <w:b/>
          <w:bCs/>
        </w:rPr>
        <w:t>Age-weighted variant</w:t>
      </w:r>
      <w:r>
        <w:t xml:space="preserve">: </w:t>
      </w:r>
      <w:r>
        <w:t xml:space="preserve">A secondary version applies exponentially declining weights to the same 250 returns, where </w:t>
      </w:r>
      <w:proofErr w:type="spellStart"/>
      <w:r>
        <w:t>i</w:t>
      </w:r>
      <w:proofErr w:type="spellEnd"/>
      <w:r>
        <w:t xml:space="preserve"> = 1 is the most recent day</w:t>
      </w:r>
      <w:r>
        <w:t>.</w:t>
      </w:r>
    </w:p>
    <w:p w14:paraId="58658095" w14:textId="30F5D8EB" w:rsidR="006B6E6C" w:rsidRDefault="006B6E6C" w:rsidP="006B6E6C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1-λ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250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</w:p>
    <w:p w14:paraId="0ED0D27B" w14:textId="6A64220C" w:rsidR="006B6E6C" w:rsidRDefault="006B6E6C" w:rsidP="006B6E6C">
      <m:oMath>
        <m:r>
          <w:rPr>
            <w:rFonts w:ascii="Cambria Math" w:hAnsi="Cambria Math"/>
          </w:rPr>
          <m:t>λ</m:t>
        </m:r>
      </m:oMath>
      <w:r>
        <w:t xml:space="preserve">=0.97 is the decay factor at determines how important recent returns are. </w:t>
      </w:r>
      <m:oMath>
        <m:r>
          <w:rPr>
            <w:rFonts w:ascii="Cambria Math" w:hAnsi="Cambria Math"/>
          </w:rPr>
          <m:t>λ</m:t>
        </m:r>
      </m:oMath>
      <w:r>
        <w:t xml:space="preserve"> is either 0.97 or 0.99 according to the original paper by </w:t>
      </w:r>
      <w:proofErr w:type="spellStart"/>
      <w:r>
        <w:t>Boudoukh</w:t>
      </w:r>
      <w:proofErr w:type="spellEnd"/>
      <w:r>
        <w:t>, Richardson, and Whitelaw.</w:t>
      </w:r>
      <w:r w:rsidR="009120BF">
        <w:t xml:space="preserve"> A decay factor of 0.97 places heavy emphasis on immediate history while 0.99 distributes weight more evenly. </w:t>
      </w:r>
      <m:oMath>
        <m:r>
          <w:rPr>
            <w:rFonts w:ascii="Cambria Math" w:hAnsi="Cambria Math"/>
          </w:rPr>
          <m:t>λ</m:t>
        </m:r>
      </m:oMath>
      <w:r w:rsidR="009120BF">
        <w:t xml:space="preserve">=0.97 </w:t>
      </w:r>
      <w:r w:rsidR="009120BF">
        <w:t xml:space="preserve">is used here as a baseline. </w:t>
      </w:r>
    </w:p>
    <w:p w14:paraId="6F490617" w14:textId="77777777" w:rsidR="0023770F" w:rsidRDefault="00000000">
      <w:pPr>
        <w:pStyle w:val="Heading1"/>
      </w:pPr>
      <w:r>
        <w:t>Key Assumptions</w:t>
      </w:r>
    </w:p>
    <w:p w14:paraId="258077A0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Historical relevance: the previous 250 trading days are treated as informative for the next trading day's risk.</w:t>
      </w:r>
    </w:p>
    <w:p w14:paraId="3416E3A3" w14:textId="77777777" w:rsidR="009120BF" w:rsidRDefault="009120BF" w:rsidP="009120BF">
      <w:pPr>
        <w:pStyle w:val="ListBullet"/>
        <w:ind w:left="288"/>
        <w:rPr>
          <w:sz w:val="19"/>
        </w:rPr>
      </w:pPr>
      <w:r w:rsidRPr="009120BF">
        <w:rPr>
          <w:sz w:val="19"/>
        </w:rPr>
        <w:t>No distributional assumption: tail losses come directly from observed returns, so fat tails and skewness are captured, but only to the extent they occurred in the window.</w:t>
      </w:r>
    </w:p>
    <w:p w14:paraId="1E958664" w14:textId="0D30C378" w:rsidR="009120BF" w:rsidRDefault="009120BF" w:rsidP="009120BF">
      <w:pPr>
        <w:pStyle w:val="ListBullet"/>
        <w:ind w:left="288"/>
        <w:rPr>
          <w:sz w:val="19"/>
        </w:rPr>
      </w:pPr>
      <w:r w:rsidRPr="009120BF">
        <w:rPr>
          <w:sz w:val="19"/>
        </w:rPr>
        <w:t>Equal weighting: every observation in the 250-day estimation window receives the same weight (</w:t>
      </w:r>
      <w:r>
        <w:rPr>
          <w:sz w:val="19"/>
        </w:rPr>
        <w:t xml:space="preserve">does not apply to </w:t>
      </w:r>
      <w:r w:rsidRPr="009120BF">
        <w:rPr>
          <w:sz w:val="19"/>
        </w:rPr>
        <w:t>the age-weighted variant).</w:t>
      </w:r>
    </w:p>
    <w:p w14:paraId="6F6823F5" w14:textId="71493AC3" w:rsidR="009120BF" w:rsidRPr="009120BF" w:rsidRDefault="009120BF" w:rsidP="009120BF">
      <w:pPr>
        <w:pStyle w:val="ListBullet"/>
        <w:ind w:left="288"/>
        <w:rPr>
          <w:sz w:val="19"/>
        </w:rPr>
      </w:pPr>
      <w:r w:rsidRPr="009120BF">
        <w:rPr>
          <w:sz w:val="19"/>
        </w:rPr>
        <w:t xml:space="preserve">Constant decay factor: </w:t>
      </w:r>
      <m:oMath>
        <m:r>
          <w:rPr>
            <w:rFonts w:ascii="Cambria Math" w:hAnsi="Cambria Math"/>
          </w:rPr>
          <m:t>λ</m:t>
        </m:r>
      </m:oMath>
      <w:r>
        <w:t xml:space="preserve">=0.97 </w:t>
      </w:r>
      <w:r w:rsidRPr="009120BF">
        <w:rPr>
          <w:sz w:val="19"/>
        </w:rPr>
        <w:t xml:space="preserve">is held fixed </w:t>
      </w:r>
      <w:r>
        <w:rPr>
          <w:sz w:val="19"/>
        </w:rPr>
        <w:t>through the timeframe</w:t>
      </w:r>
      <w:r w:rsidRPr="009120BF">
        <w:rPr>
          <w:sz w:val="19"/>
        </w:rPr>
        <w:t>.</w:t>
      </w:r>
    </w:p>
    <w:p w14:paraId="4F160085" w14:textId="568267CE" w:rsidR="009120BF" w:rsidRPr="009120BF" w:rsidRDefault="009120BF" w:rsidP="009120BF">
      <w:pPr>
        <w:pStyle w:val="ListBullet"/>
        <w:ind w:left="288"/>
        <w:rPr>
          <w:sz w:val="19"/>
        </w:rPr>
      </w:pPr>
      <w:r w:rsidRPr="009120BF">
        <w:rPr>
          <w:sz w:val="19"/>
        </w:rPr>
        <w:t>Volatility: not modeled explicitly</w:t>
      </w:r>
      <w:r>
        <w:rPr>
          <w:sz w:val="19"/>
        </w:rPr>
        <w:t>,</w:t>
      </w:r>
      <w:r w:rsidRPr="009120BF">
        <w:rPr>
          <w:sz w:val="19"/>
        </w:rPr>
        <w:t xml:space="preserve"> volatility clustering enters only through which days fall inside the window.</w:t>
      </w:r>
    </w:p>
    <w:p w14:paraId="7F38A6F2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Constant exposure: the portfolio is treated as a constant $1,000,000 long SPY position.</w:t>
      </w:r>
    </w:p>
    <w:p w14:paraId="3B698D19" w14:textId="77777777" w:rsidR="0023770F" w:rsidRPr="009120BF" w:rsidRDefault="00000000">
      <w:pPr>
        <w:pStyle w:val="ListBullet"/>
        <w:spacing w:after="30"/>
        <w:ind w:left="288"/>
      </w:pPr>
      <w:r>
        <w:rPr>
          <w:sz w:val="19"/>
        </w:rPr>
        <w:t>Price convention: Bloomberg Last Price is unadjusted, so dividend effects are not explicitly incorporated into the return series.</w:t>
      </w:r>
    </w:p>
    <w:p w14:paraId="63F8282F" w14:textId="77777777" w:rsidR="009120BF" w:rsidRDefault="009120BF" w:rsidP="009120BF">
      <w:pPr>
        <w:pStyle w:val="ListBullet"/>
        <w:numPr>
          <w:ilvl w:val="0"/>
          <w:numId w:val="0"/>
        </w:numPr>
        <w:spacing w:after="30"/>
        <w:ind w:left="288"/>
      </w:pPr>
    </w:p>
    <w:p w14:paraId="5B56C33C" w14:textId="77777777" w:rsidR="0023770F" w:rsidRDefault="00000000">
      <w:pPr>
        <w:pStyle w:val="Heading1"/>
      </w:pPr>
      <w: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23770F" w14:paraId="6106C00B" w14:textId="77777777" w:rsidTr="009120BF">
        <w:trPr>
          <w:jc w:val="center"/>
        </w:trPr>
        <w:tc>
          <w:tcPr>
            <w:tcW w:w="3452" w:type="dxa"/>
            <w:shd w:val="clear" w:color="auto" w:fill="D9EAD3"/>
          </w:tcPr>
          <w:p w14:paraId="2A8CB5C1" w14:textId="77777777" w:rsidR="0023770F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3453" w:type="dxa"/>
            <w:shd w:val="clear" w:color="auto" w:fill="E7E6E6"/>
          </w:tcPr>
          <w:p w14:paraId="73258899" w14:textId="77777777" w:rsidR="0023770F" w:rsidRDefault="00000000">
            <w:r>
              <w:rPr>
                <w:b/>
                <w:sz w:val="18"/>
              </w:rPr>
              <w:t>Value</w:t>
            </w:r>
          </w:p>
        </w:tc>
        <w:tc>
          <w:tcPr>
            <w:tcW w:w="3453" w:type="dxa"/>
            <w:shd w:val="clear" w:color="auto" w:fill="E7E6E6"/>
          </w:tcPr>
          <w:p w14:paraId="01F64D79" w14:textId="77777777" w:rsidR="0023770F" w:rsidRDefault="00000000">
            <w:r>
              <w:rPr>
                <w:b/>
                <w:sz w:val="18"/>
              </w:rPr>
              <w:t>Rationale</w:t>
            </w:r>
          </w:p>
        </w:tc>
      </w:tr>
      <w:tr w:rsidR="0023770F" w14:paraId="4720F5E8" w14:textId="77777777" w:rsidTr="009120BF">
        <w:trPr>
          <w:jc w:val="center"/>
        </w:trPr>
        <w:tc>
          <w:tcPr>
            <w:tcW w:w="345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0262D4" w14:textId="77777777" w:rsidR="0023770F" w:rsidRDefault="00000000">
            <w:r>
              <w:rPr>
                <w:sz w:val="17"/>
              </w:rPr>
              <w:t>Portfolio value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964107" w14:textId="77777777" w:rsidR="0023770F" w:rsidRDefault="00000000">
            <w:r>
              <w:rPr>
                <w:sz w:val="17"/>
              </w:rPr>
              <w:t>$1,000,000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494D22" w14:textId="77777777" w:rsidR="0023770F" w:rsidRDefault="00000000">
            <w:r>
              <w:rPr>
                <w:sz w:val="17"/>
              </w:rPr>
              <w:t>Project specification</w:t>
            </w:r>
          </w:p>
        </w:tc>
      </w:tr>
      <w:tr w:rsidR="0023770F" w14:paraId="41E5F6E0" w14:textId="77777777" w:rsidTr="009120BF">
        <w:trPr>
          <w:jc w:val="center"/>
        </w:trPr>
        <w:tc>
          <w:tcPr>
            <w:tcW w:w="345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869621" w14:textId="77777777" w:rsidR="0023770F" w:rsidRDefault="00000000">
            <w:r>
              <w:rPr>
                <w:sz w:val="17"/>
              </w:rPr>
              <w:t>Confidence level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3A4975" w14:textId="77777777" w:rsidR="0023770F" w:rsidRDefault="00000000">
            <w:r>
              <w:rPr>
                <w:sz w:val="17"/>
              </w:rPr>
              <w:t>99%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20BC55" w14:textId="77777777" w:rsidR="0023770F" w:rsidRDefault="00000000">
            <w:r>
              <w:rPr>
                <w:sz w:val="17"/>
              </w:rPr>
              <w:t>Project specification</w:t>
            </w:r>
          </w:p>
        </w:tc>
      </w:tr>
      <w:tr w:rsidR="0023770F" w14:paraId="553CBD40" w14:textId="77777777" w:rsidTr="009120BF">
        <w:trPr>
          <w:jc w:val="center"/>
        </w:trPr>
        <w:tc>
          <w:tcPr>
            <w:tcW w:w="345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3CBBBA" w14:textId="77777777" w:rsidR="0023770F" w:rsidRDefault="00000000">
            <w:r>
              <w:rPr>
                <w:sz w:val="17"/>
              </w:rPr>
              <w:t>Forecast horizon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FAABEE" w14:textId="77777777" w:rsidR="0023770F" w:rsidRDefault="00000000">
            <w:r>
              <w:rPr>
                <w:sz w:val="17"/>
              </w:rPr>
              <w:t>1 trading day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A2AFBD" w14:textId="77777777" w:rsidR="0023770F" w:rsidRDefault="00000000">
            <w:r>
              <w:rPr>
                <w:sz w:val="17"/>
              </w:rPr>
              <w:t>Project specification</w:t>
            </w:r>
          </w:p>
        </w:tc>
      </w:tr>
      <w:tr w:rsidR="0023770F" w14:paraId="111FE922" w14:textId="77777777" w:rsidTr="009120BF">
        <w:trPr>
          <w:jc w:val="center"/>
        </w:trPr>
        <w:tc>
          <w:tcPr>
            <w:tcW w:w="345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35270E" w14:textId="77777777" w:rsidR="0023770F" w:rsidRDefault="00000000">
            <w:r>
              <w:rPr>
                <w:sz w:val="17"/>
              </w:rPr>
              <w:t>Estimation window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27FFA8" w14:textId="77777777" w:rsidR="0023770F" w:rsidRDefault="00000000">
            <w:r>
              <w:rPr>
                <w:sz w:val="17"/>
              </w:rPr>
              <w:t>250 trading days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879304" w14:textId="77777777" w:rsidR="0023770F" w:rsidRDefault="00000000">
            <w:r>
              <w:rPr>
                <w:sz w:val="17"/>
              </w:rPr>
              <w:t>Common baseline</w:t>
            </w:r>
          </w:p>
        </w:tc>
      </w:tr>
      <w:tr w:rsidR="0023770F" w14:paraId="7170C04C" w14:textId="77777777" w:rsidTr="009120BF">
        <w:trPr>
          <w:jc w:val="center"/>
        </w:trPr>
        <w:tc>
          <w:tcPr>
            <w:tcW w:w="345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3F9FA9" w14:textId="74AE169E" w:rsidR="0023770F" w:rsidRDefault="009120BF">
            <w:r w:rsidRPr="009120BF">
              <w:rPr>
                <w:sz w:val="17"/>
              </w:rPr>
              <w:t xml:space="preserve">Decay factor </w:t>
            </w:r>
            <m:oMath>
              <m:r>
                <w:rPr>
                  <w:rFonts w:ascii="Cambria Math" w:hAnsi="Cambria Math"/>
                  <w:sz w:val="17"/>
                </w:rPr>
                <m:t>(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DCBBEE" w14:textId="007954F2" w:rsidR="0023770F" w:rsidRDefault="009120BF">
            <w:r>
              <w:rPr>
                <w:sz w:val="17"/>
              </w:rPr>
              <w:t>0.97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2299BD" w14:textId="6506409A" w:rsidR="0023770F" w:rsidRDefault="009120BF">
            <w:r>
              <w:rPr>
                <w:sz w:val="17"/>
              </w:rPr>
              <w:t>BRW standard, project baseline</w:t>
            </w:r>
          </w:p>
        </w:tc>
      </w:tr>
      <w:tr w:rsidR="0023770F" w14:paraId="7DBC2612" w14:textId="77777777" w:rsidTr="009120BF">
        <w:trPr>
          <w:jc w:val="center"/>
        </w:trPr>
        <w:tc>
          <w:tcPr>
            <w:tcW w:w="345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8E1F3F" w14:textId="77777777" w:rsidR="0023770F" w:rsidRDefault="00000000">
            <w:r>
              <w:rPr>
                <w:sz w:val="17"/>
              </w:rPr>
              <w:t>Return type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515C46" w14:textId="77777777" w:rsidR="0023770F" w:rsidRDefault="00000000">
            <w:r>
              <w:rPr>
                <w:sz w:val="17"/>
              </w:rPr>
              <w:t>Simple daily return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4DBF98" w14:textId="77777777" w:rsidR="0023770F" w:rsidRDefault="00000000">
            <w:r>
              <w:rPr>
                <w:sz w:val="17"/>
              </w:rPr>
              <w:t>Common model convention</w:t>
            </w:r>
          </w:p>
        </w:tc>
      </w:tr>
      <w:tr w:rsidR="0023770F" w14:paraId="10A65391" w14:textId="77777777" w:rsidTr="009120BF">
        <w:trPr>
          <w:jc w:val="center"/>
        </w:trPr>
        <w:tc>
          <w:tcPr>
            <w:tcW w:w="345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60D8A7C" w14:textId="77777777" w:rsidR="0023770F" w:rsidRDefault="00000000">
            <w:r>
              <w:rPr>
                <w:sz w:val="17"/>
              </w:rPr>
              <w:t>First forecast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8679F5" w14:textId="77777777" w:rsidR="0023770F" w:rsidRDefault="00000000">
            <w:r>
              <w:rPr>
                <w:sz w:val="17"/>
              </w:rPr>
              <w:t>December 31, 2010</w:t>
            </w:r>
          </w:p>
        </w:tc>
        <w:tc>
          <w:tcPr>
            <w:tcW w:w="345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018DB7" w14:textId="77777777" w:rsidR="0023770F" w:rsidRDefault="00000000">
            <w:r>
              <w:rPr>
                <w:sz w:val="17"/>
              </w:rPr>
              <w:t>After 250 prior returns</w:t>
            </w:r>
          </w:p>
        </w:tc>
      </w:tr>
    </w:tbl>
    <w:p w14:paraId="57E089FD" w14:textId="77777777" w:rsidR="0023770F" w:rsidRDefault="00000000">
      <w:r>
        <w:br w:type="page"/>
      </w:r>
    </w:p>
    <w:p w14:paraId="5C1A951C" w14:textId="77777777" w:rsidR="0023770F" w:rsidRDefault="00000000">
      <w:pPr>
        <w:pStyle w:val="Heading1"/>
      </w:pPr>
      <w:r>
        <w:lastRenderedPageBreak/>
        <w:t>Rolling VaR Chart</w:t>
      </w:r>
    </w:p>
    <w:p w14:paraId="02D74A16" w14:textId="5DA5C51B" w:rsidR="0023770F" w:rsidRDefault="001B3376">
      <w:r w:rsidRPr="001B3376">
        <w:t xml:space="preserve">The rolling </w:t>
      </w:r>
      <w:proofErr w:type="spellStart"/>
      <w:r w:rsidRPr="001B3376">
        <w:t>VaR</w:t>
      </w:r>
      <w:proofErr w:type="spellEnd"/>
      <w:r w:rsidRPr="001B3376">
        <w:t xml:space="preserve"> series changes as the 250-day window of returns rolls forward</w:t>
      </w:r>
      <w:r w:rsidR="00000000">
        <w:t>. The chart below is descriptive only; formal assessment of model performance is reserved for the independent validation phase.</w:t>
      </w:r>
    </w:p>
    <w:p w14:paraId="1841EB96" w14:textId="1B35204D" w:rsidR="0023770F" w:rsidRDefault="009120BF">
      <w:pPr>
        <w:jc w:val="center"/>
      </w:pPr>
      <w:r>
        <w:rPr>
          <w:noProof/>
        </w:rPr>
        <w:drawing>
          <wp:inline distT="0" distB="0" distL="0" distR="0" wp14:anchorId="6024FB58" wp14:editId="78160AD0">
            <wp:extent cx="6583680" cy="2194560"/>
            <wp:effectExtent l="0" t="0" r="7620" b="0"/>
            <wp:docPr id="15498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3984" name="Picture 15498439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98CF" w14:textId="78E06F58" w:rsidR="0023770F" w:rsidRDefault="00000000">
      <w:pPr>
        <w:jc w:val="center"/>
        <w:rPr>
          <w:i/>
          <w:color w:val="5F5F5F"/>
          <w:sz w:val="17"/>
        </w:rPr>
      </w:pPr>
      <w:r>
        <w:rPr>
          <w:i/>
          <w:color w:val="5F5F5F"/>
          <w:sz w:val="17"/>
        </w:rPr>
        <w:t xml:space="preserve">Figure 1. </w:t>
      </w:r>
      <w:r w:rsidR="001B3376">
        <w:rPr>
          <w:i/>
          <w:color w:val="5F5F5F"/>
          <w:sz w:val="17"/>
        </w:rPr>
        <w:t>Equal-Weighted Historical Simulation</w:t>
      </w:r>
      <w:r w:rsidR="001B3376" w:rsidRPr="001B3376">
        <w:rPr>
          <w:i/>
          <w:color w:val="5F5F5F"/>
          <w:sz w:val="17"/>
        </w:rPr>
        <w:t xml:space="preserve"> 1-Day 99% </w:t>
      </w:r>
      <w:proofErr w:type="spellStart"/>
      <w:r w:rsidR="001B3376" w:rsidRPr="001B3376">
        <w:rPr>
          <w:i/>
          <w:color w:val="5F5F5F"/>
          <w:sz w:val="17"/>
        </w:rPr>
        <w:t>VaR</w:t>
      </w:r>
      <w:proofErr w:type="spellEnd"/>
      <w:r w:rsidR="001B3376" w:rsidRPr="001B3376">
        <w:rPr>
          <w:i/>
          <w:color w:val="5F5F5F"/>
          <w:sz w:val="17"/>
        </w:rPr>
        <w:t xml:space="preserve"> vs Daily P&amp;L for a $1M SPY Portfolio.</w:t>
      </w:r>
    </w:p>
    <w:p w14:paraId="319D4611" w14:textId="77777777" w:rsidR="009120BF" w:rsidRDefault="009120BF">
      <w:pPr>
        <w:jc w:val="center"/>
        <w:rPr>
          <w:i/>
          <w:color w:val="5F5F5F"/>
          <w:sz w:val="17"/>
        </w:rPr>
      </w:pPr>
    </w:p>
    <w:p w14:paraId="0970962F" w14:textId="6CC3517F" w:rsidR="009120BF" w:rsidRDefault="009120BF">
      <w:pPr>
        <w:jc w:val="center"/>
      </w:pPr>
      <w:r>
        <w:rPr>
          <w:noProof/>
        </w:rPr>
        <w:drawing>
          <wp:inline distT="0" distB="0" distL="0" distR="0" wp14:anchorId="1C1A65D5" wp14:editId="5975F658">
            <wp:extent cx="6583680" cy="2194560"/>
            <wp:effectExtent l="0" t="0" r="7620" b="0"/>
            <wp:docPr id="1313093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3269" name="Picture 13130932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9899" w14:textId="2D77027F" w:rsidR="001B3376" w:rsidRPr="001B3376" w:rsidRDefault="001B3376" w:rsidP="001B3376">
      <w:pPr>
        <w:jc w:val="center"/>
        <w:rPr>
          <w:i/>
          <w:color w:val="5F5F5F"/>
          <w:sz w:val="17"/>
        </w:rPr>
      </w:pPr>
      <w:r>
        <w:rPr>
          <w:i/>
          <w:color w:val="5F5F5F"/>
          <w:sz w:val="17"/>
        </w:rPr>
        <w:t xml:space="preserve">Figure 1. </w:t>
      </w:r>
      <w:r>
        <w:rPr>
          <w:i/>
          <w:color w:val="5F5F5F"/>
          <w:sz w:val="17"/>
        </w:rPr>
        <w:t>Age</w:t>
      </w:r>
      <w:r>
        <w:rPr>
          <w:i/>
          <w:color w:val="5F5F5F"/>
          <w:sz w:val="17"/>
        </w:rPr>
        <w:t>-Weighted Historical Simulation</w:t>
      </w:r>
      <w:r w:rsidRPr="001B3376">
        <w:rPr>
          <w:i/>
          <w:color w:val="5F5F5F"/>
          <w:sz w:val="17"/>
        </w:rPr>
        <w:t xml:space="preserve"> 1-Day 99% </w:t>
      </w:r>
      <w:proofErr w:type="spellStart"/>
      <w:r w:rsidRPr="001B3376">
        <w:rPr>
          <w:i/>
          <w:color w:val="5F5F5F"/>
          <w:sz w:val="17"/>
        </w:rPr>
        <w:t>VaR</w:t>
      </w:r>
      <w:proofErr w:type="spellEnd"/>
      <w:r w:rsidRPr="001B3376">
        <w:rPr>
          <w:i/>
          <w:color w:val="5F5F5F"/>
          <w:sz w:val="17"/>
        </w:rPr>
        <w:t xml:space="preserve"> vs Daily P&amp;L for a $1M SPY Portfolio.</w:t>
      </w:r>
    </w:p>
    <w:p w14:paraId="315F3E10" w14:textId="2CBC0444" w:rsidR="001B3376" w:rsidRDefault="001B3376" w:rsidP="001B3376">
      <w:pPr>
        <w:pStyle w:val="Heading1"/>
      </w:pPr>
      <w:r>
        <w:t>Implementation Checks</w:t>
      </w:r>
    </w:p>
    <w:p w14:paraId="023A4519" w14:textId="1FE42032" w:rsidR="001B3376" w:rsidRPr="001B3376" w:rsidRDefault="001B3376" w:rsidP="001B3376">
      <w:pPr>
        <w:pStyle w:val="ListBullet"/>
        <w:spacing w:after="30"/>
        <w:ind w:left="288"/>
      </w:pPr>
      <w:r w:rsidRPr="001B3376">
        <w:rPr>
          <w:sz w:val="19"/>
        </w:rPr>
        <w:t>No look-ahead bias</w:t>
      </w:r>
      <w:r>
        <w:t xml:space="preserve">: </w:t>
      </w:r>
      <w:r>
        <w:rPr>
          <w:sz w:val="19"/>
        </w:rPr>
        <w:t>e</w:t>
      </w:r>
      <w:r w:rsidRPr="001B3376">
        <w:rPr>
          <w:sz w:val="19"/>
        </w:rPr>
        <w:t>ach V</w:t>
      </w:r>
      <w:proofErr w:type="spellStart"/>
      <w:r w:rsidRPr="001B3376">
        <w:rPr>
          <w:sz w:val="19"/>
        </w:rPr>
        <w:t>aR</w:t>
      </w:r>
      <w:proofErr w:type="spellEnd"/>
      <w:r w:rsidRPr="001B3376">
        <w:rPr>
          <w:sz w:val="19"/>
        </w:rPr>
        <w:t xml:space="preserve"> uses only returns dated before the day being forecast; window is lagged correctly</w:t>
      </w:r>
    </w:p>
    <w:p w14:paraId="33C22882" w14:textId="52098E9F" w:rsidR="001B3376" w:rsidRDefault="001B3376" w:rsidP="001B3376">
      <w:pPr>
        <w:pStyle w:val="ListBullet"/>
        <w:spacing w:after="30"/>
        <w:ind w:left="288"/>
      </w:pPr>
      <w:r w:rsidRPr="001B3376">
        <w:t>Initialization</w:t>
      </w:r>
      <w:r>
        <w:t>: n</w:t>
      </w:r>
      <w:r w:rsidRPr="001B3376">
        <w:t xml:space="preserve">o </w:t>
      </w:r>
      <w:proofErr w:type="spellStart"/>
      <w:r w:rsidRPr="001B3376">
        <w:t>VaR</w:t>
      </w:r>
      <w:proofErr w:type="spellEnd"/>
      <w:r w:rsidRPr="001B3376">
        <w:t xml:space="preserve"> before the first full 250-day window</w:t>
      </w:r>
      <w:r>
        <w:t xml:space="preserve"> (</w:t>
      </w:r>
      <w:r w:rsidRPr="001B3376">
        <w:t>December 31, 2010</w:t>
      </w:r>
      <w:r>
        <w:t>)</w:t>
      </w:r>
      <w:r w:rsidRPr="001B3376">
        <w:t xml:space="preserve">; early rows are </w:t>
      </w:r>
      <w:proofErr w:type="spellStart"/>
      <w:r w:rsidRPr="001B3376">
        <w:t>NaN</w:t>
      </w:r>
      <w:proofErr w:type="spellEnd"/>
      <w:r w:rsidRPr="001B3376">
        <w:t>, not filled</w:t>
      </w:r>
    </w:p>
    <w:p w14:paraId="19CC84EB" w14:textId="2D27F707" w:rsidR="001B3376" w:rsidRPr="001B3376" w:rsidRDefault="001B3376" w:rsidP="001B3376">
      <w:pPr>
        <w:pStyle w:val="ListBullet"/>
        <w:spacing w:after="30"/>
        <w:ind w:left="288"/>
      </w:pPr>
      <w:r>
        <w:t>Output</w:t>
      </w:r>
      <w:r>
        <w:t xml:space="preserve">: </w:t>
      </w:r>
      <w:r>
        <w:t xml:space="preserve">P&amp;L is scaled correctly, </w:t>
      </w:r>
      <w:proofErr w:type="spellStart"/>
      <w:r>
        <w:t>VaR</w:t>
      </w:r>
      <w:proofErr w:type="spellEnd"/>
      <w:r>
        <w:t xml:space="preserve"> is reported as a positive loss</w:t>
      </w:r>
    </w:p>
    <w:p w14:paraId="0F417E28" w14:textId="4CAD51EB" w:rsidR="001B3376" w:rsidRPr="001B3376" w:rsidRDefault="001B3376" w:rsidP="001B3376">
      <w:pPr>
        <w:pStyle w:val="ListBullet"/>
        <w:spacing w:after="30"/>
        <w:ind w:left="288"/>
      </w:pPr>
      <w:r w:rsidRPr="001B3376">
        <w:rPr>
          <w:sz w:val="19"/>
        </w:rPr>
        <w:t>Reproducibility</w:t>
      </w:r>
      <w:r>
        <w:rPr>
          <w:sz w:val="19"/>
        </w:rPr>
        <w:t>: r</w:t>
      </w:r>
      <w:r w:rsidRPr="001B3376">
        <w:rPr>
          <w:sz w:val="19"/>
        </w:rPr>
        <w:t>e-running notebooks/0</w:t>
      </w:r>
      <w:r>
        <w:rPr>
          <w:sz w:val="19"/>
        </w:rPr>
        <w:t>1</w:t>
      </w:r>
      <w:r w:rsidRPr="001B3376">
        <w:rPr>
          <w:sz w:val="19"/>
        </w:rPr>
        <w:t>_</w:t>
      </w:r>
      <w:r>
        <w:rPr>
          <w:sz w:val="19"/>
        </w:rPr>
        <w:t>historical</w:t>
      </w:r>
      <w:r w:rsidRPr="001B3376">
        <w:rPr>
          <w:sz w:val="19"/>
        </w:rPr>
        <w:t>_var/</w:t>
      </w:r>
      <w:r>
        <w:rPr>
          <w:sz w:val="19"/>
        </w:rPr>
        <w:t>historical</w:t>
      </w:r>
      <w:r w:rsidRPr="001B3376">
        <w:rPr>
          <w:sz w:val="19"/>
        </w:rPr>
        <w:t>_var.py on the same input produces identical output</w:t>
      </w:r>
    </w:p>
    <w:p w14:paraId="3CAE1A56" w14:textId="49A7989B" w:rsidR="0023770F" w:rsidRDefault="00000000">
      <w:pPr>
        <w:pStyle w:val="Heading1"/>
      </w:pPr>
      <w:r>
        <w:t>Known Limitations</w:t>
      </w:r>
    </w:p>
    <w:p w14:paraId="2D1758F6" w14:textId="63B70584" w:rsidR="001B3376" w:rsidRPr="001B3376" w:rsidRDefault="001B3376" w:rsidP="001B3376">
      <w:pPr>
        <w:pStyle w:val="ListBullet"/>
        <w:ind w:left="288"/>
      </w:pPr>
      <w:r w:rsidRPr="001B3376">
        <w:t>The 99% estimate is determined by only the two or three worst returns in a 250-day window, so it is sensitive to individual observations.</w:t>
      </w:r>
    </w:p>
    <w:p w14:paraId="581738EA" w14:textId="4F5FE66A" w:rsidR="0023770F" w:rsidRPr="001B3376" w:rsidRDefault="00000000">
      <w:pPr>
        <w:pStyle w:val="ListBullet"/>
        <w:spacing w:after="30"/>
        <w:ind w:left="288"/>
      </w:pPr>
      <w:r>
        <w:rPr>
          <w:sz w:val="19"/>
        </w:rPr>
        <w:t>A 250-day equally weighted window can respond gradually to sudden changes in volatility and can change abruptly when extreme observations roll out of the window.</w:t>
      </w:r>
    </w:p>
    <w:p w14:paraId="5782FA95" w14:textId="3D570B79" w:rsidR="001B3376" w:rsidRDefault="001B3376" w:rsidP="001B3376">
      <w:pPr>
        <w:pStyle w:val="ListBullet"/>
        <w:ind w:left="288"/>
      </w:pPr>
      <w:r w:rsidRPr="001B3376">
        <w:t>The model cannot produce a loss larger than the worst return in the window; a calm window can omit severe but plausible events.</w:t>
      </w:r>
    </w:p>
    <w:p w14:paraId="0DEF47CC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The use of unadjusted SPY Last Price means dividends are not explicitly reflected in the return series.</w:t>
      </w:r>
    </w:p>
    <w:p w14:paraId="2FA207F8" w14:textId="77777777" w:rsidR="0023770F" w:rsidRDefault="00000000">
      <w:pPr>
        <w:pStyle w:val="ListBullet"/>
        <w:spacing w:after="30"/>
        <w:ind w:left="288"/>
      </w:pPr>
      <w:proofErr w:type="spellStart"/>
      <w:r>
        <w:rPr>
          <w:sz w:val="19"/>
        </w:rPr>
        <w:t>VaR</w:t>
      </w:r>
      <w:proofErr w:type="spellEnd"/>
      <w:r>
        <w:rPr>
          <w:sz w:val="19"/>
        </w:rPr>
        <w:t xml:space="preserve"> estimates a loss threshold, not the severity of losses beyond that threshold.</w:t>
      </w:r>
    </w:p>
    <w:p w14:paraId="76188B09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Results depend on the selected 250-day lookback window and the assumption that recent historical behavior is informative for the next day.</w:t>
      </w:r>
    </w:p>
    <w:sectPr w:rsidR="0023770F" w:rsidSect="00034616">
      <w:headerReference w:type="default" r:id="rId10"/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B728" w14:textId="77777777" w:rsidR="001F3344" w:rsidRDefault="001F3344">
      <w:pPr>
        <w:spacing w:after="0" w:line="240" w:lineRule="auto"/>
      </w:pPr>
      <w:r>
        <w:separator/>
      </w:r>
    </w:p>
  </w:endnote>
  <w:endnote w:type="continuationSeparator" w:id="0">
    <w:p w14:paraId="660D84D9" w14:textId="77777777" w:rsidR="001F3344" w:rsidRDefault="001F3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3862" w14:textId="1CA1D1AB" w:rsidR="0023770F" w:rsidRDefault="009120BF">
    <w:pPr>
      <w:pStyle w:val="Footer"/>
      <w:jc w:val="center"/>
    </w:pPr>
    <w:r>
      <w:rPr>
        <w:color w:val="5F5F5F"/>
        <w:sz w:val="16"/>
      </w:rPr>
      <w:t>Historical Simulation</w:t>
    </w:r>
    <w:r w:rsidR="00000000">
      <w:rPr>
        <w:color w:val="5F5F5F"/>
        <w:sz w:val="16"/>
      </w:rPr>
      <w:t xml:space="preserve"> </w:t>
    </w:r>
    <w:proofErr w:type="spellStart"/>
    <w:r w:rsidR="00000000">
      <w:rPr>
        <w:color w:val="5F5F5F"/>
        <w:sz w:val="16"/>
      </w:rPr>
      <w:t>VaR</w:t>
    </w:r>
    <w:proofErr w:type="spellEnd"/>
    <w:r w:rsidR="00000000">
      <w:rPr>
        <w:color w:val="5F5F5F"/>
        <w:sz w:val="16"/>
      </w:rPr>
      <w:t xml:space="preserve"> Model Development </w:t>
    </w:r>
    <w:proofErr w:type="gramStart"/>
    <w:r w:rsidR="00000000">
      <w:rPr>
        <w:color w:val="5F5F5F"/>
        <w:sz w:val="16"/>
      </w:rPr>
      <w:t>Summary  |</w:t>
    </w:r>
    <w:proofErr w:type="gramEnd"/>
    <w:r w:rsidR="00000000">
      <w:rPr>
        <w:color w:val="5F5F5F"/>
        <w:sz w:val="16"/>
      </w:rPr>
      <w:t xml:space="preserve"> 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000000"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864C" w14:textId="77777777" w:rsidR="001F3344" w:rsidRDefault="001F3344">
      <w:pPr>
        <w:spacing w:after="0" w:line="240" w:lineRule="auto"/>
      </w:pPr>
      <w:r>
        <w:separator/>
      </w:r>
    </w:p>
  </w:footnote>
  <w:footnote w:type="continuationSeparator" w:id="0">
    <w:p w14:paraId="650E9E1C" w14:textId="77777777" w:rsidR="001F3344" w:rsidRDefault="001F3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09DE" w14:textId="77777777" w:rsidR="0023770F" w:rsidRDefault="00000000">
    <w:pPr>
      <w:pStyle w:val="Header"/>
      <w:jc w:val="right"/>
    </w:pPr>
    <w:r>
      <w:rPr>
        <w:b/>
        <w:color w:val="5F5F5F"/>
        <w:sz w:val="17"/>
      </w:rPr>
      <w:t xml:space="preserve">NC STATE </w:t>
    </w:r>
    <w:proofErr w:type="gramStart"/>
    <w:r>
      <w:rPr>
        <w:b/>
        <w:color w:val="5F5F5F"/>
        <w:sz w:val="17"/>
      </w:rPr>
      <w:t>UNIVERSITY  |</w:t>
    </w:r>
    <w:proofErr w:type="gramEnd"/>
    <w:r>
      <w:rPr>
        <w:b/>
        <w:color w:val="5F5F5F"/>
        <w:sz w:val="17"/>
      </w:rPr>
      <w:t xml:space="preserve">  </w:t>
    </w:r>
    <w:proofErr w:type="spellStart"/>
    <w:r>
      <w:rPr>
        <w:b/>
        <w:color w:val="5F5F5F"/>
        <w:sz w:val="17"/>
      </w:rPr>
      <w:t>VaR</w:t>
    </w:r>
    <w:proofErr w:type="spellEnd"/>
    <w:r>
      <w:rPr>
        <w:b/>
        <w:color w:val="5F5F5F"/>
        <w:sz w:val="17"/>
      </w:rPr>
      <w:t xml:space="preserve"> MODEL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779229">
    <w:abstractNumId w:val="8"/>
  </w:num>
  <w:num w:numId="2" w16cid:durableId="268045522">
    <w:abstractNumId w:val="6"/>
  </w:num>
  <w:num w:numId="3" w16cid:durableId="1969820870">
    <w:abstractNumId w:val="5"/>
  </w:num>
  <w:num w:numId="4" w16cid:durableId="1711374223">
    <w:abstractNumId w:val="4"/>
  </w:num>
  <w:num w:numId="5" w16cid:durableId="242108405">
    <w:abstractNumId w:val="7"/>
  </w:num>
  <w:num w:numId="6" w16cid:durableId="1029448867">
    <w:abstractNumId w:val="3"/>
  </w:num>
  <w:num w:numId="7" w16cid:durableId="582300422">
    <w:abstractNumId w:val="2"/>
  </w:num>
  <w:num w:numId="8" w16cid:durableId="1153326971">
    <w:abstractNumId w:val="1"/>
  </w:num>
  <w:num w:numId="9" w16cid:durableId="189932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376"/>
    <w:rsid w:val="001F3344"/>
    <w:rsid w:val="0023770F"/>
    <w:rsid w:val="0029639D"/>
    <w:rsid w:val="00326F90"/>
    <w:rsid w:val="00497E39"/>
    <w:rsid w:val="006B6E6C"/>
    <w:rsid w:val="00704FF9"/>
    <w:rsid w:val="008B00A6"/>
    <w:rsid w:val="009120BF"/>
    <w:rsid w:val="00AA1D8D"/>
    <w:rsid w:val="00AA5BF5"/>
    <w:rsid w:val="00B47730"/>
    <w:rsid w:val="00CB0664"/>
    <w:rsid w:val="00FB1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BB084"/>
  <w14:defaultImageDpi w14:val="300"/>
  <w15:docId w15:val="{859C44D2-2056-44E8-BFBE-4F12F4C3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CC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497E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Cassie Meichi Wan</cp:lastModifiedBy>
  <cp:revision>2</cp:revision>
  <dcterms:created xsi:type="dcterms:W3CDTF">2026-10-11T22:54:00Z</dcterms:created>
  <dcterms:modified xsi:type="dcterms:W3CDTF">2026-10-11T22:54:00Z</dcterms:modified>
  <cp:category/>
</cp:coreProperties>
</file>