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9801" w14:textId="77777777" w:rsidR="0023770F" w:rsidRDefault="00000000">
      <w:pPr>
        <w:pStyle w:val="Title"/>
      </w:pPr>
      <w:r>
        <w:t>Parametric VaR Model Development Summary</w:t>
      </w:r>
    </w:p>
    <w:p w14:paraId="6AC417D5" w14:textId="77777777" w:rsidR="0023770F" w:rsidRDefault="00000000">
      <w:pPr>
        <w:spacing w:after="140"/>
      </w:pPr>
      <w:r>
        <w:rPr>
          <w:b/>
          <w:color w:val="5F5F5F"/>
          <w:sz w:val="22"/>
        </w:rPr>
        <w:t>Baseline Development Version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024"/>
        <w:gridCol w:w="1224"/>
        <w:gridCol w:w="3384"/>
      </w:tblGrid>
      <w:tr w:rsidR="0023770F" w14:paraId="7757AF73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32C6D" w14:textId="77777777" w:rsidR="0023770F" w:rsidRDefault="00000000">
            <w:r>
              <w:rPr>
                <w:b/>
                <w:color w:val="282828"/>
                <w:sz w:val="18"/>
              </w:rPr>
              <w:t>Model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C60EF" w14:textId="77777777" w:rsidR="0023770F" w:rsidRDefault="00000000">
            <w:r>
              <w:rPr>
                <w:sz w:val="18"/>
              </w:rPr>
              <w:t>Parametric (Normal) VaR</w:t>
            </w:r>
          </w:p>
        </w:tc>
        <w:tc>
          <w:tcPr>
            <w:tcW w:w="122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F9D18" w14:textId="77777777" w:rsidR="0023770F" w:rsidRDefault="00000000">
            <w:r>
              <w:rPr>
                <w:b/>
                <w:color w:val="282828"/>
                <w:sz w:val="18"/>
              </w:rPr>
              <w:t>Developer</w:t>
            </w:r>
          </w:p>
        </w:tc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A8D9E" w14:textId="77777777" w:rsidR="0023770F" w:rsidRDefault="00000000">
            <w:r>
              <w:rPr>
                <w:sz w:val="18"/>
              </w:rPr>
              <w:t>Thomas Flaim</w:t>
            </w:r>
          </w:p>
        </w:tc>
      </w:tr>
      <w:tr w:rsidR="0023770F" w14:paraId="0CA3189B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2D2CC" w14:textId="77777777" w:rsidR="0023770F" w:rsidRDefault="00000000">
            <w:r>
              <w:rPr>
                <w:b/>
                <w:color w:val="282828"/>
                <w:sz w:val="18"/>
              </w:rPr>
              <w:t>Version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DDE68" w14:textId="77777777" w:rsidR="0023770F" w:rsidRDefault="00000000">
            <w:r>
              <w:rPr>
                <w:sz w:val="18"/>
              </w:rPr>
              <w:t>1.0</w:t>
            </w:r>
          </w:p>
        </w:tc>
        <w:tc>
          <w:tcPr>
            <w:tcW w:w="122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A3731" w14:textId="77777777" w:rsidR="0023770F" w:rsidRDefault="00000000">
            <w:r>
              <w:rPr>
                <w:b/>
                <w:color w:val="282828"/>
                <w:sz w:val="18"/>
              </w:rPr>
              <w:t>Date</w:t>
            </w:r>
          </w:p>
        </w:tc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40C92" w14:textId="77777777" w:rsidR="0023770F" w:rsidRDefault="00000000">
            <w:r>
              <w:rPr>
                <w:sz w:val="18"/>
              </w:rPr>
              <w:t>October 2, 2026</w:t>
            </w:r>
          </w:p>
        </w:tc>
      </w:tr>
    </w:tbl>
    <w:p w14:paraId="67F3A46F" w14:textId="77777777" w:rsidR="0023770F" w:rsidRDefault="00000000">
      <w:pPr>
        <w:pStyle w:val="Heading1"/>
      </w:pPr>
      <w:r>
        <w:t>Methodology</w:t>
      </w:r>
    </w:p>
    <w:p w14:paraId="08F82406" w14:textId="77777777" w:rsidR="0023770F" w:rsidRDefault="00000000">
      <w:r>
        <w:t>The model estimates the 1-day 99% Value-at-Risk (VaR) of a hypothetical $1,000,000 long position in SPY. Daily simple returns are calculated from Bloomberg Last Price observations. For each forecast date, the model uses the prior 250 trading-day returns to estimate the rolling mean return (μₜ) and standard deviation (σₜ), assumes a Normal return distribution, and converts the resulting 99% loss threshold into dollars.</w:t>
      </w:r>
    </w:p>
    <w:p w14:paraId="328AAAA9" w14:textId="77777777" w:rsidR="0023770F" w:rsidRDefault="00000000">
      <w:pPr>
        <w:jc w:val="center"/>
      </w:pPr>
      <w:r>
        <w:rPr>
          <w:noProof/>
        </w:rPr>
        <w:drawing>
          <wp:inline distT="0" distB="0" distL="0" distR="0" wp14:anchorId="269ABF39" wp14:editId="19A6B75D">
            <wp:extent cx="2194560" cy="268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urn_formul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6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DCE1" w14:textId="77777777" w:rsidR="0023770F" w:rsidRDefault="00000000">
      <w:pPr>
        <w:spacing w:after="40"/>
      </w:pPr>
      <w:r>
        <w:rPr>
          <w:b/>
        </w:rPr>
        <w:t>Parametric VaR is calculated as:</w:t>
      </w:r>
    </w:p>
    <w:p w14:paraId="04436228" w14:textId="77777777" w:rsidR="0023770F" w:rsidRDefault="00000000">
      <w:pPr>
        <w:jc w:val="center"/>
      </w:pPr>
      <w:r>
        <w:rPr>
          <w:noProof/>
        </w:rPr>
        <w:drawing>
          <wp:inline distT="0" distB="0" distL="0" distR="0" wp14:anchorId="2BD53378" wp14:editId="2D243D6A">
            <wp:extent cx="3154680" cy="3634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_formu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6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57C6" w14:textId="77777777" w:rsidR="0023770F" w:rsidRDefault="00000000">
      <w:r>
        <w:t>where V = $1,000,000, z₀.₉₉ ≈ 2.326, μₜ is the rolling 250-day mean return, and σₜ is the rolling 250-day standard deviation. The rolling estimates are shifted by one trading day so the forecast for day t uses only information available through day t−1.</w:t>
      </w:r>
    </w:p>
    <w:p w14:paraId="6F490617" w14:textId="77777777" w:rsidR="0023770F" w:rsidRDefault="00000000">
      <w:pPr>
        <w:pStyle w:val="Heading1"/>
      </w:pPr>
      <w:r>
        <w:t>Key Assumptions</w:t>
      </w:r>
    </w:p>
    <w:p w14:paraId="5F7BA547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Normality: daily SPY returns are modeled as Normally distributed; this determines the 99% quantile used in the VaR calculation.</w:t>
      </w:r>
    </w:p>
    <w:p w14:paraId="258077A0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Historical relevance: the previous 250 trading days are treated as informative for the next trading day's risk.</w:t>
      </w:r>
    </w:p>
    <w:p w14:paraId="4C79FF01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Equal weighting: every observation in the 250-day estimation window receives the same weight.</w:t>
      </w:r>
    </w:p>
    <w:p w14:paraId="7F38A6F2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Constant exposure: the portfolio is treated as a constant $1,000,000 long SPY position.</w:t>
      </w:r>
    </w:p>
    <w:p w14:paraId="3B698D19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Price convention: Bloomberg Last Price is unadjusted, so dividend effects are not explicitly incorporated into the return series.</w:t>
      </w:r>
    </w:p>
    <w:p w14:paraId="5B56C33C" w14:textId="77777777" w:rsidR="0023770F" w:rsidRDefault="00000000">
      <w:pPr>
        <w:pStyle w:val="Heading1"/>
      </w:pPr>
      <w:r>
        <w:t>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23770F" w14:paraId="6106C00B" w14:textId="77777777">
        <w:trPr>
          <w:jc w:val="center"/>
        </w:trPr>
        <w:tc>
          <w:tcPr>
            <w:tcW w:w="3456" w:type="dxa"/>
            <w:shd w:val="clear" w:color="auto" w:fill="D9EAD3"/>
          </w:tcPr>
          <w:p w14:paraId="2A8CB5C1" w14:textId="77777777" w:rsidR="0023770F" w:rsidRDefault="00000000">
            <w:r>
              <w:rPr>
                <w:b/>
                <w:sz w:val="18"/>
              </w:rPr>
              <w:t>Parameter</w:t>
            </w:r>
          </w:p>
        </w:tc>
        <w:tc>
          <w:tcPr>
            <w:tcW w:w="3456" w:type="dxa"/>
            <w:shd w:val="clear" w:color="auto" w:fill="E7E6E6"/>
          </w:tcPr>
          <w:p w14:paraId="73258899" w14:textId="77777777" w:rsidR="0023770F" w:rsidRDefault="00000000">
            <w:r>
              <w:rPr>
                <w:b/>
                <w:sz w:val="18"/>
              </w:rPr>
              <w:t>Value</w:t>
            </w:r>
          </w:p>
        </w:tc>
        <w:tc>
          <w:tcPr>
            <w:tcW w:w="3456" w:type="dxa"/>
            <w:shd w:val="clear" w:color="auto" w:fill="E7E6E6"/>
          </w:tcPr>
          <w:p w14:paraId="01F64D79" w14:textId="77777777" w:rsidR="0023770F" w:rsidRDefault="00000000">
            <w:r>
              <w:rPr>
                <w:b/>
                <w:sz w:val="18"/>
              </w:rPr>
              <w:t>Rationale</w:t>
            </w:r>
          </w:p>
        </w:tc>
      </w:tr>
      <w:tr w:rsidR="0023770F" w14:paraId="4720F5E8" w14:textId="77777777">
        <w:trPr>
          <w:jc w:val="center"/>
        </w:trPr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B0262D4" w14:textId="77777777" w:rsidR="0023770F" w:rsidRDefault="00000000">
            <w:r>
              <w:rPr>
                <w:sz w:val="17"/>
              </w:rPr>
              <w:t>Portfolio value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5964107" w14:textId="77777777" w:rsidR="0023770F" w:rsidRDefault="00000000">
            <w:r>
              <w:rPr>
                <w:sz w:val="17"/>
              </w:rPr>
              <w:t>$1,000,000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494D22" w14:textId="77777777" w:rsidR="0023770F" w:rsidRDefault="00000000">
            <w:r>
              <w:rPr>
                <w:sz w:val="17"/>
              </w:rPr>
              <w:t>Project specification</w:t>
            </w:r>
          </w:p>
        </w:tc>
      </w:tr>
      <w:tr w:rsidR="0023770F" w14:paraId="41E5F6E0" w14:textId="77777777">
        <w:trPr>
          <w:jc w:val="center"/>
        </w:trPr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6869621" w14:textId="77777777" w:rsidR="0023770F" w:rsidRDefault="00000000">
            <w:r>
              <w:rPr>
                <w:sz w:val="17"/>
              </w:rPr>
              <w:t>Confidence level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3A4975" w14:textId="77777777" w:rsidR="0023770F" w:rsidRDefault="00000000">
            <w:r>
              <w:rPr>
                <w:sz w:val="17"/>
              </w:rPr>
              <w:t>99%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20BC55" w14:textId="77777777" w:rsidR="0023770F" w:rsidRDefault="00000000">
            <w:r>
              <w:rPr>
                <w:sz w:val="17"/>
              </w:rPr>
              <w:t>Project specification</w:t>
            </w:r>
          </w:p>
        </w:tc>
      </w:tr>
      <w:tr w:rsidR="0023770F" w14:paraId="553CBD40" w14:textId="77777777">
        <w:trPr>
          <w:jc w:val="center"/>
        </w:trPr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3CBBBA" w14:textId="77777777" w:rsidR="0023770F" w:rsidRDefault="00000000">
            <w:r>
              <w:rPr>
                <w:sz w:val="17"/>
              </w:rPr>
              <w:t>Forecast horizon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FAABEE" w14:textId="77777777" w:rsidR="0023770F" w:rsidRDefault="00000000">
            <w:r>
              <w:rPr>
                <w:sz w:val="17"/>
              </w:rPr>
              <w:t>1 trading day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A2AFBD" w14:textId="77777777" w:rsidR="0023770F" w:rsidRDefault="00000000">
            <w:r>
              <w:rPr>
                <w:sz w:val="17"/>
              </w:rPr>
              <w:t>Project specification</w:t>
            </w:r>
          </w:p>
        </w:tc>
      </w:tr>
      <w:tr w:rsidR="0023770F" w14:paraId="111FE922" w14:textId="77777777">
        <w:trPr>
          <w:jc w:val="center"/>
        </w:trPr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35270E" w14:textId="77777777" w:rsidR="0023770F" w:rsidRDefault="00000000">
            <w:r>
              <w:rPr>
                <w:sz w:val="17"/>
              </w:rPr>
              <w:t>Estimation window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27FFA8" w14:textId="77777777" w:rsidR="0023770F" w:rsidRDefault="00000000">
            <w:r>
              <w:rPr>
                <w:sz w:val="17"/>
              </w:rPr>
              <w:t>250 trading days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879304" w14:textId="77777777" w:rsidR="0023770F" w:rsidRDefault="00000000">
            <w:r>
              <w:rPr>
                <w:sz w:val="17"/>
              </w:rPr>
              <w:t>Common baseline</w:t>
            </w:r>
          </w:p>
        </w:tc>
      </w:tr>
      <w:tr w:rsidR="0023770F" w14:paraId="03704625" w14:textId="77777777">
        <w:trPr>
          <w:jc w:val="center"/>
        </w:trPr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3F6751" w14:textId="77777777" w:rsidR="0023770F" w:rsidRDefault="00000000">
            <w:r>
              <w:rPr>
                <w:sz w:val="17"/>
              </w:rPr>
              <w:t>Distribution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6B371C" w14:textId="77777777" w:rsidR="0023770F" w:rsidRDefault="00000000">
            <w:r>
              <w:rPr>
                <w:sz w:val="17"/>
              </w:rPr>
              <w:t>Normal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2E1F37" w14:textId="77777777" w:rsidR="0023770F" w:rsidRDefault="00000000">
            <w:r>
              <w:rPr>
                <w:sz w:val="17"/>
              </w:rPr>
              <w:t>Parametric model specification</w:t>
            </w:r>
          </w:p>
        </w:tc>
      </w:tr>
      <w:tr w:rsidR="0023770F" w14:paraId="7170C04C" w14:textId="77777777">
        <w:trPr>
          <w:jc w:val="center"/>
        </w:trPr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53F9FA9" w14:textId="77777777" w:rsidR="0023770F" w:rsidRDefault="00000000">
            <w:r>
              <w:rPr>
                <w:sz w:val="17"/>
              </w:rPr>
              <w:t>99% Normal quantile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DCBBEE" w14:textId="77777777" w:rsidR="0023770F" w:rsidRDefault="00000000">
            <w:r>
              <w:rPr>
                <w:sz w:val="17"/>
              </w:rPr>
              <w:t>2.326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32299BD" w14:textId="77777777" w:rsidR="0023770F" w:rsidRDefault="00000000">
            <w:r>
              <w:rPr>
                <w:sz w:val="17"/>
              </w:rPr>
              <w:t>One-sided 99% threshold</w:t>
            </w:r>
          </w:p>
        </w:tc>
      </w:tr>
      <w:tr w:rsidR="0023770F" w14:paraId="7DBC2612" w14:textId="77777777">
        <w:trPr>
          <w:jc w:val="center"/>
        </w:trPr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8E1F3F" w14:textId="77777777" w:rsidR="0023770F" w:rsidRDefault="00000000">
            <w:r>
              <w:rPr>
                <w:sz w:val="17"/>
              </w:rPr>
              <w:t>Return type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515C46" w14:textId="77777777" w:rsidR="0023770F" w:rsidRDefault="00000000">
            <w:r>
              <w:rPr>
                <w:sz w:val="17"/>
              </w:rPr>
              <w:t>Simple daily return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4DBF98" w14:textId="77777777" w:rsidR="0023770F" w:rsidRDefault="00000000">
            <w:r>
              <w:rPr>
                <w:sz w:val="17"/>
              </w:rPr>
              <w:t>Common model convention</w:t>
            </w:r>
          </w:p>
        </w:tc>
      </w:tr>
      <w:tr w:rsidR="0023770F" w14:paraId="10A65391" w14:textId="77777777">
        <w:trPr>
          <w:jc w:val="center"/>
        </w:trPr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60D8A7C" w14:textId="77777777" w:rsidR="0023770F" w:rsidRDefault="00000000">
            <w:r>
              <w:rPr>
                <w:sz w:val="17"/>
              </w:rPr>
              <w:t>First forecast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8679F5" w14:textId="77777777" w:rsidR="0023770F" w:rsidRDefault="00000000">
            <w:r>
              <w:rPr>
                <w:sz w:val="17"/>
              </w:rPr>
              <w:t>December 31, 2010</w:t>
            </w:r>
          </w:p>
        </w:tc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018DB7" w14:textId="77777777" w:rsidR="0023770F" w:rsidRDefault="00000000">
            <w:r>
              <w:rPr>
                <w:sz w:val="17"/>
              </w:rPr>
              <w:t>After 250 prior returns</w:t>
            </w:r>
          </w:p>
        </w:tc>
      </w:tr>
    </w:tbl>
    <w:p w14:paraId="57E089FD" w14:textId="77777777" w:rsidR="0023770F" w:rsidRDefault="00000000">
      <w:r>
        <w:br w:type="page"/>
      </w:r>
    </w:p>
    <w:p w14:paraId="5C1A951C" w14:textId="77777777" w:rsidR="0023770F" w:rsidRDefault="00000000">
      <w:pPr>
        <w:pStyle w:val="Heading1"/>
      </w:pPr>
      <w:r>
        <w:lastRenderedPageBreak/>
        <w:t>Rolling VaR Chart</w:t>
      </w:r>
    </w:p>
    <w:p w14:paraId="02D74A16" w14:textId="77777777" w:rsidR="0023770F" w:rsidRDefault="00000000">
      <w:r>
        <w:t>The rolling VaR series changes as the 250-day estimates of mean and volatility change. The chart below is descriptive only; formal assessment of model performance is reserved for the independent validation phase.</w:t>
      </w:r>
    </w:p>
    <w:p w14:paraId="1841EB96" w14:textId="77777777" w:rsidR="0023770F" w:rsidRDefault="00000000">
      <w:pPr>
        <w:jc w:val="center"/>
      </w:pPr>
      <w:r>
        <w:rPr>
          <w:noProof/>
        </w:rPr>
        <w:drawing>
          <wp:inline distT="0" distB="0" distL="0" distR="0" wp14:anchorId="6254D589" wp14:editId="6B90D44A">
            <wp:extent cx="6492240" cy="32058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etric_var_chart_cropped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98CF" w14:textId="77777777" w:rsidR="0023770F" w:rsidRDefault="00000000">
      <w:pPr>
        <w:jc w:val="center"/>
      </w:pPr>
      <w:r>
        <w:rPr>
          <w:i/>
          <w:color w:val="5F5F5F"/>
          <w:sz w:val="17"/>
        </w:rPr>
        <w:t>Figure 1. 1-Day 99% Parametric VaR for a $1M SPY Portfolio.</w:t>
      </w:r>
    </w:p>
    <w:p w14:paraId="3CAE1A56" w14:textId="77777777" w:rsidR="0023770F" w:rsidRDefault="00000000">
      <w:pPr>
        <w:pStyle w:val="Heading1"/>
      </w:pPr>
      <w:r>
        <w:t>Known Limitations</w:t>
      </w:r>
    </w:p>
    <w:p w14:paraId="7E35269C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The Normal distribution may underrepresent fat tails, skewness, and extreme market moves.</w:t>
      </w:r>
    </w:p>
    <w:p w14:paraId="581738EA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A 250-day equally weighted window can respond gradually to sudden changes in volatility and can change abruptly when extreme observations roll out of the window.</w:t>
      </w:r>
    </w:p>
    <w:p w14:paraId="0DEF47CC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The use of unadjusted SPY Last Price means dividends are not explicitly reflected in the return series.</w:t>
      </w:r>
    </w:p>
    <w:p w14:paraId="2FA207F8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VaR estimates a loss threshold, not the severity of losses beyond that threshold.</w:t>
      </w:r>
    </w:p>
    <w:p w14:paraId="76188B09" w14:textId="77777777" w:rsidR="0023770F" w:rsidRDefault="00000000">
      <w:pPr>
        <w:pStyle w:val="ListBullet"/>
        <w:spacing w:after="30"/>
        <w:ind w:left="288"/>
      </w:pPr>
      <w:r>
        <w:rPr>
          <w:sz w:val="19"/>
        </w:rPr>
        <w:t>Results depend on the selected 250-day lookback window and the assumption that recent historical behavior is informative for the next day.</w:t>
      </w:r>
    </w:p>
    <w:sectPr w:rsidR="0023770F" w:rsidSect="00034616">
      <w:headerReference w:type="default" r:id="rId11"/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D6006" w14:textId="77777777" w:rsidR="008B00A6" w:rsidRDefault="008B00A6">
      <w:pPr>
        <w:spacing w:after="0" w:line="240" w:lineRule="auto"/>
      </w:pPr>
      <w:r>
        <w:separator/>
      </w:r>
    </w:p>
  </w:endnote>
  <w:endnote w:type="continuationSeparator" w:id="0">
    <w:p w14:paraId="77690A85" w14:textId="77777777" w:rsidR="008B00A6" w:rsidRDefault="008B0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23862" w14:textId="77777777" w:rsidR="0023770F" w:rsidRDefault="00000000">
    <w:pPr>
      <w:pStyle w:val="Footer"/>
      <w:jc w:val="center"/>
    </w:pPr>
    <w:r>
      <w:rPr>
        <w:color w:val="5F5F5F"/>
        <w:sz w:val="16"/>
      </w:rPr>
      <w:t xml:space="preserve">Parametric </w:t>
    </w:r>
    <w:proofErr w:type="spellStart"/>
    <w:r>
      <w:rPr>
        <w:color w:val="5F5F5F"/>
        <w:sz w:val="16"/>
      </w:rPr>
      <w:t>VaR</w:t>
    </w:r>
    <w:proofErr w:type="spellEnd"/>
    <w:r>
      <w:rPr>
        <w:color w:val="5F5F5F"/>
        <w:sz w:val="16"/>
      </w:rPr>
      <w:t xml:space="preserve"> Model Development </w:t>
    </w:r>
    <w:proofErr w:type="gramStart"/>
    <w:r>
      <w:rPr>
        <w:color w:val="5F5F5F"/>
        <w:sz w:val="16"/>
      </w:rPr>
      <w:t>Summary  |</w:t>
    </w:r>
    <w:proofErr w:type="gramEnd"/>
    <w:r>
      <w:rPr>
        <w:color w:val="5F5F5F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2D45" w14:textId="77777777" w:rsidR="008B00A6" w:rsidRDefault="008B00A6">
      <w:pPr>
        <w:spacing w:after="0" w:line="240" w:lineRule="auto"/>
      </w:pPr>
      <w:r>
        <w:separator/>
      </w:r>
    </w:p>
  </w:footnote>
  <w:footnote w:type="continuationSeparator" w:id="0">
    <w:p w14:paraId="1196CADF" w14:textId="77777777" w:rsidR="008B00A6" w:rsidRDefault="008B0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09DE" w14:textId="77777777" w:rsidR="0023770F" w:rsidRDefault="00000000">
    <w:pPr>
      <w:pStyle w:val="Header"/>
      <w:jc w:val="right"/>
    </w:pPr>
    <w:r>
      <w:rPr>
        <w:b/>
        <w:color w:val="5F5F5F"/>
        <w:sz w:val="17"/>
      </w:rPr>
      <w:t xml:space="preserve">NC STATE </w:t>
    </w:r>
    <w:proofErr w:type="gramStart"/>
    <w:r>
      <w:rPr>
        <w:b/>
        <w:color w:val="5F5F5F"/>
        <w:sz w:val="17"/>
      </w:rPr>
      <w:t>UNIVERSITY  |</w:t>
    </w:r>
    <w:proofErr w:type="gramEnd"/>
    <w:r>
      <w:rPr>
        <w:b/>
        <w:color w:val="5F5F5F"/>
        <w:sz w:val="17"/>
      </w:rPr>
      <w:t xml:space="preserve">  </w:t>
    </w:r>
    <w:proofErr w:type="spellStart"/>
    <w:r>
      <w:rPr>
        <w:b/>
        <w:color w:val="5F5F5F"/>
        <w:sz w:val="17"/>
      </w:rPr>
      <w:t>VaR</w:t>
    </w:r>
    <w:proofErr w:type="spellEnd"/>
    <w:r>
      <w:rPr>
        <w:b/>
        <w:color w:val="5F5F5F"/>
        <w:sz w:val="17"/>
      </w:rPr>
      <w:t xml:space="preserve"> MODEL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779229">
    <w:abstractNumId w:val="8"/>
  </w:num>
  <w:num w:numId="2" w16cid:durableId="268045522">
    <w:abstractNumId w:val="6"/>
  </w:num>
  <w:num w:numId="3" w16cid:durableId="1969820870">
    <w:abstractNumId w:val="5"/>
  </w:num>
  <w:num w:numId="4" w16cid:durableId="1711374223">
    <w:abstractNumId w:val="4"/>
  </w:num>
  <w:num w:numId="5" w16cid:durableId="242108405">
    <w:abstractNumId w:val="7"/>
  </w:num>
  <w:num w:numId="6" w16cid:durableId="1029448867">
    <w:abstractNumId w:val="3"/>
  </w:num>
  <w:num w:numId="7" w16cid:durableId="582300422">
    <w:abstractNumId w:val="2"/>
  </w:num>
  <w:num w:numId="8" w16cid:durableId="1153326971">
    <w:abstractNumId w:val="1"/>
  </w:num>
  <w:num w:numId="9" w16cid:durableId="189932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70F"/>
    <w:rsid w:val="0029639D"/>
    <w:rsid w:val="00326F90"/>
    <w:rsid w:val="00704FF9"/>
    <w:rsid w:val="008B00A6"/>
    <w:rsid w:val="00AA1D8D"/>
    <w:rsid w:val="00AA5B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BB084"/>
  <w14:defaultImageDpi w14:val="300"/>
  <w15:docId w15:val="{859C44D2-2056-44E8-BFBE-4F12F4C3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CC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Flaim</cp:lastModifiedBy>
  <cp:revision>2</cp:revision>
  <dcterms:created xsi:type="dcterms:W3CDTF">2026-10-02T22:56:00Z</dcterms:created>
  <dcterms:modified xsi:type="dcterms:W3CDTF">2026-10-02T22:56:00Z</dcterms:modified>
  <cp:category/>
</cp:coreProperties>
</file>