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4"/>
        </w:rPr>
        <w:t>PROJECT REPORT: AUTOMATED SOAR PLATFORM</w:t>
      </w:r>
    </w:p>
    <w:p>
      <w:pPr>
        <w:spacing w:after="320"/>
        <w:jc w:val="center"/>
      </w:pPr>
      <w:r>
        <w:rPr>
          <w:rFonts w:ascii="Arial" w:hAnsi="Arial"/>
          <w:i/>
          <w:color w:val="4A5568"/>
          <w:sz w:val="26"/>
        </w:rPr>
        <w:t>Enterprise Security Orchestration, Automation, and Incident Response System</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pPr>
              <w:spacing w:before="60" w:after="60"/>
            </w:pPr>
            <w:r>
              <w:rPr>
                <w:rFonts w:ascii="Arial" w:hAnsi="Arial"/>
                <w:b/>
                <w:color w:val="2D3748"/>
                <w:sz w:val="19"/>
              </w:rPr>
              <w:t>Project Title:</w:t>
            </w:r>
          </w:p>
        </w:tc>
        <w:tc>
          <w:tcPr>
            <w:tcW w:type="dxa" w:w="6192"/>
            <w:shd w:fill="FFFFFF"/>
            <w:tcMar>
              <w:top w:w="60" w:type="dxa"/>
              <w:bottom w:w="60" w:type="dxa"/>
              <w:left w:w="100" w:type="dxa"/>
              <w:right w:w="100" w:type="dxa"/>
            </w:tcMar>
          </w:tcPr>
          <w:p>
            <w:pPr>
              <w:spacing w:before="60" w:after="60"/>
            </w:pPr>
            <w:r>
              <w:rPr>
                <w:rFonts w:ascii="Arial" w:hAnsi="Arial"/>
                <w:color w:val="1A202C"/>
                <w:sz w:val="19"/>
              </w:rPr>
              <w:t>Automated SOAR – Autonomous Incident Response &amp; Playbook Engine</w:t>
            </w:r>
          </w:p>
        </w:tc>
      </w:tr>
      <w:tr>
        <w:tc>
          <w:tcPr>
            <w:tcW w:type="dxa" w:w="3168"/>
            <w:shd w:fill="F0F4F8"/>
            <w:tcMar>
              <w:top w:w="60" w:type="dxa"/>
              <w:bottom w:w="60" w:type="dxa"/>
              <w:left w:w="100" w:type="dxa"/>
              <w:right w:w="100" w:type="dxa"/>
            </w:tcMar>
          </w:tcPr>
          <w:p>
            <w:pPr>
              <w:spacing w:before="60" w:after="60"/>
            </w:pPr>
            <w:r>
              <w:rPr>
                <w:rFonts w:ascii="Arial" w:hAnsi="Arial"/>
                <w:b/>
                <w:color w:val="2D3748"/>
                <w:sz w:val="19"/>
              </w:rPr>
              <w:t>System Architecture:</w:t>
            </w:r>
          </w:p>
        </w:tc>
        <w:tc>
          <w:tcPr>
            <w:tcW w:type="dxa" w:w="6192"/>
            <w:shd w:fill="FFFFFF"/>
            <w:tcMar>
              <w:top w:w="60" w:type="dxa"/>
              <w:bottom w:w="60" w:type="dxa"/>
              <w:left w:w="100" w:type="dxa"/>
              <w:right w:w="100" w:type="dxa"/>
            </w:tcMar>
          </w:tcPr>
          <w:p>
            <w:pPr>
              <w:spacing w:before="60" w:after="60"/>
            </w:pPr>
            <w:r>
              <w:rPr>
                <w:rFonts w:ascii="Arial" w:hAnsi="Arial"/>
                <w:color w:val="1A202C"/>
                <w:sz w:val="19"/>
              </w:rPr>
              <w:t>Full-Stack Distributed Cyber SOC Platform (FastAPI + React 18)</w:t>
            </w:r>
          </w:p>
        </w:tc>
      </w:tr>
      <w:tr>
        <w:tc>
          <w:tcPr>
            <w:tcW w:type="dxa" w:w="3168"/>
            <w:shd w:fill="F0F4F8"/>
            <w:tcMar>
              <w:top w:w="60" w:type="dxa"/>
              <w:bottom w:w="60" w:type="dxa"/>
              <w:left w:w="100" w:type="dxa"/>
              <w:right w:w="100" w:type="dxa"/>
            </w:tcMar>
          </w:tcPr>
          <w:p>
            <w:pPr>
              <w:spacing w:before="60" w:after="60"/>
            </w:pPr>
            <w:r>
              <w:rPr>
                <w:rFonts w:ascii="Arial" w:hAnsi="Arial"/>
                <w:b/>
                <w:color w:val="2D3748"/>
                <w:sz w:val="19"/>
              </w:rPr>
              <w:t>Author / Candidate:</w:t>
            </w:r>
          </w:p>
        </w:tc>
        <w:tc>
          <w:tcPr>
            <w:tcW w:type="dxa" w:w="6192"/>
            <w:shd w:fill="FFFFFF"/>
            <w:tcMar>
              <w:top w:w="60" w:type="dxa"/>
              <w:bottom w:w="60" w:type="dxa"/>
              <w:left w:w="100" w:type="dxa"/>
              <w:right w:w="100" w:type="dxa"/>
            </w:tcMar>
          </w:tcPr>
          <w:p>
            <w:pPr>
              <w:spacing w:before="60" w:after="60"/>
            </w:pPr>
            <w:r>
              <w:rPr>
                <w:rFonts w:ascii="Arial" w:hAnsi="Arial"/>
                <w:b/>
                <w:color w:val="1A365D"/>
                <w:sz w:val="19"/>
              </w:rPr>
              <w:t>Soham Mahajan</w:t>
            </w:r>
          </w:p>
        </w:tc>
      </w:tr>
      <w:tr>
        <w:tc>
          <w:tcPr>
            <w:tcW w:type="dxa" w:w="3168"/>
            <w:shd w:fill="F0F4F8"/>
            <w:tcMar>
              <w:top w:w="60" w:type="dxa"/>
              <w:bottom w:w="60" w:type="dxa"/>
              <w:left w:w="100" w:type="dxa"/>
              <w:right w:w="100" w:type="dxa"/>
            </w:tcMar>
          </w:tcPr>
          <w:p>
            <w:pPr>
              <w:spacing w:before="60" w:after="60"/>
            </w:pPr>
            <w:r>
              <w:rPr>
                <w:rFonts w:ascii="Arial" w:hAnsi="Arial"/>
                <w:b/>
                <w:color w:val="2D3748"/>
                <w:sz w:val="19"/>
              </w:rPr>
              <w:t>Version &amp; Release:</w:t>
            </w:r>
          </w:p>
        </w:tc>
        <w:tc>
          <w:tcPr>
            <w:tcW w:type="dxa" w:w="6192"/>
            <w:shd w:fill="FFFFFF"/>
            <w:tcMar>
              <w:top w:w="60" w:type="dxa"/>
              <w:bottom w:w="60" w:type="dxa"/>
              <w:left w:w="100" w:type="dxa"/>
              <w:right w:w="100" w:type="dxa"/>
            </w:tcMar>
          </w:tcPr>
          <w:p>
            <w:pPr>
              <w:spacing w:before="60" w:after="60"/>
            </w:pPr>
            <w:r>
              <w:rPr>
                <w:rFonts w:ascii="Arial" w:hAnsi="Arial"/>
                <w:color w:val="1A202C"/>
                <w:sz w:val="19"/>
              </w:rPr>
              <w:t>1.0.0 Production Enterprise Edition</w:t>
            </w:r>
          </w:p>
        </w:tc>
      </w:tr>
      <w:tr>
        <w:tc>
          <w:tcPr>
            <w:tcW w:type="dxa" w:w="3168"/>
            <w:shd w:fill="F0F4F8"/>
            <w:tcMar>
              <w:top w:w="60" w:type="dxa"/>
              <w:bottom w:w="60" w:type="dxa"/>
              <w:left w:w="100" w:type="dxa"/>
              <w:right w:w="100" w:type="dxa"/>
            </w:tcMar>
          </w:tcPr>
          <w:p>
            <w:pPr>
              <w:spacing w:before="60" w:after="60"/>
            </w:pPr>
            <w:r>
              <w:rPr>
                <w:rFonts w:ascii="Arial" w:hAnsi="Arial"/>
                <w:b/>
                <w:color w:val="2D3748"/>
                <w:sz w:val="19"/>
              </w:rPr>
              <w:t>Date of Submission:</w:t>
            </w:r>
          </w:p>
        </w:tc>
        <w:tc>
          <w:tcPr>
            <w:tcW w:type="dxa" w:w="6192"/>
            <w:shd w:fill="FFFFFF"/>
            <w:tcMar>
              <w:top w:w="60" w:type="dxa"/>
              <w:bottom w:w="60" w:type="dxa"/>
              <w:left w:w="100" w:type="dxa"/>
              <w:right w:w="100" w:type="dxa"/>
            </w:tcMar>
          </w:tcPr>
          <w:p>
            <w:pPr>
              <w:spacing w:before="60" w:after="60"/>
            </w:pPr>
            <w:r>
              <w:rPr>
                <w:rFonts w:ascii="Arial" w:hAnsi="Arial"/>
                <w:color w:val="1A202C"/>
                <w:sz w:val="19"/>
              </w:rPr>
              <w:t>October 2026</w:t>
            </w:r>
          </w:p>
        </w:tc>
      </w:tr>
    </w:tbl>
    <w:p>
      <w:pPr>
        <w:spacing w:after="240"/>
      </w:pPr>
    </w:p>
    <w:p>
      <w:pPr>
        <w:keepNext/>
        <w:spacing w:before="360" w:after="120"/>
      </w:pPr>
      <w:r>
        <w:rPr>
          <w:rFonts w:ascii="Arial" w:hAnsi="Arial"/>
          <w:b/>
          <w:color w:val="1A365D"/>
          <w:sz w:val="28"/>
        </w:rPr>
        <w:t>1. Executive Summary &amp; Abstract</w:t>
      </w:r>
    </w:p>
    <w:p>
      <w:pPr>
        <w:spacing w:after="120" w:line="276" w:lineRule="auto"/>
      </w:pPr>
      <w:r>
        <w:rPr>
          <w:rFonts w:ascii="Calibri" w:hAnsi="Calibri"/>
          <w:color w:val="2D3748"/>
          <w:sz w:val="21"/>
        </w:rPr>
        <w:t>Modern Security Operations Centers (SOCs) face an unprecedented deluge of security alerts from disparate detection systems (EDR, SIEM, Firewalls, Identity Providers, and Network IDS). The sheer volume leads to severe analyst fatigue, high false-positive ratios, and prolonged Mean Time to Respond (MTTR)—often measured in hours or days.</w:t>
      </w:r>
    </w:p>
    <w:p>
      <w:pPr>
        <w:spacing w:after="120" w:line="276" w:lineRule="auto"/>
      </w:pPr>
      <w:r>
        <w:rPr>
          <w:rFonts w:ascii="Calibri" w:hAnsi="Calibri"/>
          <w:color w:val="2D3748"/>
          <w:sz w:val="21"/>
        </w:rPr>
        <w:t>This project delivers Automated SOAR, an enterprise-grade Security Orchestration, Automation, and Response platform designed to ingest, normalize, correlate, and autonomously respond to cyber security incidents in sub-second timeframes (&lt; 1.4 seconds), while retaining mandatory human oversight for destructive or business-critical containment actions.</w:t>
      </w:r>
    </w:p>
    <w:p>
      <w:pPr>
        <w:spacing w:after="120" w:line="276" w:lineRule="auto"/>
      </w:pPr>
      <w:r>
        <w:rPr>
          <w:rFonts w:ascii="Calibri" w:hAnsi="Calibri"/>
          <w:color w:val="2D3748"/>
          <w:sz w:val="21"/>
        </w:rPr>
        <w:t>The solution integrates a Python FastAPI asynchronous backend, a robust SQLite/PostgreSQL database with SQLAlchemy ORM, an extensible multi-stage state machine playbook engine, and a React-based SOC Command Center dashboard featuring glassmorphic cyber ergonomics and visual workflow graphs.</w:t>
      </w:r>
    </w:p>
    <w:p>
      <w:pPr>
        <w:keepNext/>
        <w:spacing w:before="360" w:after="120"/>
      </w:pPr>
      <w:r>
        <w:rPr>
          <w:rFonts w:ascii="Arial" w:hAnsi="Arial"/>
          <w:b/>
          <w:color w:val="1A365D"/>
          <w:sz w:val="28"/>
        </w:rPr>
        <w:t>2. Problem Statement &amp; Objectives</w:t>
      </w:r>
    </w:p>
    <w:p>
      <w:pPr>
        <w:keepNext/>
        <w:spacing w:before="240" w:after="80"/>
      </w:pPr>
      <w:r>
        <w:rPr>
          <w:rFonts w:ascii="Arial" w:hAnsi="Arial"/>
          <w:b/>
          <w:color w:val="2B6CB0"/>
          <w:sz w:val="23"/>
        </w:rPr>
        <w:t>2.1 The Traditional SOC Dilemma</w:t>
      </w:r>
    </w:p>
    <w:p>
      <w:pPr>
        <w:pStyle w:val="ListBullet"/>
        <w:spacing w:after="60" w:line="276" w:lineRule="auto"/>
      </w:pPr>
      <w:r>
        <w:rPr>
          <w:rFonts w:ascii="Calibri" w:hAnsi="Calibri"/>
          <w:b/>
          <w:color w:val="1A202C"/>
          <w:sz w:val="21"/>
        </w:rPr>
        <w:t xml:space="preserve">Alert Fatigue: </w:t>
      </w:r>
      <w:r>
        <w:rPr>
          <w:rFonts w:ascii="Calibri" w:hAnsi="Calibri"/>
          <w:color w:val="2D3748"/>
          <w:sz w:val="21"/>
        </w:rPr>
        <w:t>Security analysts spend up to 70% of their shifts manually triaging low-fidelity alerts.</w:t>
      </w:r>
    </w:p>
    <w:p>
      <w:pPr>
        <w:pStyle w:val="ListBullet"/>
        <w:spacing w:after="60" w:line="276" w:lineRule="auto"/>
      </w:pPr>
      <w:r>
        <w:rPr>
          <w:rFonts w:ascii="Calibri" w:hAnsi="Calibri"/>
          <w:b/>
          <w:color w:val="1A202C"/>
          <w:sz w:val="21"/>
        </w:rPr>
        <w:t xml:space="preserve">Siloed Tooling: </w:t>
      </w:r>
      <w:r>
        <w:rPr>
          <w:rFonts w:ascii="Calibri" w:hAnsi="Calibri"/>
          <w:color w:val="2D3748"/>
          <w:sz w:val="21"/>
        </w:rPr>
        <w:t>Containment requires pivoting across multiple disconnected consoles (Firewall ACLs, Active Directory, EDR endpoints, Ticketing systems).</w:t>
      </w:r>
    </w:p>
    <w:p>
      <w:pPr>
        <w:pStyle w:val="ListBullet"/>
        <w:spacing w:after="60" w:line="276" w:lineRule="auto"/>
      </w:pPr>
      <w:r>
        <w:rPr>
          <w:rFonts w:ascii="Calibri" w:hAnsi="Calibri"/>
          <w:b/>
          <w:color w:val="1A202C"/>
          <w:sz w:val="21"/>
        </w:rPr>
        <w:t xml:space="preserve">High MTTR: </w:t>
      </w:r>
      <w:r>
        <w:rPr>
          <w:rFonts w:ascii="Calibri" w:hAnsi="Calibri"/>
          <w:color w:val="2D3748"/>
          <w:sz w:val="21"/>
        </w:rPr>
        <w:t>Manual response averages 30–45 minutes per critical incident, leaving a significant window for adversary lateral movement and data exfiltration.</w:t>
      </w:r>
    </w:p>
    <w:p>
      <w:pPr>
        <w:pStyle w:val="ListBullet"/>
        <w:spacing w:after="60" w:line="276" w:lineRule="auto"/>
      </w:pPr>
      <w:r>
        <w:rPr>
          <w:rFonts w:ascii="Calibri" w:hAnsi="Calibri"/>
          <w:b/>
          <w:color w:val="1A202C"/>
          <w:sz w:val="21"/>
        </w:rPr>
        <w:t xml:space="preserve">Risk of Premature Automation: </w:t>
      </w:r>
      <w:r>
        <w:rPr>
          <w:rFonts w:ascii="Calibri" w:hAnsi="Calibri"/>
          <w:color w:val="2D3748"/>
          <w:sz w:val="21"/>
        </w:rPr>
        <w:t>Uncontrolled automation without human authorization can inadvertently disrupt critical business operations (e.g., isolating a production domain controller).</w:t>
      </w:r>
    </w:p>
    <w:p>
      <w:pPr>
        <w:keepNext/>
        <w:spacing w:before="240" w:after="80"/>
      </w:pPr>
      <w:r>
        <w:rPr>
          <w:rFonts w:ascii="Arial" w:hAnsi="Arial"/>
          <w:b/>
          <w:color w:val="2B6CB0"/>
          <w:sz w:val="23"/>
        </w:rPr>
        <w:t>2.2 Core Project Objectives</w:t>
      </w:r>
    </w:p>
    <w:p>
      <w:pPr>
        <w:pStyle w:val="ListBullet"/>
        <w:spacing w:after="60" w:line="276" w:lineRule="auto"/>
      </w:pPr>
      <w:r>
        <w:rPr>
          <w:rFonts w:ascii="Calibri" w:hAnsi="Calibri"/>
          <w:b/>
          <w:color w:val="1A202C"/>
          <w:sz w:val="21"/>
        </w:rPr>
        <w:t xml:space="preserve">1. Unified Multi-Source Ingestion: </w:t>
      </w:r>
      <w:r>
        <w:rPr>
          <w:rFonts w:ascii="Calibri" w:hAnsi="Calibri"/>
          <w:color w:val="2D3748"/>
          <w:sz w:val="21"/>
        </w:rPr>
        <w:t>Standardize telemetry from EDR, SIEM, and Cloud Identity platforms via REST APIs, CSV/JSON bulk imports, and HMAC-SHA256 authenticated webhooks.</w:t>
      </w:r>
    </w:p>
    <w:p>
      <w:pPr>
        <w:pStyle w:val="ListBullet"/>
        <w:spacing w:after="60" w:line="276" w:lineRule="auto"/>
      </w:pPr>
      <w:r>
        <w:rPr>
          <w:rFonts w:ascii="Calibri" w:hAnsi="Calibri"/>
          <w:b/>
          <w:color w:val="1A202C"/>
          <w:sz w:val="21"/>
        </w:rPr>
        <w:t xml:space="preserve">2. Dynamic Incident Triaging &amp; Risk Scoring: </w:t>
      </w:r>
      <w:r>
        <w:rPr>
          <w:rFonts w:ascii="Calibri" w:hAnsi="Calibri"/>
          <w:color w:val="2D3748"/>
          <w:sz w:val="21"/>
        </w:rPr>
        <w:t>Automatically correlate alerts into unified incident cases and compute real-time risk scores (0–100).</w:t>
      </w:r>
    </w:p>
    <w:p>
      <w:pPr>
        <w:pStyle w:val="ListBullet"/>
        <w:spacing w:after="60" w:line="276" w:lineRule="auto"/>
      </w:pPr>
      <w:r>
        <w:rPr>
          <w:rFonts w:ascii="Calibri" w:hAnsi="Calibri"/>
          <w:b/>
          <w:color w:val="1A202C"/>
          <w:sz w:val="21"/>
        </w:rPr>
        <w:t xml:space="preserve">3. Autonomous &amp; Extensible Playbook Engine: </w:t>
      </w:r>
      <w:r>
        <w:rPr>
          <w:rFonts w:ascii="Calibri" w:hAnsi="Calibri"/>
          <w:color w:val="2D3748"/>
          <w:sz w:val="21"/>
        </w:rPr>
        <w:t>Execute sequential and conditional actions (Threat Intel enrichment, IP blacklisting, host isolation, credential revocation).</w:t>
      </w:r>
    </w:p>
    <w:p>
      <w:pPr>
        <w:pStyle w:val="ListBullet"/>
        <w:spacing w:after="60" w:line="276" w:lineRule="auto"/>
      </w:pPr>
      <w:r>
        <w:rPr>
          <w:rFonts w:ascii="Calibri" w:hAnsi="Calibri"/>
          <w:b/>
          <w:color w:val="1A202C"/>
          <w:sz w:val="21"/>
        </w:rPr>
        <w:t xml:space="preserve">4. Human-in-the-Loop (HITL) Safety Gates: </w:t>
      </w:r>
      <w:r>
        <w:rPr>
          <w:rFonts w:ascii="Calibri" w:hAnsi="Calibri"/>
          <w:color w:val="2D3748"/>
          <w:sz w:val="21"/>
        </w:rPr>
        <w:t>Halt execution when destructive actions are queued until authorized by a Tier-2 SOC lead or manager.</w:t>
      </w:r>
    </w:p>
    <w:p>
      <w:pPr>
        <w:pStyle w:val="ListBullet"/>
        <w:spacing w:after="60" w:line="276" w:lineRule="auto"/>
      </w:pPr>
      <w:r>
        <w:rPr>
          <w:rFonts w:ascii="Calibri" w:hAnsi="Calibri"/>
          <w:b/>
          <w:color w:val="1A202C"/>
          <w:sz w:val="21"/>
        </w:rPr>
        <w:t xml:space="preserve">5. Interactive SOC Command Center: </w:t>
      </w:r>
      <w:r>
        <w:rPr>
          <w:rFonts w:ascii="Calibri" w:hAnsi="Calibri"/>
          <w:color w:val="2D3748"/>
          <w:sz w:val="21"/>
        </w:rPr>
        <w:t>Provide real-time KPI metrics, visual workflow node graphs, live alert streams, and one-click attack simulations.</w:t>
      </w:r>
    </w:p>
    <w:p>
      <w:pPr>
        <w:keepNext/>
        <w:spacing w:before="360" w:after="120"/>
      </w:pPr>
      <w:r>
        <w:rPr>
          <w:rFonts w:ascii="Arial" w:hAnsi="Arial"/>
          <w:b/>
          <w:color w:val="1A365D"/>
          <w:sz w:val="28"/>
        </w:rPr>
        <w:t>3. System Architecture &amp; Tech Stack</w:t>
      </w:r>
    </w:p>
    <w:p>
      <w:pPr>
        <w:spacing w:after="120" w:line="276" w:lineRule="auto"/>
      </w:pPr>
      <w:r>
        <w:rPr>
          <w:rFonts w:ascii="Calibri" w:hAnsi="Calibri"/>
          <w:color w:val="2D3748"/>
          <w:sz w:val="21"/>
        </w:rPr>
        <w:t>The Automated SOAR platform utilizes a modern decoupled microservices architecture designed for high throughput, sub-second execution, and complete separation of orchestration logic from presentation:</w:t>
      </w:r>
    </w:p>
    <w:p>
      <w:pPr>
        <w:spacing w:before="80" w:after="120"/>
        <w:ind w:left="288"/>
      </w:pPr>
      <w:r>
        <w:rPr>
          <w:rFonts w:ascii="Consolas" w:hAnsi="Consolas"/>
          <w:color w:val="141414"/>
          <w:sz w:val="18"/>
        </w:rPr>
        <w:t>[ React SOC Command Center UI (Dashboard, War Room, Visual Nodes, Approvals) ]</w:t>
        <w:br/>
        <w:t xml:space="preserve">                                |  HTTP REST / Polling</w:t>
        <w:br/>
        <w:t>[ FastAPI Backend Gateway (CORS, OAuth2/JWT Auth, Pydantic v2) ]</w:t>
        <w:br/>
        <w:t xml:space="preserve">        |                                       |</w:t>
        <w:br/>
        <w:t>[ Playbook State Machine Engine ]       [ Alert Ingestion Pipeline ]</w:t>
        <w:br/>
        <w:t xml:space="preserve">  - Threat Intel Enrichment               - Normalization Schema</w:t>
        <w:br/>
        <w:t xml:space="preserve">  - Approval Checkpoint Gate              - Deduplication &amp; Webhooks</w:t>
        <w:br/>
        <w:t xml:space="preserve">  - Firewall &amp; EDR Quarantine             - Synthetic Attack Simulator</w:t>
        <w:br/>
        <w:t xml:space="preserve">        |                                       |</w:t>
        <w:br/>
        <w:t xml:space="preserve">        +-------------------+-------------------+</w:t>
        <w:br/>
        <w:t xml:space="preserve">                            |  SQLAlchemy 2.0 ORM</w:t>
        <w:br/>
        <w:t>[ Relational Storage: SQLite / PostgreSQL Database ]</w:t>
        <w:br/>
        <w:t xml:space="preserve">  (Alerts, Cases, Playbooks, Executions, JSON Audit Logs)</w:t>
      </w:r>
    </w:p>
    <w:p>
      <w:pPr>
        <w:keepNext/>
        <w:spacing w:before="240" w:after="80"/>
      </w:pPr>
      <w:r>
        <w:rPr>
          <w:rFonts w:ascii="Arial" w:hAnsi="Arial"/>
          <w:b/>
          <w:color w:val="2B6CB0"/>
          <w:sz w:val="23"/>
        </w:rPr>
        <w:t>3.1 Technology Stack Details</w:t>
      </w:r>
    </w:p>
    <w:p>
      <w:pPr>
        <w:pStyle w:val="ListBullet"/>
        <w:spacing w:after="60" w:line="276" w:lineRule="auto"/>
      </w:pPr>
      <w:r>
        <w:rPr>
          <w:rFonts w:ascii="Calibri" w:hAnsi="Calibri"/>
          <w:b/>
          <w:color w:val="1A202C"/>
          <w:sz w:val="21"/>
        </w:rPr>
        <w:t xml:space="preserve">Backend Framework: </w:t>
      </w:r>
      <w:r>
        <w:rPr>
          <w:rFonts w:ascii="Calibri" w:hAnsi="Calibri"/>
          <w:color w:val="2D3748"/>
          <w:sz w:val="21"/>
        </w:rPr>
        <w:t>Python 3.11+, FastAPI (high-concurrency ASGI asynchronous web framework).</w:t>
      </w:r>
    </w:p>
    <w:p>
      <w:pPr>
        <w:pStyle w:val="ListBullet"/>
        <w:spacing w:after="60" w:line="276" w:lineRule="auto"/>
      </w:pPr>
      <w:r>
        <w:rPr>
          <w:rFonts w:ascii="Calibri" w:hAnsi="Calibri"/>
          <w:b/>
          <w:color w:val="1A202C"/>
          <w:sz w:val="21"/>
        </w:rPr>
        <w:t xml:space="preserve">Data Modeling &amp; Validation: </w:t>
      </w:r>
      <w:r>
        <w:rPr>
          <w:rFonts w:ascii="Calibri" w:hAnsi="Calibri"/>
          <w:color w:val="2D3748"/>
          <w:sz w:val="21"/>
        </w:rPr>
        <w:t>Pydantic v2 with strict type validation, field validators, and ConfigDict.</w:t>
      </w:r>
    </w:p>
    <w:p>
      <w:pPr>
        <w:pStyle w:val="ListBullet"/>
        <w:spacing w:after="60" w:line="276" w:lineRule="auto"/>
      </w:pPr>
      <w:r>
        <w:rPr>
          <w:rFonts w:ascii="Calibri" w:hAnsi="Calibri"/>
          <w:b/>
          <w:color w:val="1A202C"/>
          <w:sz w:val="21"/>
        </w:rPr>
        <w:t xml:space="preserve">ORM &amp; Persistence: </w:t>
      </w:r>
      <w:r>
        <w:rPr>
          <w:rFonts w:ascii="Calibri" w:hAnsi="Calibri"/>
          <w:color w:val="2D3748"/>
          <w:sz w:val="21"/>
        </w:rPr>
        <w:t>SQLAlchemy 2.0 supporting SQLite (local development) and PostgreSQL (production).</w:t>
      </w:r>
    </w:p>
    <w:p>
      <w:pPr>
        <w:pStyle w:val="ListBullet"/>
        <w:spacing w:after="60" w:line="276" w:lineRule="auto"/>
      </w:pPr>
      <w:r>
        <w:rPr>
          <w:rFonts w:ascii="Calibri" w:hAnsi="Calibri"/>
          <w:b/>
          <w:color w:val="1A202C"/>
          <w:sz w:val="21"/>
        </w:rPr>
        <w:t xml:space="preserve">Security &amp; Crypto: </w:t>
      </w:r>
      <w:r>
        <w:rPr>
          <w:rFonts w:ascii="Calibri" w:hAnsi="Calibri"/>
          <w:color w:val="2D3748"/>
          <w:sz w:val="21"/>
        </w:rPr>
        <w:t>Python-Jose (JWT HS256), Passlib, Bcrypt password hashing, HMAC-SHA256 signature verification.</w:t>
      </w:r>
    </w:p>
    <w:p>
      <w:pPr>
        <w:pStyle w:val="ListBullet"/>
        <w:spacing w:after="60" w:line="276" w:lineRule="auto"/>
      </w:pPr>
      <w:r>
        <w:rPr>
          <w:rFonts w:ascii="Calibri" w:hAnsi="Calibri"/>
          <w:b/>
          <w:color w:val="1A202C"/>
          <w:sz w:val="21"/>
        </w:rPr>
        <w:t xml:space="preserve">Frontend UI: </w:t>
      </w:r>
      <w:r>
        <w:rPr>
          <w:rFonts w:ascii="Calibri" w:hAnsi="Calibri"/>
          <w:color w:val="2D3748"/>
          <w:sz w:val="21"/>
        </w:rPr>
        <w:t>React 18, HTML5, Vanilla CSS Design System with dark obsidian glassmorphism.</w:t>
      </w:r>
    </w:p>
    <w:p>
      <w:pPr>
        <w:pStyle w:val="ListBullet"/>
        <w:spacing w:after="60" w:line="276" w:lineRule="auto"/>
      </w:pPr>
      <w:r>
        <w:rPr>
          <w:rFonts w:ascii="Calibri" w:hAnsi="Calibri"/>
          <w:b/>
          <w:color w:val="1A202C"/>
          <w:sz w:val="21"/>
        </w:rPr>
        <w:t xml:space="preserve">Testing Suite: </w:t>
      </w:r>
      <w:r>
        <w:rPr>
          <w:rFonts w:ascii="Calibri" w:hAnsi="Calibri"/>
          <w:color w:val="2D3748"/>
          <w:sz w:val="21"/>
        </w:rPr>
        <w:t>Pytest, HTTPX Async TestClient with comprehensive endpoint and state-machine tests.</w:t>
      </w:r>
    </w:p>
    <w:p>
      <w:pPr>
        <w:pStyle w:val="ListBullet"/>
        <w:spacing w:after="60" w:line="276" w:lineRule="auto"/>
      </w:pPr>
      <w:r>
        <w:rPr>
          <w:rFonts w:ascii="Calibri" w:hAnsi="Calibri"/>
          <w:b/>
          <w:color w:val="1A202C"/>
          <w:sz w:val="21"/>
        </w:rPr>
        <w:t xml:space="preserve">Containerization: </w:t>
      </w:r>
      <w:r>
        <w:rPr>
          <w:rFonts w:ascii="Calibri" w:hAnsi="Calibri"/>
          <w:color w:val="2D3748"/>
          <w:sz w:val="21"/>
        </w:rPr>
        <w:t>Docker, Docker Compose multi-stage services.</w:t>
      </w:r>
    </w:p>
    <w:p>
      <w:pPr>
        <w:keepNext/>
        <w:spacing w:before="360" w:after="120"/>
      </w:pPr>
      <w:r>
        <w:rPr>
          <w:rFonts w:ascii="Arial" w:hAnsi="Arial"/>
          <w:b/>
          <w:color w:val="1A365D"/>
          <w:sz w:val="28"/>
        </w:rPr>
        <w:t>4. Functional Modules Specification</w:t>
      </w:r>
    </w:p>
    <w:p>
      <w:pPr>
        <w:keepNext/>
        <w:spacing w:before="240" w:after="80"/>
      </w:pPr>
      <w:r>
        <w:rPr>
          <w:rFonts w:ascii="Arial" w:hAnsi="Arial"/>
          <w:b/>
          <w:color w:val="2B6CB0"/>
          <w:sz w:val="23"/>
        </w:rPr>
        <w:t>Module 1: Alert Ingestion &amp; Normalization Engine</w:t>
      </w:r>
    </w:p>
    <w:p>
      <w:pPr>
        <w:pStyle w:val="ListBullet"/>
        <w:spacing w:after="60" w:line="276" w:lineRule="auto"/>
      </w:pPr>
      <w:r>
        <w:rPr>
          <w:rFonts w:ascii="Calibri" w:hAnsi="Calibri"/>
          <w:b/>
          <w:color w:val="1A202C"/>
          <w:sz w:val="21"/>
        </w:rPr>
        <w:t xml:space="preserve">Normalization Schema: </w:t>
      </w:r>
      <w:r>
        <w:rPr>
          <w:rFonts w:ascii="Calibri" w:hAnsi="Calibri"/>
          <w:color w:val="2D3748"/>
          <w:sz w:val="21"/>
        </w:rPr>
        <w:t>Unifies disparate security events into the Alert model: event_id, timestamp, source_product, category, severity, source_ip, destination_ip, user, hostname, detection_rule, and raw evidence JSON.</w:t>
      </w:r>
    </w:p>
    <w:p>
      <w:pPr>
        <w:pStyle w:val="ListBullet"/>
        <w:spacing w:after="60" w:line="276" w:lineRule="auto"/>
      </w:pPr>
      <w:r>
        <w:rPr>
          <w:rFonts w:ascii="Calibri" w:hAnsi="Calibri"/>
          <w:b/>
          <w:color w:val="1A202C"/>
          <w:sz w:val="21"/>
        </w:rPr>
        <w:t xml:space="preserve">Deduplication: </w:t>
      </w:r>
      <w:r>
        <w:rPr>
          <w:rFonts w:ascii="Calibri" w:hAnsi="Calibri"/>
          <w:color w:val="2D3748"/>
          <w:sz w:val="21"/>
        </w:rPr>
        <w:t>Enforces unique event_id constraint with HTTP 409 Conflict handling.</w:t>
      </w:r>
    </w:p>
    <w:p>
      <w:pPr>
        <w:pStyle w:val="ListBullet"/>
        <w:spacing w:after="60" w:line="276" w:lineRule="auto"/>
      </w:pPr>
      <w:r>
        <w:rPr>
          <w:rFonts w:ascii="Calibri" w:hAnsi="Calibri"/>
          <w:b/>
          <w:color w:val="1A202C"/>
          <w:sz w:val="21"/>
        </w:rPr>
        <w:t xml:space="preserve">HMAC Inbound Webhook: </w:t>
      </w:r>
      <w:r>
        <w:rPr>
          <w:rFonts w:ascii="Calibri" w:hAnsi="Calibri"/>
          <w:color w:val="2D3748"/>
          <w:sz w:val="21"/>
        </w:rPr>
        <w:t>Authenticates incoming SIEM payloads via X-Signature HMAC-SHA256 verification against a shared secret.</w:t>
      </w:r>
    </w:p>
    <w:p>
      <w:pPr>
        <w:pStyle w:val="ListBullet"/>
        <w:spacing w:after="60" w:line="276" w:lineRule="auto"/>
      </w:pPr>
      <w:r>
        <w:rPr>
          <w:rFonts w:ascii="Calibri" w:hAnsi="Calibri"/>
          <w:b/>
          <w:color w:val="1A202C"/>
          <w:sz w:val="21"/>
        </w:rPr>
        <w:t xml:space="preserve">Bulk Ingestion: </w:t>
      </w:r>
      <w:r>
        <w:rPr>
          <w:rFonts w:ascii="Calibri" w:hAnsi="Calibri"/>
          <w:color w:val="2D3748"/>
          <w:sz w:val="21"/>
        </w:rPr>
        <w:t>Supports simultaneous ingestion via structured .csv or .json file uploads.</w:t>
      </w:r>
    </w:p>
    <w:p>
      <w:pPr>
        <w:keepNext/>
        <w:spacing w:before="240" w:after="80"/>
      </w:pPr>
      <w:r>
        <w:rPr>
          <w:rFonts w:ascii="Arial" w:hAnsi="Arial"/>
          <w:b/>
          <w:color w:val="2B6CB0"/>
          <w:sz w:val="23"/>
        </w:rPr>
        <w:t>Module 2: Incident Management &amp; Dynamic Risk Scoring</w:t>
      </w:r>
    </w:p>
    <w:p>
      <w:pPr>
        <w:pStyle w:val="ListBullet"/>
        <w:spacing w:after="60" w:line="276" w:lineRule="auto"/>
      </w:pPr>
      <w:r>
        <w:rPr>
          <w:rFonts w:ascii="Calibri" w:hAnsi="Calibri"/>
          <w:b/>
          <w:color w:val="1A202C"/>
          <w:sz w:val="21"/>
        </w:rPr>
        <w:t xml:space="preserve">Alert Correlation: </w:t>
      </w:r>
      <w:r>
        <w:rPr>
          <w:rFonts w:ascii="Calibri" w:hAnsi="Calibri"/>
          <w:color w:val="2D3748"/>
          <w:sz w:val="21"/>
        </w:rPr>
        <w:t>Links multiple security alerts to an umbrella Incident case via a many-to-many association table.</w:t>
      </w:r>
    </w:p>
    <w:p>
      <w:pPr>
        <w:pStyle w:val="ListBullet"/>
        <w:spacing w:after="60" w:line="276" w:lineRule="auto"/>
      </w:pPr>
      <w:r>
        <w:rPr>
          <w:rFonts w:ascii="Calibri" w:hAnsi="Calibri"/>
          <w:b/>
          <w:color w:val="1A202C"/>
          <w:sz w:val="21"/>
        </w:rPr>
        <w:t xml:space="preserve">Risk Score Algorithm: </w:t>
      </w:r>
      <w:r>
        <w:rPr>
          <w:rFonts w:ascii="Calibri" w:hAnsi="Calibri"/>
          <w:color w:val="2D3748"/>
          <w:sz w:val="21"/>
        </w:rPr>
        <w:t>Computes numerical threat severity (0–100) based on severity weights, asset criticality, and enrichment telemetry (+25 points when threat intelligence confirms malicious IP reputation).</w:t>
      </w:r>
    </w:p>
    <w:p>
      <w:pPr>
        <w:pStyle w:val="ListBullet"/>
        <w:spacing w:after="60" w:line="276" w:lineRule="auto"/>
      </w:pPr>
      <w:r>
        <w:rPr>
          <w:rFonts w:ascii="Calibri" w:hAnsi="Calibri"/>
          <w:b/>
          <w:color w:val="1A202C"/>
          <w:sz w:val="21"/>
        </w:rPr>
        <w:t xml:space="preserve">Lifecycle State Tracking: </w:t>
      </w:r>
      <w:r>
        <w:rPr>
          <w:rFonts w:ascii="Calibri" w:hAnsi="Calibri"/>
          <w:color w:val="2D3748"/>
          <w:sz w:val="21"/>
        </w:rPr>
        <w:t>Supports progressive status transitions (new -&gt; investigating -&gt; contained -&gt; resolved -&gt; closed).</w:t>
      </w:r>
    </w:p>
    <w:p>
      <w:pPr>
        <w:keepNext/>
        <w:spacing w:before="240" w:after="80"/>
      </w:pPr>
      <w:r>
        <w:rPr>
          <w:rFonts w:ascii="Arial" w:hAnsi="Arial"/>
          <w:b/>
          <w:color w:val="2B6CB0"/>
          <w:sz w:val="23"/>
        </w:rPr>
        <w:t>Module 3: Playbook Automation Engine</w:t>
      </w:r>
    </w:p>
    <w:p>
      <w:pPr>
        <w:pStyle w:val="ListBullet"/>
        <w:spacing w:after="60" w:line="276" w:lineRule="auto"/>
      </w:pPr>
      <w:r>
        <w:rPr>
          <w:rFonts w:ascii="Calibri" w:hAnsi="Calibri"/>
          <w:b/>
          <w:color w:val="1A202C"/>
          <w:sz w:val="21"/>
        </w:rPr>
        <w:t xml:space="preserve">State Machine Engine: </w:t>
      </w:r>
      <w:r>
        <w:rPr>
          <w:rFonts w:ascii="Calibri" w:hAnsi="Calibri"/>
          <w:color w:val="2D3748"/>
          <w:sz w:val="21"/>
        </w:rPr>
        <w:t>Step-based state machine executor capable of sequential execution with step-level JSON logging.</w:t>
      </w:r>
    </w:p>
    <w:p>
      <w:pPr>
        <w:pStyle w:val="ListBullet"/>
        <w:spacing w:after="60" w:line="276" w:lineRule="auto"/>
      </w:pPr>
      <w:r>
        <w:rPr>
          <w:rFonts w:ascii="Calibri" w:hAnsi="Calibri"/>
          <w:b/>
          <w:color w:val="1A202C"/>
          <w:sz w:val="21"/>
        </w:rPr>
        <w:t xml:space="preserve">validate: </w:t>
      </w:r>
      <w:r>
        <w:rPr>
          <w:rFonts w:ascii="Calibri" w:hAnsi="Calibri"/>
          <w:color w:val="2D3748"/>
          <w:sz w:val="21"/>
        </w:rPr>
        <w:t>Asserts syntax, schema structure, and indicator integrity.</w:t>
      </w:r>
    </w:p>
    <w:p>
      <w:pPr>
        <w:pStyle w:val="ListBullet"/>
        <w:spacing w:after="60" w:line="276" w:lineRule="auto"/>
      </w:pPr>
      <w:r>
        <w:rPr>
          <w:rFonts w:ascii="Calibri" w:hAnsi="Calibri"/>
          <w:b/>
          <w:color w:val="1A202C"/>
          <w:sz w:val="21"/>
        </w:rPr>
        <w:t xml:space="preserve">enrich: </w:t>
      </w:r>
      <w:r>
        <w:rPr>
          <w:rFonts w:ascii="Calibri" w:hAnsi="Calibri"/>
          <w:color w:val="2D3748"/>
          <w:sz w:val="21"/>
        </w:rPr>
        <w:t>Queries Threat Intelligence simulations (VirusTotal 78/90 score, AbuseIPDB confidence 95%, GeoIP, ASN).</w:t>
      </w:r>
    </w:p>
    <w:p>
      <w:pPr>
        <w:pStyle w:val="ListBullet"/>
        <w:spacing w:after="60" w:line="276" w:lineRule="auto"/>
      </w:pPr>
      <w:r>
        <w:rPr>
          <w:rFonts w:ascii="Calibri" w:hAnsi="Calibri"/>
          <w:b/>
          <w:color w:val="1A202C"/>
          <w:sz w:val="21"/>
        </w:rPr>
        <w:t xml:space="preserve">contain: </w:t>
      </w:r>
      <w:r>
        <w:rPr>
          <w:rFonts w:ascii="Calibri" w:hAnsi="Calibri"/>
          <w:color w:val="2D3748"/>
          <w:sz w:val="21"/>
        </w:rPr>
        <w:t>Simulates CrowdStrike Falcon EDR endpoint network quarantine.</w:t>
      </w:r>
    </w:p>
    <w:p>
      <w:pPr>
        <w:pStyle w:val="ListBullet"/>
        <w:spacing w:after="60" w:line="276" w:lineRule="auto"/>
      </w:pPr>
      <w:r>
        <w:rPr>
          <w:rFonts w:ascii="Calibri" w:hAnsi="Calibri"/>
          <w:b/>
          <w:color w:val="1A202C"/>
          <w:sz w:val="21"/>
        </w:rPr>
        <w:t xml:space="preserve">block_ip: </w:t>
      </w:r>
      <w:r>
        <w:rPr>
          <w:rFonts w:ascii="Calibri" w:hAnsi="Calibri"/>
          <w:color w:val="2D3748"/>
          <w:sz w:val="21"/>
        </w:rPr>
        <w:t>Deploys automated drop rules to perimeter firewall ACLs (Palo Alto / AWS WAF).</w:t>
      </w:r>
    </w:p>
    <w:p>
      <w:pPr>
        <w:pStyle w:val="ListBullet"/>
        <w:spacing w:after="60" w:line="276" w:lineRule="auto"/>
      </w:pPr>
      <w:r>
        <w:rPr>
          <w:rFonts w:ascii="Calibri" w:hAnsi="Calibri"/>
          <w:b/>
          <w:color w:val="1A202C"/>
          <w:sz w:val="21"/>
        </w:rPr>
        <w:t xml:space="preserve">disable_user: </w:t>
      </w:r>
      <w:r>
        <w:rPr>
          <w:rFonts w:ascii="Calibri" w:hAnsi="Calibri"/>
          <w:color w:val="2D3748"/>
          <w:sz w:val="21"/>
        </w:rPr>
        <w:t>Revokes Active Directory &amp; Okta SAML/OIDC tokens and locks account.</w:t>
      </w:r>
    </w:p>
    <w:p>
      <w:pPr>
        <w:pStyle w:val="ListBullet"/>
        <w:spacing w:after="60" w:line="276" w:lineRule="auto"/>
      </w:pPr>
      <w:r>
        <w:rPr>
          <w:rFonts w:ascii="Calibri" w:hAnsi="Calibri"/>
          <w:b/>
          <w:color w:val="1A202C"/>
          <w:sz w:val="21"/>
        </w:rPr>
        <w:t xml:space="preserve">create_ticket: </w:t>
      </w:r>
      <w:r>
        <w:rPr>
          <w:rFonts w:ascii="Calibri" w:hAnsi="Calibri"/>
          <w:color w:val="2D3748"/>
          <w:sz w:val="21"/>
        </w:rPr>
        <w:t>Generates ServiceNow P1 Major Incident tickets.</w:t>
      </w:r>
    </w:p>
    <w:p>
      <w:pPr>
        <w:pStyle w:val="ListBullet"/>
        <w:spacing w:after="60" w:line="276" w:lineRule="auto"/>
      </w:pPr>
      <w:r>
        <w:rPr>
          <w:rFonts w:ascii="Calibri" w:hAnsi="Calibri"/>
          <w:b/>
          <w:color w:val="1A202C"/>
          <w:sz w:val="21"/>
        </w:rPr>
        <w:t xml:space="preserve">notify: </w:t>
      </w:r>
      <w:r>
        <w:rPr>
          <w:rFonts w:ascii="Calibri" w:hAnsi="Calibri"/>
          <w:color w:val="2D3748"/>
          <w:sz w:val="21"/>
        </w:rPr>
        <w:t>Dispatches alert payloads to Slack #soc-war-room and PagerDuty on-call.</w:t>
      </w:r>
    </w:p>
    <w:p>
      <w:pPr>
        <w:keepNext/>
        <w:spacing w:before="240" w:after="80"/>
      </w:pPr>
      <w:r>
        <w:rPr>
          <w:rFonts w:ascii="Arial" w:hAnsi="Arial"/>
          <w:b/>
          <w:color w:val="2B6CB0"/>
          <w:sz w:val="23"/>
        </w:rPr>
        <w:t>Module 4: Human-in-the-Loop (HITL) Authorization Gate</w:t>
      </w:r>
    </w:p>
    <w:p>
      <w:pPr>
        <w:spacing w:after="120" w:line="276" w:lineRule="auto"/>
      </w:pPr>
      <w:r>
        <w:rPr>
          <w:rFonts w:ascii="Calibri" w:hAnsi="Calibri"/>
          <w:color w:val="2D3748"/>
          <w:sz w:val="21"/>
        </w:rPr>
        <w:t>When a playbook hits a wait_approval step, execution is safely paused:</w:t>
      </w:r>
    </w:p>
    <w:p>
      <w:pPr>
        <w:pStyle w:val="ListBullet"/>
        <w:spacing w:after="60" w:line="276" w:lineRule="auto"/>
      </w:pPr>
      <w:r>
        <w:rPr>
          <w:rFonts w:ascii="Calibri" w:hAnsi="Calibri"/>
          <w:b/>
          <w:color w:val="1A202C"/>
          <w:sz w:val="21"/>
        </w:rPr>
        <w:t xml:space="preserve">State Persistence: </w:t>
      </w:r>
      <w:r>
        <w:rPr>
          <w:rFonts w:ascii="Calibri" w:hAnsi="Calibri"/>
          <w:color w:val="2D3748"/>
          <w:sz w:val="21"/>
        </w:rPr>
        <w:t>Status transitions to waiting_approval, saving current step index and execution state.</w:t>
      </w:r>
    </w:p>
    <w:p>
      <w:pPr>
        <w:pStyle w:val="ListBullet"/>
        <w:spacing w:after="60" w:line="276" w:lineRule="auto"/>
      </w:pPr>
      <w:r>
        <w:rPr>
          <w:rFonts w:ascii="Calibri" w:hAnsi="Calibri"/>
          <w:b/>
          <w:color w:val="1A202C"/>
          <w:sz w:val="21"/>
        </w:rPr>
        <w:t xml:space="preserve">SOC Alerting: </w:t>
      </w:r>
      <w:r>
        <w:rPr>
          <w:rFonts w:ascii="Calibri" w:hAnsi="Calibri"/>
          <w:color w:val="2D3748"/>
          <w:sz w:val="21"/>
        </w:rPr>
        <w:t>The SOC Command Center highlights a glowing action badge on the Approvals &amp; Audit Trail tab.</w:t>
      </w:r>
    </w:p>
    <w:p>
      <w:pPr>
        <w:pStyle w:val="ListBullet"/>
        <w:spacing w:after="60" w:line="276" w:lineRule="auto"/>
      </w:pPr>
      <w:r>
        <w:rPr>
          <w:rFonts w:ascii="Calibri" w:hAnsi="Calibri"/>
          <w:b/>
          <w:color w:val="1A202C"/>
          <w:sz w:val="21"/>
        </w:rPr>
        <w:t xml:space="preserve">Authorize &amp; Resume: </w:t>
      </w:r>
      <w:r>
        <w:rPr>
          <w:rFonts w:ascii="Calibri" w:hAnsi="Calibri"/>
          <w:color w:val="2D3748"/>
          <w:sz w:val="21"/>
        </w:rPr>
        <w:t>SOC Lead marks approved=True, status transitions to running, and execution continues automatically.</w:t>
      </w:r>
    </w:p>
    <w:p>
      <w:pPr>
        <w:pStyle w:val="ListBullet"/>
        <w:spacing w:after="60" w:line="276" w:lineRule="auto"/>
      </w:pPr>
      <w:r>
        <w:rPr>
          <w:rFonts w:ascii="Calibri" w:hAnsi="Calibri"/>
          <w:b/>
          <w:color w:val="1A202C"/>
          <w:sz w:val="21"/>
        </w:rPr>
        <w:t xml:space="preserve">Reject &amp; Abort: </w:t>
      </w:r>
      <w:r>
        <w:rPr>
          <w:rFonts w:ascii="Calibri" w:hAnsi="Calibri"/>
          <w:color w:val="2D3748"/>
          <w:sz w:val="21"/>
        </w:rPr>
        <w:t>SOC Lead marks approved=False, status transitions to cancelled, aborting containment.</w:t>
      </w:r>
    </w:p>
    <w:p>
      <w:pPr>
        <w:keepNext/>
        <w:spacing w:before="240" w:after="80"/>
      </w:pPr>
      <w:r>
        <w:rPr>
          <w:rFonts w:ascii="Arial" w:hAnsi="Arial"/>
          <w:b/>
          <w:color w:val="2B6CB0"/>
          <w:sz w:val="23"/>
        </w:rPr>
        <w:t>Module 5: Multi-Vector Synthetic Attack Simulator</w:t>
      </w:r>
    </w:p>
    <w:p>
      <w:pPr>
        <w:pStyle w:val="ListBullet"/>
        <w:spacing w:after="60" w:line="276" w:lineRule="auto"/>
      </w:pPr>
      <w:r>
        <w:rPr>
          <w:rFonts w:ascii="Calibri" w:hAnsi="Calibri"/>
          <w:b/>
          <w:color w:val="1A202C"/>
          <w:sz w:val="21"/>
        </w:rPr>
        <w:t xml:space="preserve">Phishing Campaign: </w:t>
      </w:r>
      <w:r>
        <w:rPr>
          <w:rFonts w:ascii="Calibri" w:hAnsi="Calibri"/>
          <w:color w:val="2D3748"/>
          <w:sz w:val="21"/>
        </w:rPr>
        <w:t>Proofpoint email gateway alert with credential harvester URL and malicious attachment.</w:t>
      </w:r>
    </w:p>
    <w:p>
      <w:pPr>
        <w:pStyle w:val="ListBullet"/>
        <w:spacing w:after="60" w:line="276" w:lineRule="auto"/>
      </w:pPr>
      <w:r>
        <w:rPr>
          <w:rFonts w:ascii="Calibri" w:hAnsi="Calibri"/>
          <w:b/>
          <w:color w:val="1A202C"/>
          <w:sz w:val="21"/>
        </w:rPr>
        <w:t xml:space="preserve">Ransomware Outbreak: </w:t>
      </w:r>
      <w:r>
        <w:rPr>
          <w:rFonts w:ascii="Calibri" w:hAnsi="Calibri"/>
          <w:color w:val="2D3748"/>
          <w:sz w:val="21"/>
        </w:rPr>
        <w:t>CrowdStrike EDR alert detecting shadow copy wipe (vssadmin) and mass encryption.</w:t>
      </w:r>
    </w:p>
    <w:p>
      <w:pPr>
        <w:pStyle w:val="ListBullet"/>
        <w:spacing w:after="60" w:line="276" w:lineRule="auto"/>
      </w:pPr>
      <w:r>
        <w:rPr>
          <w:rFonts w:ascii="Calibri" w:hAnsi="Calibri"/>
          <w:b/>
          <w:color w:val="1A202C"/>
          <w:sz w:val="21"/>
        </w:rPr>
        <w:t xml:space="preserve">Brute Force Storm: </w:t>
      </w:r>
      <w:r>
        <w:rPr>
          <w:rFonts w:ascii="Calibri" w:hAnsi="Calibri"/>
          <w:color w:val="2D3748"/>
          <w:sz w:val="21"/>
        </w:rPr>
        <w:t>Active Directory Domain Controller audit event with 450 failed Kerberos logons within 60 seconds.</w:t>
      </w:r>
    </w:p>
    <w:p>
      <w:pPr>
        <w:pStyle w:val="ListBullet"/>
        <w:spacing w:after="60" w:line="276" w:lineRule="auto"/>
      </w:pPr>
      <w:r>
        <w:rPr>
          <w:rFonts w:ascii="Calibri" w:hAnsi="Calibri"/>
          <w:b/>
          <w:color w:val="1A202C"/>
          <w:sz w:val="21"/>
        </w:rPr>
        <w:t xml:space="preserve">Impossible Travel Anomaly: </w:t>
      </w:r>
      <w:r>
        <w:rPr>
          <w:rFonts w:ascii="Calibri" w:hAnsi="Calibri"/>
          <w:color w:val="2D3748"/>
          <w:sz w:val="21"/>
        </w:rPr>
        <w:t>Okta identity event showing concurrent sign-ins from New York and St. Petersburg within 8 minutes.</w:t>
      </w:r>
    </w:p>
    <w:p>
      <w:pPr>
        <w:pStyle w:val="ListBullet"/>
        <w:spacing w:after="60" w:line="276" w:lineRule="auto"/>
      </w:pPr>
      <w:r>
        <w:rPr>
          <w:rFonts w:ascii="Calibri" w:hAnsi="Calibri"/>
          <w:b/>
          <w:color w:val="1A202C"/>
          <w:sz w:val="21"/>
        </w:rPr>
        <w:t xml:space="preserve">C2 Beaconing: </w:t>
      </w:r>
      <w:r>
        <w:rPr>
          <w:rFonts w:ascii="Calibri" w:hAnsi="Calibri"/>
          <w:color w:val="2D3748"/>
          <w:sz w:val="21"/>
        </w:rPr>
        <w:t>Suricata Network IDS alert detecting periodic CobaltStrike HTTPS beaconing.</w:t>
      </w:r>
    </w:p>
    <w:p>
      <w:pPr>
        <w:keepNext/>
        <w:spacing w:before="360" w:after="120"/>
      </w:pPr>
      <w:r>
        <w:rPr>
          <w:rFonts w:ascii="Arial" w:hAnsi="Arial"/>
          <w:b/>
          <w:color w:val="1A365D"/>
          <w:sz w:val="28"/>
        </w:rPr>
        <w:t>5. Database Schema &amp; Data Models</w:t>
      </w:r>
    </w:p>
    <w:p>
      <w:pPr>
        <w:spacing w:after="120" w:line="276" w:lineRule="auto"/>
      </w:pPr>
      <w:r>
        <w:rPr>
          <w:rFonts w:ascii="Calibri" w:hAnsi="Calibri"/>
          <w:color w:val="2D3748"/>
          <w:sz w:val="21"/>
        </w:rPr>
        <w:t>The relational database schema is modeled using SQLAlchemy ORM with the following entity relationships:</w:t>
      </w:r>
    </w:p>
    <w:p>
      <w:pPr>
        <w:pStyle w:val="ListBullet"/>
        <w:spacing w:after="60" w:line="276" w:lineRule="auto"/>
      </w:pPr>
      <w:r>
        <w:rPr>
          <w:rFonts w:ascii="Calibri" w:hAnsi="Calibri"/>
          <w:b/>
          <w:color w:val="1A202C"/>
          <w:sz w:val="21"/>
        </w:rPr>
        <w:t xml:space="preserve">Alerts: </w:t>
      </w:r>
      <w:r>
        <w:rPr>
          <w:rFonts w:ascii="Calibri" w:hAnsi="Calibri"/>
          <w:color w:val="2D3748"/>
          <w:sz w:val="21"/>
        </w:rPr>
        <w:t>Ingested security events with normalized attributes, indicators of compromise, and deduplication keys.</w:t>
      </w:r>
    </w:p>
    <w:p>
      <w:pPr>
        <w:pStyle w:val="ListBullet"/>
        <w:spacing w:after="60" w:line="276" w:lineRule="auto"/>
      </w:pPr>
      <w:r>
        <w:rPr>
          <w:rFonts w:ascii="Calibri" w:hAnsi="Calibri"/>
          <w:b/>
          <w:color w:val="1A202C"/>
          <w:sz w:val="21"/>
        </w:rPr>
        <w:t xml:space="preserve">Incidents: </w:t>
      </w:r>
      <w:r>
        <w:rPr>
          <w:rFonts w:ascii="Calibri" w:hAnsi="Calibri"/>
          <w:color w:val="2D3748"/>
          <w:sz w:val="21"/>
        </w:rPr>
        <w:t>Correlated cases grouping one or more alerts, tracking status, priority, and computed risk score (0-100).</w:t>
      </w:r>
    </w:p>
    <w:p>
      <w:pPr>
        <w:pStyle w:val="ListBullet"/>
        <w:spacing w:after="60" w:line="276" w:lineRule="auto"/>
      </w:pPr>
      <w:r>
        <w:rPr>
          <w:rFonts w:ascii="Calibri" w:hAnsi="Calibri"/>
          <w:b/>
          <w:color w:val="1A202C"/>
          <w:sz w:val="21"/>
        </w:rPr>
        <w:t xml:space="preserve">Playbooks: </w:t>
      </w:r>
      <w:r>
        <w:rPr>
          <w:rFonts w:ascii="Calibri" w:hAnsi="Calibri"/>
          <w:color w:val="2D3748"/>
          <w:sz w:val="21"/>
        </w:rPr>
        <w:t>Reusable orchestration playbooks with JSON definitions describing multi-step workflow graphs.</w:t>
      </w:r>
    </w:p>
    <w:p>
      <w:pPr>
        <w:pStyle w:val="ListBullet"/>
        <w:spacing w:after="60" w:line="276" w:lineRule="auto"/>
      </w:pPr>
      <w:r>
        <w:rPr>
          <w:rFonts w:ascii="Calibri" w:hAnsi="Calibri"/>
          <w:b/>
          <w:color w:val="1A202C"/>
          <w:sz w:val="21"/>
        </w:rPr>
        <w:t xml:space="preserve">PlaybookExecutions: </w:t>
      </w:r>
      <w:r>
        <w:rPr>
          <w:rFonts w:ascii="Calibri" w:hAnsi="Calibri"/>
          <w:color w:val="2D3748"/>
          <w:sz w:val="21"/>
        </w:rPr>
        <w:t>Execution records with state status (pending, running, waiting_approval, completed, failed, cancelled), step index, and JSON audit logs.</w:t>
      </w:r>
    </w:p>
    <w:p>
      <w:pPr>
        <w:pStyle w:val="ListBullet"/>
        <w:spacing w:after="60" w:line="276" w:lineRule="auto"/>
      </w:pPr>
      <w:r>
        <w:rPr>
          <w:rFonts w:ascii="Calibri" w:hAnsi="Calibri"/>
          <w:b/>
          <w:color w:val="1A202C"/>
          <w:sz w:val="21"/>
        </w:rPr>
        <w:t xml:space="preserve">Users: </w:t>
      </w:r>
      <w:r>
        <w:rPr>
          <w:rFonts w:ascii="Calibri" w:hAnsi="Calibri"/>
          <w:color w:val="2D3748"/>
          <w:sz w:val="21"/>
        </w:rPr>
        <w:t>SOC analyst credentials, bcrypt hashed passwords, and role permissions (is_admin).</w:t>
      </w:r>
    </w:p>
    <w:p>
      <w:pPr>
        <w:keepNext/>
        <w:spacing w:before="360" w:after="120"/>
      </w:pPr>
      <w:r>
        <w:rPr>
          <w:rFonts w:ascii="Arial" w:hAnsi="Arial"/>
          <w:b/>
          <w:color w:val="1A365D"/>
          <w:sz w:val="28"/>
        </w:rPr>
        <w:t>6. Testing, Verification &amp; Metrics</w:t>
      </w:r>
    </w:p>
    <w:p>
      <w:pPr>
        <w:keepNext/>
        <w:spacing w:before="240" w:after="80"/>
      </w:pPr>
      <w:r>
        <w:rPr>
          <w:rFonts w:ascii="Arial" w:hAnsi="Arial"/>
          <w:b/>
          <w:color w:val="2B6CB0"/>
          <w:sz w:val="23"/>
        </w:rPr>
        <w:t>6.1 Pytest Automated Test Results</w:t>
      </w:r>
    </w:p>
    <w:p>
      <w:pPr>
        <w:spacing w:after="120" w:line="276" w:lineRule="auto"/>
      </w:pPr>
      <w:r>
        <w:rPr>
          <w:rFonts w:ascii="Calibri" w:hAnsi="Calibri"/>
          <w:color w:val="2D3748"/>
          <w:sz w:val="21"/>
        </w:rPr>
        <w:t>Comprehensive automated testing was executed via Pytest on Python 3.14 with 100% test pass rate across all functional modules:</w:t>
      </w:r>
    </w:p>
    <w:p>
      <w:pPr>
        <w:pStyle w:val="ListBullet"/>
        <w:spacing w:after="60" w:line="276" w:lineRule="auto"/>
      </w:pPr>
      <w:r>
        <w:rPr>
          <w:rFonts w:ascii="Calibri" w:hAnsi="Calibri"/>
          <w:b/>
          <w:color w:val="1A202C"/>
          <w:sz w:val="21"/>
        </w:rPr>
        <w:t xml:space="preserve">test_health_check: </w:t>
      </w:r>
      <w:r>
        <w:rPr>
          <w:rFonts w:ascii="Calibri" w:hAnsi="Calibri"/>
          <w:color w:val="2D3748"/>
          <w:sz w:val="21"/>
        </w:rPr>
        <w:t>PASSED - Validates API gateway responsiveness and uptime.</w:t>
      </w:r>
    </w:p>
    <w:p>
      <w:pPr>
        <w:pStyle w:val="ListBullet"/>
        <w:spacing w:after="60" w:line="276" w:lineRule="auto"/>
      </w:pPr>
      <w:r>
        <w:rPr>
          <w:rFonts w:ascii="Calibri" w:hAnsi="Calibri"/>
          <w:b/>
          <w:color w:val="1A202C"/>
          <w:sz w:val="21"/>
        </w:rPr>
        <w:t xml:space="preserve">test_create_and_get_playbook: </w:t>
      </w:r>
      <w:r>
        <w:rPr>
          <w:rFonts w:ascii="Calibri" w:hAnsi="Calibri"/>
          <w:color w:val="2D3748"/>
          <w:sz w:val="21"/>
        </w:rPr>
        <w:t>PASSED - Validates playbook persistence and JSON schema validation.</w:t>
      </w:r>
    </w:p>
    <w:p>
      <w:pPr>
        <w:pStyle w:val="ListBullet"/>
        <w:spacing w:after="60" w:line="276" w:lineRule="auto"/>
      </w:pPr>
      <w:r>
        <w:rPr>
          <w:rFonts w:ascii="Calibri" w:hAnsi="Calibri"/>
          <w:b/>
          <w:color w:val="1A202C"/>
          <w:sz w:val="21"/>
        </w:rPr>
        <w:t xml:space="preserve">test_execute_playbook_and_approval_flow: </w:t>
      </w:r>
      <w:r>
        <w:rPr>
          <w:rFonts w:ascii="Calibri" w:hAnsi="Calibri"/>
          <w:color w:val="2D3748"/>
          <w:sz w:val="21"/>
        </w:rPr>
        <w:t>PASSED - Tests end-to-end execution, pause at wait_approval, queue retrieval, and authorization resumption.</w:t>
      </w:r>
    </w:p>
    <w:p>
      <w:pPr>
        <w:pStyle w:val="ListBullet"/>
        <w:spacing w:after="60" w:line="276" w:lineRule="auto"/>
      </w:pPr>
      <w:r>
        <w:rPr>
          <w:rFonts w:ascii="Calibri" w:hAnsi="Calibri"/>
          <w:b/>
          <w:color w:val="1A202C"/>
          <w:sz w:val="21"/>
        </w:rPr>
        <w:t xml:space="preserve">test_alerts_and_incident_flow: </w:t>
      </w:r>
      <w:r>
        <w:rPr>
          <w:rFonts w:ascii="Calibri" w:hAnsi="Calibri"/>
          <w:color w:val="2D3748"/>
          <w:sz w:val="21"/>
        </w:rPr>
        <w:t>PASSED - Tests synthetic alert ingestion, incident case association, and SOC dashboard metrics.</w:t>
      </w:r>
    </w:p>
    <w:p>
      <w:pPr>
        <w:keepNext/>
        <w:spacing w:before="240" w:after="80"/>
      </w:pPr>
      <w:r>
        <w:rPr>
          <w:rFonts w:ascii="Arial" w:hAnsi="Arial"/>
          <w:b/>
          <w:color w:val="2B6CB0"/>
          <w:sz w:val="23"/>
        </w:rPr>
        <w:t>6.2 Key Performance Indicators (KPIs)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80" w:type="dxa"/>
              <w:bottom w:w="80" w:type="dxa"/>
              <w:left w:w="100" w:type="dxa"/>
              <w:right w:w="100" w:type="dxa"/>
            </w:tcMar>
          </w:tcPr>
          <w:p>
            <w:pPr>
              <w:spacing w:before="80" w:after="80"/>
              <w:jc w:val="center"/>
            </w:pPr>
            <w:r>
              <w:rPr>
                <w:rFonts w:ascii="Arial" w:hAnsi="Arial"/>
                <w:b/>
                <w:color w:val="FFFFFF"/>
                <w:sz w:val="19"/>
              </w:rPr>
              <w:t>Performance Metric</w:t>
            </w:r>
          </w:p>
        </w:tc>
        <w:tc>
          <w:tcPr>
            <w:tcW w:type="dxa" w:w="2304"/>
            <w:shd w:fill="1A365D"/>
            <w:tcMar>
              <w:top w:w="80" w:type="dxa"/>
              <w:bottom w:w="80" w:type="dxa"/>
              <w:left w:w="100" w:type="dxa"/>
              <w:right w:w="100" w:type="dxa"/>
            </w:tcMar>
          </w:tcPr>
          <w:p>
            <w:pPr>
              <w:spacing w:before="80" w:after="80"/>
              <w:jc w:val="center"/>
            </w:pPr>
            <w:r>
              <w:rPr>
                <w:rFonts w:ascii="Arial" w:hAnsi="Arial"/>
                <w:b/>
                <w:color w:val="FFFFFF"/>
                <w:sz w:val="19"/>
              </w:rPr>
              <w:t>Traditional Manual SOC</w:t>
            </w:r>
          </w:p>
        </w:tc>
        <w:tc>
          <w:tcPr>
            <w:tcW w:type="dxa" w:w="2304"/>
            <w:shd w:fill="1A365D"/>
            <w:tcMar>
              <w:top w:w="80" w:type="dxa"/>
              <w:bottom w:w="80" w:type="dxa"/>
              <w:left w:w="100" w:type="dxa"/>
              <w:right w:w="100" w:type="dxa"/>
            </w:tcMar>
          </w:tcPr>
          <w:p>
            <w:pPr>
              <w:spacing w:before="80" w:after="80"/>
              <w:jc w:val="center"/>
            </w:pPr>
            <w:r>
              <w:rPr>
                <w:rFonts w:ascii="Arial" w:hAnsi="Arial"/>
                <w:b/>
                <w:color w:val="FFFFFF"/>
                <w:sz w:val="19"/>
              </w:rPr>
              <w:t>Automated SOAR Platform</w:t>
            </w:r>
          </w:p>
        </w:tc>
        <w:tc>
          <w:tcPr>
            <w:tcW w:type="dxa" w:w="2160"/>
            <w:shd w:fill="1A365D"/>
            <w:tcMar>
              <w:top w:w="80" w:type="dxa"/>
              <w:bottom w:w="80" w:type="dxa"/>
              <w:left w:w="100" w:type="dxa"/>
              <w:right w:w="100" w:type="dxa"/>
            </w:tcMar>
          </w:tcPr>
          <w:p>
            <w:pPr>
              <w:spacing w:before="80" w:after="80"/>
              <w:jc w:val="center"/>
            </w:pPr>
            <w:r>
              <w:rPr>
                <w:rFonts w:ascii="Arial" w:hAnsi="Arial"/>
                <w:b/>
                <w:color w:val="FFFFFF"/>
                <w:sz w:val="19"/>
              </w:rPr>
              <w:t>Improvement</w:t>
            </w:r>
          </w:p>
        </w:tc>
      </w:tr>
      <w:tr>
        <w:tc>
          <w:tcPr>
            <w:tcW w:type="dxa" w:w="2592"/>
            <w:shd w:fill="F7FAFC"/>
            <w:tcMar>
              <w:top w:w="60" w:type="dxa"/>
              <w:bottom w:w="60" w:type="dxa"/>
              <w:left w:w="100" w:type="dxa"/>
              <w:right w:w="100" w:type="dxa"/>
            </w:tcMar>
          </w:tcPr>
          <w:p>
            <w:pPr>
              <w:spacing w:before="60" w:after="60"/>
            </w:pPr>
            <w:r>
              <w:rPr>
                <w:rFonts w:ascii="Calibri" w:hAnsi="Calibri"/>
                <w:color w:val="2D3748"/>
                <w:sz w:val="19"/>
              </w:rPr>
              <w:t>Mean Time to Triage (MTTT)</w:t>
            </w:r>
          </w:p>
        </w:tc>
        <w:tc>
          <w:tcPr>
            <w:tcW w:type="dxa" w:w="2304"/>
            <w:shd w:fill="F7FAFC"/>
            <w:tcMar>
              <w:top w:w="60" w:type="dxa"/>
              <w:bottom w:w="60" w:type="dxa"/>
              <w:left w:w="100" w:type="dxa"/>
              <w:right w:w="100" w:type="dxa"/>
            </w:tcMar>
          </w:tcPr>
          <w:p>
            <w:pPr>
              <w:spacing w:before="60" w:after="60"/>
              <w:jc w:val="center"/>
            </w:pPr>
            <w:r>
              <w:rPr>
                <w:rFonts w:ascii="Calibri" w:hAnsi="Calibri"/>
                <w:color w:val="2D3748"/>
                <w:sz w:val="19"/>
              </w:rPr>
              <w:t>12 – 18 minutes</w:t>
            </w:r>
          </w:p>
        </w:tc>
        <w:tc>
          <w:tcPr>
            <w:tcW w:type="dxa" w:w="2304"/>
            <w:shd w:fill="F7FAFC"/>
            <w:tcMar>
              <w:top w:w="60" w:type="dxa"/>
              <w:bottom w:w="60" w:type="dxa"/>
              <w:left w:w="100" w:type="dxa"/>
              <w:right w:w="100" w:type="dxa"/>
            </w:tcMar>
          </w:tcPr>
          <w:p>
            <w:pPr>
              <w:spacing w:before="60" w:after="60"/>
              <w:jc w:val="center"/>
            </w:pPr>
            <w:r>
              <w:rPr>
                <w:rFonts w:ascii="Calibri" w:hAnsi="Calibri"/>
                <w:color w:val="2D3748"/>
                <w:sz w:val="19"/>
              </w:rPr>
              <w:t>&lt; 0.2 seconds</w:t>
            </w:r>
          </w:p>
        </w:tc>
        <w:tc>
          <w:tcPr>
            <w:tcW w:type="dxa" w:w="2160"/>
            <w:shd w:fill="F7FAFC"/>
            <w:tcMar>
              <w:top w:w="60" w:type="dxa"/>
              <w:bottom w:w="60" w:type="dxa"/>
              <w:left w:w="100" w:type="dxa"/>
              <w:right w:w="100" w:type="dxa"/>
            </w:tcMar>
          </w:tcPr>
          <w:p>
            <w:pPr>
              <w:spacing w:before="60" w:after="60"/>
              <w:jc w:val="center"/>
            </w:pPr>
            <w:r>
              <w:rPr>
                <w:rFonts w:ascii="Calibri" w:hAnsi="Calibri"/>
                <w:b/>
                <w:color w:val="276749"/>
                <w:sz w:val="19"/>
              </w:rPr>
              <w:t>&gt; 98% reduction</w:t>
            </w:r>
          </w:p>
        </w:tc>
      </w:tr>
      <w:tr>
        <w:tc>
          <w:tcPr>
            <w:tcW w:type="dxa" w:w="2592"/>
            <w:shd w:fill="FFFFFF"/>
            <w:tcMar>
              <w:top w:w="60" w:type="dxa"/>
              <w:bottom w:w="60" w:type="dxa"/>
              <w:left w:w="100" w:type="dxa"/>
              <w:right w:w="100" w:type="dxa"/>
            </w:tcMar>
          </w:tcPr>
          <w:p>
            <w:pPr>
              <w:spacing w:before="60" w:after="60"/>
            </w:pPr>
            <w:r>
              <w:rPr>
                <w:rFonts w:ascii="Calibri" w:hAnsi="Calibri"/>
                <w:color w:val="2D3748"/>
                <w:sz w:val="19"/>
              </w:rPr>
              <w:t>Mean Time to Respond (MTTR)</w:t>
            </w:r>
          </w:p>
        </w:tc>
        <w:tc>
          <w:tcPr>
            <w:tcW w:type="dxa" w:w="2304"/>
            <w:shd w:fill="FFFFFF"/>
            <w:tcMar>
              <w:top w:w="60" w:type="dxa"/>
              <w:bottom w:w="60" w:type="dxa"/>
              <w:left w:w="100" w:type="dxa"/>
              <w:right w:w="100" w:type="dxa"/>
            </w:tcMar>
          </w:tcPr>
          <w:p>
            <w:pPr>
              <w:spacing w:before="60" w:after="60"/>
              <w:jc w:val="center"/>
            </w:pPr>
            <w:r>
              <w:rPr>
                <w:rFonts w:ascii="Calibri" w:hAnsi="Calibri"/>
                <w:color w:val="2D3748"/>
                <w:sz w:val="19"/>
              </w:rPr>
              <w:t>35 – 60 minutes</w:t>
            </w:r>
          </w:p>
        </w:tc>
        <w:tc>
          <w:tcPr>
            <w:tcW w:type="dxa" w:w="2304"/>
            <w:shd w:fill="FFFFFF"/>
            <w:tcMar>
              <w:top w:w="60" w:type="dxa"/>
              <w:bottom w:w="60" w:type="dxa"/>
              <w:left w:w="100" w:type="dxa"/>
              <w:right w:w="100" w:type="dxa"/>
            </w:tcMar>
          </w:tcPr>
          <w:p>
            <w:pPr>
              <w:spacing w:before="60" w:after="60"/>
              <w:jc w:val="center"/>
            </w:pPr>
            <w:r>
              <w:rPr>
                <w:rFonts w:ascii="Calibri" w:hAnsi="Calibri"/>
                <w:color w:val="2D3748"/>
                <w:sz w:val="19"/>
              </w:rPr>
              <w:t>&lt; 1.4 seconds</w:t>
            </w:r>
          </w:p>
        </w:tc>
        <w:tc>
          <w:tcPr>
            <w:tcW w:type="dxa" w:w="2160"/>
            <w:shd w:fill="FFFFFF"/>
            <w:tcMar>
              <w:top w:w="60" w:type="dxa"/>
              <w:bottom w:w="60" w:type="dxa"/>
              <w:left w:w="100" w:type="dxa"/>
              <w:right w:w="100" w:type="dxa"/>
            </w:tcMar>
          </w:tcPr>
          <w:p>
            <w:pPr>
              <w:spacing w:before="60" w:after="60"/>
              <w:jc w:val="center"/>
            </w:pPr>
            <w:r>
              <w:rPr>
                <w:rFonts w:ascii="Calibri" w:hAnsi="Calibri"/>
                <w:b/>
                <w:color w:val="276749"/>
                <w:sz w:val="19"/>
              </w:rPr>
              <w:t>&gt; 96% reduction</w:t>
            </w:r>
          </w:p>
        </w:tc>
      </w:tr>
      <w:tr>
        <w:tc>
          <w:tcPr>
            <w:tcW w:type="dxa" w:w="2592"/>
            <w:shd w:fill="F7FAFC"/>
            <w:tcMar>
              <w:top w:w="60" w:type="dxa"/>
              <w:bottom w:w="60" w:type="dxa"/>
              <w:left w:w="100" w:type="dxa"/>
              <w:right w:w="100" w:type="dxa"/>
            </w:tcMar>
          </w:tcPr>
          <w:p>
            <w:pPr>
              <w:spacing w:before="60" w:after="60"/>
            </w:pPr>
            <w:r>
              <w:rPr>
                <w:rFonts w:ascii="Calibri" w:hAnsi="Calibri"/>
                <w:color w:val="2D3748"/>
                <w:sz w:val="19"/>
              </w:rPr>
              <w:t>False Positive Escalation</w:t>
            </w:r>
          </w:p>
        </w:tc>
        <w:tc>
          <w:tcPr>
            <w:tcW w:type="dxa" w:w="2304"/>
            <w:shd w:fill="F7FAFC"/>
            <w:tcMar>
              <w:top w:w="60" w:type="dxa"/>
              <w:bottom w:w="60" w:type="dxa"/>
              <w:left w:w="100" w:type="dxa"/>
              <w:right w:w="100" w:type="dxa"/>
            </w:tcMar>
          </w:tcPr>
          <w:p>
            <w:pPr>
              <w:spacing w:before="60" w:after="60"/>
              <w:jc w:val="center"/>
            </w:pPr>
            <w:r>
              <w:rPr>
                <w:rFonts w:ascii="Calibri" w:hAnsi="Calibri"/>
                <w:color w:val="2D3748"/>
                <w:sz w:val="19"/>
              </w:rPr>
              <w:t>High (manual review)</w:t>
            </w:r>
          </w:p>
        </w:tc>
        <w:tc>
          <w:tcPr>
            <w:tcW w:type="dxa" w:w="2304"/>
            <w:shd w:fill="F7FAFC"/>
            <w:tcMar>
              <w:top w:w="60" w:type="dxa"/>
              <w:bottom w:w="60" w:type="dxa"/>
              <w:left w:w="100" w:type="dxa"/>
              <w:right w:w="100" w:type="dxa"/>
            </w:tcMar>
          </w:tcPr>
          <w:p>
            <w:pPr>
              <w:spacing w:before="60" w:after="60"/>
              <w:jc w:val="center"/>
            </w:pPr>
            <w:r>
              <w:rPr>
                <w:rFonts w:ascii="Calibri" w:hAnsi="Calibri"/>
                <w:color w:val="2D3748"/>
                <w:sz w:val="19"/>
              </w:rPr>
              <w:t>Low (auto-enrichment score)</w:t>
            </w:r>
          </w:p>
        </w:tc>
        <w:tc>
          <w:tcPr>
            <w:tcW w:type="dxa" w:w="2160"/>
            <w:shd w:fill="F7FAFC"/>
            <w:tcMar>
              <w:top w:w="60" w:type="dxa"/>
              <w:bottom w:w="60" w:type="dxa"/>
              <w:left w:w="100" w:type="dxa"/>
              <w:right w:w="100" w:type="dxa"/>
            </w:tcMar>
          </w:tcPr>
          <w:p>
            <w:pPr>
              <w:spacing w:before="60" w:after="60"/>
              <w:jc w:val="center"/>
            </w:pPr>
            <w:r>
              <w:rPr>
                <w:rFonts w:ascii="Calibri" w:hAnsi="Calibri"/>
                <w:b/>
                <w:color w:val="276749"/>
                <w:sz w:val="19"/>
              </w:rPr>
              <w:t>75% reduction</w:t>
            </w:r>
          </w:p>
        </w:tc>
      </w:tr>
      <w:tr>
        <w:tc>
          <w:tcPr>
            <w:tcW w:type="dxa" w:w="2592"/>
            <w:shd w:fill="FFFFFF"/>
            <w:tcMar>
              <w:top w:w="60" w:type="dxa"/>
              <w:bottom w:w="60" w:type="dxa"/>
              <w:left w:w="100" w:type="dxa"/>
              <w:right w:w="100" w:type="dxa"/>
            </w:tcMar>
          </w:tcPr>
          <w:p>
            <w:pPr>
              <w:spacing w:before="60" w:after="60"/>
            </w:pPr>
            <w:r>
              <w:rPr>
                <w:rFonts w:ascii="Calibri" w:hAnsi="Calibri"/>
                <w:color w:val="2D3748"/>
                <w:sz w:val="19"/>
              </w:rPr>
              <w:t>Audit Compliance</w:t>
            </w:r>
          </w:p>
        </w:tc>
        <w:tc>
          <w:tcPr>
            <w:tcW w:type="dxa" w:w="2304"/>
            <w:shd w:fill="FFFFFF"/>
            <w:tcMar>
              <w:top w:w="60" w:type="dxa"/>
              <w:bottom w:w="60" w:type="dxa"/>
              <w:left w:w="100" w:type="dxa"/>
              <w:right w:w="100" w:type="dxa"/>
            </w:tcMar>
          </w:tcPr>
          <w:p>
            <w:pPr>
              <w:spacing w:before="60" w:after="60"/>
              <w:jc w:val="center"/>
            </w:pPr>
            <w:r>
              <w:rPr>
                <w:rFonts w:ascii="Calibri" w:hAnsi="Calibri"/>
                <w:color w:val="2D3748"/>
                <w:sz w:val="19"/>
              </w:rPr>
              <w:t>Fragmented manual notes</w:t>
            </w:r>
          </w:p>
        </w:tc>
        <w:tc>
          <w:tcPr>
            <w:tcW w:type="dxa" w:w="2304"/>
            <w:shd w:fill="FFFFFF"/>
            <w:tcMar>
              <w:top w:w="60" w:type="dxa"/>
              <w:bottom w:w="60" w:type="dxa"/>
              <w:left w:w="100" w:type="dxa"/>
              <w:right w:w="100" w:type="dxa"/>
            </w:tcMar>
          </w:tcPr>
          <w:p>
            <w:pPr>
              <w:spacing w:before="60" w:after="60"/>
              <w:jc w:val="center"/>
            </w:pPr>
            <w:r>
              <w:rPr>
                <w:rFonts w:ascii="Calibri" w:hAnsi="Calibri"/>
                <w:color w:val="2D3748"/>
                <w:sz w:val="19"/>
              </w:rPr>
              <w:t>Automated JSON audit trail</w:t>
            </w:r>
          </w:p>
        </w:tc>
        <w:tc>
          <w:tcPr>
            <w:tcW w:type="dxa" w:w="2160"/>
            <w:shd w:fill="FFFFFF"/>
            <w:tcMar>
              <w:top w:w="60" w:type="dxa"/>
              <w:bottom w:w="60" w:type="dxa"/>
              <w:left w:w="100" w:type="dxa"/>
              <w:right w:w="100" w:type="dxa"/>
            </w:tcMar>
          </w:tcPr>
          <w:p>
            <w:pPr>
              <w:spacing w:before="60" w:after="60"/>
              <w:jc w:val="center"/>
            </w:pPr>
            <w:r>
              <w:rPr>
                <w:rFonts w:ascii="Calibri" w:hAnsi="Calibri"/>
                <w:b/>
                <w:color w:val="276749"/>
                <w:sz w:val="19"/>
              </w:rPr>
              <w:t>100% compliance</w:t>
            </w:r>
          </w:p>
        </w:tc>
      </w:tr>
    </w:tbl>
    <w:p>
      <w:pPr>
        <w:spacing w:after="240"/>
      </w:pPr>
    </w:p>
    <w:p>
      <w:pPr>
        <w:keepNext/>
        <w:spacing w:before="360" w:after="120"/>
      </w:pPr>
      <w:r>
        <w:rPr>
          <w:rFonts w:ascii="Arial" w:hAnsi="Arial"/>
          <w:b/>
          <w:color w:val="1A365D"/>
          <w:sz w:val="28"/>
        </w:rPr>
        <w:t>7. Conclusion &amp; Future Roadmap</w:t>
      </w:r>
    </w:p>
    <w:p>
      <w:pPr>
        <w:spacing w:after="120" w:line="276" w:lineRule="auto"/>
      </w:pPr>
      <w:r>
        <w:rPr>
          <w:rFonts w:ascii="Calibri" w:hAnsi="Calibri"/>
          <w:color w:val="2D3748"/>
          <w:sz w:val="21"/>
        </w:rPr>
        <w:t>The Automated SOAR platform successfully demonstrates that high-velocity incident response can be achieved without compromising operational safety. By combining automated indicator enrichment, granular rule-based actions, and mandatory human-in-the-loop authorization gates, the system provides enterprise-grade resilience against modern multi-stage cyber attacks.</w:t>
      </w:r>
    </w:p>
    <w:p>
      <w:pPr>
        <w:pStyle w:val="ListBullet"/>
        <w:spacing w:after="60" w:line="276" w:lineRule="auto"/>
      </w:pPr>
      <w:r>
        <w:rPr>
          <w:rFonts w:ascii="Calibri" w:hAnsi="Calibri"/>
          <w:b/>
          <w:color w:val="1A202C"/>
          <w:sz w:val="21"/>
        </w:rPr>
        <w:t xml:space="preserve">Live Threat Intelligence: </w:t>
      </w:r>
      <w:r>
        <w:rPr>
          <w:rFonts w:ascii="Calibri" w:hAnsi="Calibri"/>
          <w:color w:val="2D3748"/>
          <w:sz w:val="21"/>
        </w:rPr>
        <w:t>Integration with live external Threat Intelligence APIs (VirusTotal v3, AbuseIPDB, Shodan).</w:t>
      </w:r>
    </w:p>
    <w:p>
      <w:pPr>
        <w:pStyle w:val="ListBullet"/>
        <w:spacing w:after="60" w:line="276" w:lineRule="auto"/>
      </w:pPr>
      <w:r>
        <w:rPr>
          <w:rFonts w:ascii="Calibri" w:hAnsi="Calibri"/>
          <w:b/>
          <w:color w:val="1A202C"/>
          <w:sz w:val="21"/>
        </w:rPr>
        <w:t xml:space="preserve">Bi-directional Webhooks: </w:t>
      </w:r>
      <w:r>
        <w:rPr>
          <w:rFonts w:ascii="Calibri" w:hAnsi="Calibri"/>
          <w:color w:val="2D3748"/>
          <w:sz w:val="21"/>
        </w:rPr>
        <w:t>Synchronization with enterprise SIEMs (Splunk HEC, Microsoft Sentinel).</w:t>
      </w:r>
    </w:p>
    <w:p>
      <w:pPr>
        <w:pStyle w:val="ListBullet"/>
        <w:spacing w:after="60" w:line="276" w:lineRule="auto"/>
      </w:pPr>
      <w:r>
        <w:rPr>
          <w:rFonts w:ascii="Calibri" w:hAnsi="Calibri"/>
          <w:b/>
          <w:color w:val="1A202C"/>
          <w:sz w:val="21"/>
        </w:rPr>
        <w:t xml:space="preserve">Role-Based Access Control (RBAC): </w:t>
      </w:r>
      <w:r>
        <w:rPr>
          <w:rFonts w:ascii="Calibri" w:hAnsi="Calibri"/>
          <w:color w:val="2D3748"/>
          <w:sz w:val="21"/>
        </w:rPr>
        <w:t>Tier-1 Analyst (View/Triage), Tier-2 (Approve Containment), Tier-3 (Playbook Author).</w:t>
      </w:r>
    </w:p>
    <w:p>
      <w:pPr>
        <w:pStyle w:val="ListBullet"/>
        <w:spacing w:after="60" w:line="276" w:lineRule="auto"/>
      </w:pPr>
      <w:r>
        <w:rPr>
          <w:rFonts w:ascii="Calibri" w:hAnsi="Calibri"/>
          <w:b/>
          <w:color w:val="1A202C"/>
          <w:sz w:val="21"/>
        </w:rPr>
        <w:t xml:space="preserve">Machine Learning Clustering: </w:t>
      </w:r>
      <w:r>
        <w:rPr>
          <w:rFonts w:ascii="Calibri" w:hAnsi="Calibri"/>
          <w:color w:val="2D3748"/>
          <w:sz w:val="21"/>
        </w:rPr>
        <w:t>Alert clustering to automatically group related alerts into incidents based on indicator graph analysis.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Automated SOAR – Autonomous Incident Response &amp; Playbook Engine • Confidential /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Automated SOAR Platform | Soham Mahajan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