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Turbofan RUL Project Interim Progress Report</w:t>
      </w:r>
    </w:p>
    <w:p>
      <w:pPr>
        <w:spacing w:after="200"/>
      </w:pPr>
      <w:r>
        <w:rPr>
          <w:color w:val="41464C"/>
          <w:sz w:val="19"/>
        </w:rPr>
        <w:t>Review meeting 30 September 2026  |  Five member project team</w:t>
      </w:r>
    </w:p>
    <w:p>
      <w:r>
        <w:t>Since the previous review, which covered exploratory data analysis, we have built and evaluated a supervised regression workflow for remaining useful life. This meeting should focus on the first two evaluated subsets, FD001 and FD002. The full four-subset comparison and detailed error analysis are saved for the final review; their results already exist in the repository.</w:t>
      </w:r>
    </w:p>
    <w:p>
      <w:pPr>
        <w:pStyle w:val="Heading1"/>
      </w:pPr>
      <w:r>
        <w:t>Progress since the EDA review</w:t>
      </w:r>
    </w:p>
    <w:p>
      <w:pPr>
        <w:pStyle w:val="ListBullet"/>
      </w:pPr>
      <w:r>
        <w:t>Prepared model inputs from operating settings and sensor histories, including one-cycle changes and five-cycle rolling means that use only current and past observations.</w:t>
      </w:r>
    </w:p>
    <w:p>
      <w:pPr>
        <w:pStyle w:val="ListBullet"/>
      </w:pPr>
      <w:r>
        <w:t>Separated training and validation by engine, not by individual data row. Selected sensors from training engines only, to avoid validation leakage.</w:t>
      </w:r>
    </w:p>
    <w:p>
      <w:pPr>
        <w:pStyle w:val="ListBullet"/>
      </w:pPr>
      <w:r>
        <w:t>Compared a median baseline, Ridge regression, Random Forest, and Histogram Gradient Boosting. The selected model was chosen using validation RMSE.</w:t>
      </w:r>
    </w:p>
    <w:p>
      <w:pPr>
        <w:pStyle w:val="ListBullet"/>
      </w:pPr>
      <w:r>
        <w:t>Refitted the chosen model on all training engines and evaluated it at the last observed cycle of each official test engine. Test RUL answers were used only for evaluation.</w:t>
      </w:r>
    </w:p>
    <w:p>
      <w:pPr>
        <w:pStyle w:val="Heading1"/>
      </w:pPr>
      <w:r>
        <w:t>FD001 model selection</w:t>
      </w:r>
    </w:p>
    <w:p>
      <w:r>
        <w:t>FD001 has 100 training engines. A fixed engine-wise split reserved 20 engines for validation. Each validation engine contributed one partial-history prediction point; the comparison below is validation performance, not the final test result.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2045"/>
        <w:gridCol w:w="2160"/>
        <w:gridCol w:w="1987"/>
      </w:tblGrid>
      <w:tr>
        <w:tc>
          <w:tcPr>
            <w:tcW w:type="dxa" w:w="3744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045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Validation MAE</w:t>
            </w:r>
          </w:p>
        </w:tc>
        <w:tc>
          <w:tcPr>
            <w:tcW w:type="dxa" w:w="2160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Validation RMSE</w:t>
            </w:r>
          </w:p>
        </w:tc>
        <w:tc>
          <w:tcPr>
            <w:tcW w:type="dxa" w:w="1987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Validation R²</w:t>
            </w:r>
          </w:p>
        </w:tc>
      </w:tr>
      <w:tr>
        <w:trPr/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21.01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27.17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-0.72</w:t>
            </w:r>
          </w:p>
        </w:tc>
      </w:tr>
      <w:tr>
        <w:trPr/>
        <w:tc>
          <w:tcPr>
            <w:tcW w:type="dxa" w:w="3744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Histogram Gradient Boosting</w:t>
            </w:r>
          </w:p>
        </w:tc>
        <w:tc>
          <w:tcPr>
            <w:tcW w:type="dxa" w:w="2045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21.12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27.31</w:t>
            </w:r>
          </w:p>
        </w:tc>
        <w:tc>
          <w:tcPr>
            <w:tcW w:type="dxa" w:w="1987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-0.74</w:t>
            </w:r>
          </w:p>
        </w:tc>
      </w:tr>
      <w:tr>
        <w:trPr/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Ridge regression</w:t>
            </w:r>
          </w:p>
        </w:tc>
        <w:tc>
          <w:tcPr>
            <w:tcW w:type="dxa" w:w="204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27.66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32.93</w:t>
            </w:r>
          </w:p>
        </w:tc>
        <w:tc>
          <w:tcPr>
            <w:tcW w:type="dxa" w:w="198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-1.53</w:t>
            </w:r>
          </w:p>
        </w:tc>
      </w:tr>
      <w:tr>
        <w:trPr/>
        <w:tc>
          <w:tcPr>
            <w:tcW w:type="dxa" w:w="3744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Median baseline</w:t>
            </w:r>
          </w:p>
        </w:tc>
        <w:tc>
          <w:tcPr>
            <w:tcW w:type="dxa" w:w="2045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43.95</w:t>
            </w:r>
          </w:p>
        </w:tc>
        <w:tc>
          <w:tcPr>
            <w:tcW w:type="dxa" w:w="2160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47.51</w:t>
            </w:r>
          </w:p>
        </w:tc>
        <w:tc>
          <w:tcPr>
            <w:tcW w:type="dxa" w:w="1987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-4.26</w:t>
            </w:r>
          </w:p>
        </w:tc>
      </w:tr>
    </w:tbl>
    <w:p>
      <w:pPr>
        <w:spacing w:after="0"/>
      </w:pPr>
    </w:p>
    <w:p>
      <w:r>
        <w:t>Random Forest had the lowest validation RMSE for FD001. Its negative validation R² is a limitation of this single split and should be stated openly; the selected model was still better than the median baseline on MAE and RMSE.</w:t>
      </w:r>
    </w:p>
    <w:p>
      <w:r>
        <w:br w:type="page"/>
      </w:r>
    </w:p>
    <w:p>
      <w:pPr>
        <w:pStyle w:val="Heading1"/>
      </w:pPr>
      <w:r>
        <w:t>Official test results to show this week</w:t>
      </w:r>
    </w:p>
    <w:p>
      <w:r>
        <w:t>These values are from the official test engines, not training scores. MAE and RMSE measure error in operating cycles; lower is better. R² is not an accuracy percentage.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3"/>
        <w:gridCol w:w="3715"/>
        <w:gridCol w:w="1296"/>
        <w:gridCol w:w="1181"/>
        <w:gridCol w:w="1296"/>
        <w:gridCol w:w="1037"/>
      </w:tblGrid>
      <w:tr>
        <w:tc>
          <w:tcPr>
            <w:tcW w:type="dxa" w:w="1123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Subset</w:t>
            </w:r>
          </w:p>
        </w:tc>
        <w:tc>
          <w:tcPr>
            <w:tcW w:type="dxa" w:w="3715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Selected model</w:t>
            </w:r>
          </w:p>
        </w:tc>
        <w:tc>
          <w:tcPr>
            <w:tcW w:type="dxa" w:w="1296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Test engines</w:t>
            </w:r>
          </w:p>
        </w:tc>
        <w:tc>
          <w:tcPr>
            <w:tcW w:type="dxa" w:w="1181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MAE</w:t>
            </w:r>
          </w:p>
        </w:tc>
        <w:tc>
          <w:tcPr>
            <w:tcW w:type="dxa" w:w="1296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RMSE</w:t>
            </w:r>
          </w:p>
        </w:tc>
        <w:tc>
          <w:tcPr>
            <w:tcW w:type="dxa" w:w="1037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R²</w:t>
            </w:r>
          </w:p>
        </w:tc>
      </w:tr>
      <w:tr>
        <w:trPr/>
        <w:tc>
          <w:tcPr>
            <w:tcW w:type="dxa" w:w="1123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FD001</w:t>
            </w:r>
          </w:p>
        </w:tc>
        <w:tc>
          <w:tcPr>
            <w:tcW w:type="dxa" w:w="3715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100</w:t>
            </w:r>
          </w:p>
        </w:tc>
        <w:tc>
          <w:tcPr>
            <w:tcW w:type="dxa" w:w="1181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21.21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28.68</w:t>
            </w:r>
          </w:p>
        </w:tc>
        <w:tc>
          <w:tcPr>
            <w:tcW w:type="dxa" w:w="1037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0.52</w:t>
            </w:r>
          </w:p>
        </w:tc>
      </w:tr>
      <w:tr>
        <w:trPr/>
        <w:tc>
          <w:tcPr>
            <w:tcW w:type="dxa" w:w="1123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FD002</w:t>
            </w:r>
          </w:p>
        </w:tc>
        <w:tc>
          <w:tcPr>
            <w:tcW w:type="dxa" w:w="3715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Histogram Gradient Boosting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259</w:t>
            </w:r>
          </w:p>
        </w:tc>
        <w:tc>
          <w:tcPr>
            <w:tcW w:type="dxa" w:w="1181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20.27</w:t>
            </w:r>
          </w:p>
        </w:tc>
        <w:tc>
          <w:tcPr>
            <w:tcW w:type="dxa" w:w="1296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27.66</w:t>
            </w:r>
          </w:p>
        </w:tc>
        <w:tc>
          <w:tcPr>
            <w:tcW w:type="dxa" w:w="1037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0.74</w:t>
            </w:r>
          </w:p>
        </w:tc>
      </w:tr>
    </w:tbl>
    <w:p>
      <w:pPr>
        <w:spacing w:after="0"/>
      </w:pPr>
    </w:p>
    <w:p>
      <w:r>
        <w:t>FD002 has the stronger result in this specific test: lower average error and higher R². The two subsets differ in operating conditions and test engines, so this comparison does not prove one algorithm is universally better.</w:t>
      </w:r>
    </w:p>
    <w:p>
      <w:pPr>
        <w:pStyle w:val="Heading1"/>
      </w:pPr>
      <w:r>
        <w:t>Prediction graphs</w:t>
      </w:r>
    </w:p>
    <w:p>
      <w:r>
        <w:t>Each dot is one official test engine. The dashed diagonal is a perfect prediction. Distance from that line shows the prediction error; dots above it overestimate remaining life.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1"/>
        <w:gridCol w:w="5011"/>
      </w:tblGrid>
      <w:tr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_test_actual_vs_predict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FD001 official test actual versus predicted RUL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880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_test_actual_vs_predict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7"/>
              </w:rPr>
              <w:t>FD002 official test actual versus predicted RUL</w:t>
            </w:r>
          </w:p>
        </w:tc>
      </w:tr>
    </w:tbl>
    <w:p>
      <w:r>
        <w:br w:type="page"/>
      </w:r>
    </w:p>
    <w:p>
      <w:pPr>
        <w:pStyle w:val="Heading1"/>
      </w:pPr>
      <w:r>
        <w:t>Files to open during the review</w:t>
      </w:r>
    </w:p>
    <w:p>
      <w:r>
        <w:t>Start in the project folder named Turbofan_RUL_CMAPSS_25_30_Percent 2. Open the following files in this order; do not spend the meeting walking through every generated file.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5400"/>
        <w:gridCol w:w="3816"/>
      </w:tblGrid>
      <w:tr>
        <w:tc>
          <w:tcPr>
            <w:tcW w:type="dxa" w:w="720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Show</w:t>
            </w:r>
          </w:p>
        </w:tc>
        <w:tc>
          <w:tcPr>
            <w:tcW w:type="dxa" w:w="5400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816"/>
            <w:shd w:fill="243B55"/>
            <w:vAlign w:val="center"/>
          </w:tcPr>
          <w:p>
            <w:r>
              <w:rPr>
                <w:b/>
                <w:color w:val="FFFFFF"/>
                <w:sz w:val="18"/>
              </w:rPr>
              <w:t>What to point out</w:t>
            </w:r>
          </w:p>
        </w:tc>
      </w:tr>
      <w:tr>
        <w:trPr/>
        <w:tc>
          <w:tcPr>
            <w:tcW w:type="dxa" w:w="72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docs/DATA_DICTIONARY.md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26 raw fields: engine ID, cycle, 3 settings, 21 sensors.</w:t>
            </w:r>
          </w:p>
        </w:tc>
      </w:tr>
      <w:tr>
        <w:trPr/>
        <w:tc>
          <w:tcPr>
            <w:tcW w:type="dxa" w:w="720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5400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docs/MODELING_PROTOCOL.md</w:t>
            </w:r>
          </w:p>
        </w:tc>
        <w:tc>
          <w:tcPr>
            <w:tcW w:type="dxa" w:w="3816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Engine-wise validation and test-label separation.</w:t>
            </w:r>
          </w:p>
        </w:tc>
      </w:tr>
      <w:tr>
        <w:trPr/>
        <w:tc>
          <w:tcPr>
            <w:tcW w:type="dxa" w:w="72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reports/modeling/FD001/validation_metrics.csv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Four candidate models and FD001 winner.</w:t>
            </w:r>
          </w:p>
        </w:tc>
      </w:tr>
      <w:tr>
        <w:trPr/>
        <w:tc>
          <w:tcPr>
            <w:tcW w:type="dxa" w:w="720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4</w:t>
            </w:r>
          </w:p>
        </w:tc>
        <w:tc>
          <w:tcPr>
            <w:tcW w:type="dxa" w:w="5400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reports/modeling/FD001/official_test_metrics.csv</w:t>
            </w:r>
          </w:p>
        </w:tc>
        <w:tc>
          <w:tcPr>
            <w:tcW w:type="dxa" w:w="3816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FD001 test score, not training score.</w:t>
            </w:r>
          </w:p>
        </w:tc>
      </w:tr>
      <w:tr>
        <w:trPr/>
        <w:tc>
          <w:tcPr>
            <w:tcW w:type="dxa" w:w="72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reports/modeling/FD002/official_test_metrics.csv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FD002 test score.</w:t>
            </w:r>
          </w:p>
        </w:tc>
      </w:tr>
      <w:tr>
        <w:trPr/>
        <w:tc>
          <w:tcPr>
            <w:tcW w:type="dxa" w:w="720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5400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reports/modeling/FD001/official_test_actual_vs_predicted.png</w:t>
            </w:r>
          </w:p>
        </w:tc>
        <w:tc>
          <w:tcPr>
            <w:tcW w:type="dxa" w:w="3816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FD001 prediction scatter.</w:t>
            </w:r>
          </w:p>
        </w:tc>
      </w:tr>
      <w:tr>
        <w:trPr/>
        <w:tc>
          <w:tcPr>
            <w:tcW w:type="dxa" w:w="72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7</w:t>
            </w:r>
          </w:p>
        </w:tc>
        <w:tc>
          <w:tcPr>
            <w:tcW w:type="dxa" w:w="54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reports/modeling/FD002/official_test_actual_vs_predicted.png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FD002 prediction scatter.</w:t>
            </w:r>
          </w:p>
        </w:tc>
      </w:tr>
      <w:tr>
        <w:trPr/>
        <w:tc>
          <w:tcPr>
            <w:tcW w:type="dxa" w:w="720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5400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train_models.py</w:t>
            </w:r>
          </w:p>
        </w:tc>
        <w:tc>
          <w:tcPr>
            <w:tcW w:type="dxa" w:w="3816"/>
            <w:vAlign w:val="center"/>
            <w:shd w:fill="F1F5F9"/>
          </w:tcPr>
          <w:p>
            <w:pPr>
              <w:spacing w:after="0" w:before="0"/>
            </w:pPr>
            <w:r>
              <w:rPr>
                <w:sz w:val="18"/>
              </w:rPr>
              <w:t>Show models and workflow briefly, if asked.</w:t>
            </w:r>
          </w:p>
        </w:tc>
      </w:tr>
    </w:tbl>
    <w:p>
      <w:pPr>
        <w:spacing w:after="0"/>
      </w:pPr>
    </w:p>
    <w:p>
      <w:pPr>
        <w:pStyle w:val="Heading1"/>
      </w:pPr>
      <w:r>
        <w:t>Suggested five person speaking split</w:t>
      </w:r>
    </w:p>
    <w:p>
      <w:r>
        <w:t>This is a presentation plan, not a claim about who wrote each part. Replace member numbers with your actual speaking order.</w:t>
      </w:r>
    </w:p>
    <w:p>
      <w:pPr>
        <w:pStyle w:val="ListBullet"/>
      </w:pPr>
      <w:r>
        <w:t>Member 1: 30-second recap of the RUL problem and the raw data; show the data dictionary.</w:t>
      </w:r>
    </w:p>
    <w:p>
      <w:pPr>
        <w:pStyle w:val="ListBullet"/>
      </w:pPr>
      <w:r>
        <w:t>Member 2: preprocessing and model inputs; explain why sensor history uses no future cycles.</w:t>
      </w:r>
    </w:p>
    <w:p>
      <w:pPr>
        <w:pStyle w:val="ListBullet"/>
      </w:pPr>
      <w:r>
        <w:t>Member 3: train, validation, and test design; explain the engine-wise split and model-selection rule.</w:t>
      </w:r>
    </w:p>
    <w:p>
      <w:pPr>
        <w:pStyle w:val="ListBullet"/>
      </w:pPr>
      <w:r>
        <w:t>Member 4: FD001 validation comparison; explain why Random Forest was selected and why negative validation R² matters.</w:t>
      </w:r>
    </w:p>
    <w:p>
      <w:pPr>
        <w:pStyle w:val="ListBullet"/>
      </w:pPr>
      <w:r>
        <w:t>Member 5: FD001 and FD002 test table and graphs; close with what will be covered in the final review.</w:t>
      </w:r>
    </w:p>
    <w:p>
      <w:pPr>
        <w:pStyle w:val="Heading1"/>
      </w:pPr>
      <w:r>
        <w:t>Final review focus</w:t>
      </w:r>
    </w:p>
    <w:p>
      <w:r>
        <w:t>Reserve the complete FD001–FD004 comparison, the error-by-RUL and overestimation analysis, limitations, and the final interpretation for the final presentation. The four-subset runs and error tables are already generated; the remaining presentation work is to consolidate and explain them, check the pending local file changes, and rehearse a clean end-to-end demonstration. Do not describe these completed runs as future experiments.</w:t>
      </w:r>
    </w:p>
    <w:sectPr w:rsidR="00FC693F" w:rsidRPr="0006063C" w:rsidSect="00034616">
      <w:pgSz w:w="12240" w:h="15840"/>
      <w:pgMar w:top="979" w:right="1109" w:bottom="936" w:left="11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1920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