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C4A6E"/>
          <w:sz w:val="48"/>
        </w:rPr>
        <w:t>OpenSearch Web Search, Research, and Implementation Report</w:t>
      </w:r>
    </w:p>
    <w:p>
      <w:pPr>
        <w:spacing w:after="200"/>
      </w:pPr>
      <w:r>
        <w:rPr>
          <w:b/>
        </w:rPr>
        <w:t>Project: Agentic AutoML / Custom GPT Control Plane</w:t>
        <w:br/>
      </w:r>
      <w:r>
        <w:t>Scope: Separate OpenSearch web tab, provider chaining, indexing pipeline, and production-readiness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  <w:vAlign w:val="center"/>
            <w:shd w:fill="EAF4FB"/>
          </w:tcPr>
          <w:p>
            <w:r>
              <w:rPr>
                <w:b/>
              </w:rPr>
              <w:t xml:space="preserve">Status: </w:t>
            </w:r>
            <w:r>
              <w:t>Working</w:t>
            </w:r>
          </w:p>
        </w:tc>
        <w:tc>
          <w:tcPr>
            <w:tcW w:type="dxa" w:w="3168"/>
            <w:vAlign w:val="center"/>
            <w:shd w:fill="EAF4FB"/>
          </w:tcPr>
          <w:p>
            <w:r>
              <w:rPr>
                <w:b/>
              </w:rPr>
              <w:t xml:space="preserve">Providers: </w:t>
            </w:r>
            <w:r>
              <w:t>SearXNG + Tavily</w:t>
            </w:r>
          </w:p>
        </w:tc>
        <w:tc>
          <w:tcPr>
            <w:tcW w:type="dxa" w:w="3456"/>
            <w:vAlign w:val="center"/>
            <w:shd w:fill="EAF4FB"/>
          </w:tcPr>
          <w:p>
            <w:r>
              <w:rPr>
                <w:b/>
              </w:rPr>
              <w:t xml:space="preserve">LLM: </w:t>
            </w:r>
            <w:r>
              <w:t>Ollama single-model synthesis</w:t>
            </w:r>
          </w:p>
        </w:tc>
      </w:tr>
    </w:tbl>
    <w:p/>
    <w:p>
      <w:pPr>
        <w:pStyle w:val="Heading1"/>
      </w:pPr>
      <w:r>
        <w:t>Provider Research Summary</w:t>
      </w:r>
    </w:p>
    <w:p>
      <w:r>
        <w:t>We evaluated the free/self-hosted path and the managed API path so the OpenSearch web workspace could support both low-cost experimentation and more reliable fallback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AF7"/>
          </w:tcPr>
          <w:p>
            <w:r>
              <w:t>Provider</w:t>
            </w:r>
          </w:p>
        </w:tc>
        <w:tc>
          <w:tcPr>
            <w:tcW w:type="dxa" w:w="1930"/>
            <w:shd w:fill="D9EAF7"/>
          </w:tcPr>
          <w:p>
            <w:r>
              <w:t>Role</w:t>
            </w:r>
          </w:p>
        </w:tc>
        <w:tc>
          <w:tcPr>
            <w:tcW w:type="dxa" w:w="1930"/>
            <w:shd w:fill="D9EAF7"/>
          </w:tcPr>
          <w:p>
            <w:r>
              <w:t>Cost Model</w:t>
            </w:r>
          </w:p>
        </w:tc>
        <w:tc>
          <w:tcPr>
            <w:tcW w:type="dxa" w:w="1930"/>
            <w:shd w:fill="D9EAF7"/>
          </w:tcPr>
          <w:p>
            <w:r>
              <w:t>Strength</w:t>
            </w:r>
          </w:p>
        </w:tc>
        <w:tc>
          <w:tcPr>
            <w:tcW w:type="dxa" w:w="1930"/>
            <w:shd w:fill="D9EAF7"/>
          </w:tcPr>
          <w:p>
            <w:r>
              <w:t>Current Use</w:t>
            </w:r>
          </w:p>
        </w:tc>
      </w:tr>
      <w:tr>
        <w:tc>
          <w:tcPr>
            <w:tcW w:type="dxa" w:w="1930"/>
            <w:vAlign w:val="center"/>
          </w:tcPr>
          <w:p>
            <w:r>
              <w:t>SearXNG</w:t>
            </w:r>
          </w:p>
        </w:tc>
        <w:tc>
          <w:tcPr>
            <w:tcW w:type="dxa" w:w="1930"/>
            <w:vAlign w:val="center"/>
          </w:tcPr>
          <w:p>
            <w:r>
              <w:t>Primary live search</w:t>
            </w:r>
          </w:p>
        </w:tc>
        <w:tc>
          <w:tcPr>
            <w:tcW w:type="dxa" w:w="1930"/>
            <w:vAlign w:val="center"/>
          </w:tcPr>
          <w:p>
            <w:r>
              <w:t>Free / self-hosted</w:t>
            </w:r>
          </w:p>
        </w:tc>
        <w:tc>
          <w:tcPr>
            <w:tcW w:type="dxa" w:w="1930"/>
            <w:vAlign w:val="center"/>
          </w:tcPr>
          <w:p>
            <w:r>
              <w:t>No API key, private, controllable</w:t>
            </w:r>
          </w:p>
        </w:tc>
        <w:tc>
          <w:tcPr>
            <w:tcW w:type="dxa" w:w="1930"/>
            <w:vAlign w:val="center"/>
          </w:tcPr>
          <w:p>
            <w:r>
              <w:t>Primary when local service is up</w:t>
            </w:r>
          </w:p>
        </w:tc>
      </w:tr>
      <w:tr>
        <w:tc>
          <w:tcPr>
            <w:tcW w:type="dxa" w:w="1930"/>
            <w:vAlign w:val="center"/>
          </w:tcPr>
          <w:p>
            <w:r>
              <w:t>Tavily</w:t>
            </w:r>
          </w:p>
        </w:tc>
        <w:tc>
          <w:tcPr>
            <w:tcW w:type="dxa" w:w="1930"/>
            <w:vAlign w:val="center"/>
          </w:tcPr>
          <w:p>
            <w:r>
              <w:t>Fallback live search</w:t>
            </w:r>
          </w:p>
        </w:tc>
        <w:tc>
          <w:tcPr>
            <w:tcW w:type="dxa" w:w="1930"/>
            <w:vAlign w:val="center"/>
          </w:tcPr>
          <w:p>
            <w:r>
              <w:t>Managed API</w:t>
            </w:r>
          </w:p>
        </w:tc>
        <w:tc>
          <w:tcPr>
            <w:tcW w:type="dxa" w:w="1930"/>
            <w:vAlign w:val="center"/>
          </w:tcPr>
          <w:p>
            <w:r>
              <w:t>Reliable structured results for AI workflows</w:t>
            </w:r>
          </w:p>
        </w:tc>
        <w:tc>
          <w:tcPr>
            <w:tcW w:type="dxa" w:w="1930"/>
            <w:vAlign w:val="center"/>
          </w:tcPr>
          <w:p>
            <w:r>
              <w:t>Fallback when SearXNG is unavailable</w:t>
            </w:r>
          </w:p>
        </w:tc>
      </w:tr>
      <w:tr>
        <w:tc>
          <w:tcPr>
            <w:tcW w:type="dxa" w:w="1930"/>
            <w:vAlign w:val="center"/>
          </w:tcPr>
          <w:p>
            <w:r>
              <w:t>OpenSearch</w:t>
            </w:r>
          </w:p>
        </w:tc>
        <w:tc>
          <w:tcPr>
            <w:tcW w:type="dxa" w:w="1930"/>
            <w:vAlign w:val="center"/>
          </w:tcPr>
          <w:p>
            <w:r>
              <w:t>Index + retrieval store</w:t>
            </w:r>
          </w:p>
        </w:tc>
        <w:tc>
          <w:tcPr>
            <w:tcW w:type="dxa" w:w="1930"/>
            <w:vAlign w:val="center"/>
          </w:tcPr>
          <w:p>
            <w:r>
              <w:t>Self-hosted</w:t>
            </w:r>
          </w:p>
        </w:tc>
        <w:tc>
          <w:tcPr>
            <w:tcW w:type="dxa" w:w="1930"/>
            <w:vAlign w:val="center"/>
          </w:tcPr>
          <w:p>
            <w:r>
              <w:t>Keyword search, snippets, future hybrid retrieval</w:t>
            </w:r>
          </w:p>
        </w:tc>
        <w:tc>
          <w:tcPr>
            <w:tcW w:type="dxa" w:w="1930"/>
            <w:vAlign w:val="center"/>
          </w:tcPr>
          <w:p>
            <w:r>
              <w:t>Stores fetched pages for later search</w:t>
            </w:r>
          </w:p>
        </w:tc>
      </w:tr>
      <w:tr>
        <w:tc>
          <w:tcPr>
            <w:tcW w:type="dxa" w:w="1930"/>
            <w:vAlign w:val="center"/>
          </w:tcPr>
          <w:p>
            <w:r>
              <w:t>Ollama</w:t>
            </w:r>
          </w:p>
        </w:tc>
        <w:tc>
          <w:tcPr>
            <w:tcW w:type="dxa" w:w="1930"/>
            <w:vAlign w:val="center"/>
          </w:tcPr>
          <w:p>
            <w:r>
              <w:t>Answer synthesis</w:t>
            </w:r>
          </w:p>
        </w:tc>
        <w:tc>
          <w:tcPr>
            <w:tcW w:type="dxa" w:w="1930"/>
            <w:vAlign w:val="center"/>
          </w:tcPr>
          <w:p>
            <w:r>
              <w:t>Local model</w:t>
            </w:r>
          </w:p>
        </w:tc>
        <w:tc>
          <w:tcPr>
            <w:tcW w:type="dxa" w:w="1930"/>
            <w:vAlign w:val="center"/>
          </w:tcPr>
          <w:p>
            <w:r>
              <w:t>Single-model local summarization and context explanation</w:t>
            </w:r>
          </w:p>
        </w:tc>
        <w:tc>
          <w:tcPr>
            <w:tcW w:type="dxa" w:w="1930"/>
            <w:vAlign w:val="center"/>
          </w:tcPr>
          <w:p>
            <w:r>
              <w:t>Used to explain indexed search results</w:t>
            </w:r>
          </w:p>
        </w:tc>
      </w:tr>
      <w:tr>
        <w:tc>
          <w:tcPr>
            <w:tcW w:type="dxa" w:w="1930"/>
            <w:vAlign w:val="center"/>
          </w:tcPr>
          <w:p>
            <w:r>
              <w:t>MCP (future)</w:t>
            </w:r>
          </w:p>
        </w:tc>
        <w:tc>
          <w:tcPr>
            <w:tcW w:type="dxa" w:w="1930"/>
            <w:vAlign w:val="center"/>
          </w:tcPr>
          <w:p>
            <w:r>
              <w:t>Tool-access layer</w:t>
            </w:r>
          </w:p>
        </w:tc>
        <w:tc>
          <w:tcPr>
            <w:tcW w:type="dxa" w:w="1930"/>
            <w:vAlign w:val="center"/>
          </w:tcPr>
          <w:p>
            <w:r>
              <w:t>Depends on configured server</w:t>
            </w:r>
          </w:p>
        </w:tc>
        <w:tc>
          <w:tcPr>
            <w:tcW w:type="dxa" w:w="1930"/>
            <w:vAlign w:val="center"/>
          </w:tcPr>
          <w:p>
            <w:r>
              <w:t>Clean provider abstraction once installed</w:t>
            </w:r>
          </w:p>
        </w:tc>
        <w:tc>
          <w:tcPr>
            <w:tcW w:type="dxa" w:w="1930"/>
            <w:vAlign w:val="center"/>
          </w:tcPr>
          <w:p>
            <w:r>
              <w:t>Not configured yet in this workspace</w:t>
            </w:r>
          </w:p>
        </w:tc>
      </w:tr>
    </w:tbl>
    <w:p/>
    <w:p>
      <w:pPr>
        <w:pStyle w:val="Heading1"/>
      </w:pPr>
      <w:r>
        <w:t>Implemented Architecture</w:t>
      </w:r>
    </w:p>
    <w:p>
      <w:r>
        <w:t>The final implemented path for the dedicated OpenSearch workspace is:</w:t>
      </w:r>
    </w:p>
    <w:p>
      <w:pPr>
        <w:pStyle w:val="IntenseQuote"/>
      </w:pPr>
      <w:r>
        <w:t>User Query → Live Search Provider (SearXNG primary, Tavily fallback) → Page Fetch → OpenSearch Index → Indexed Search → Ollama Context Explanation → Clickable Links in Streamlit</w:t>
      </w:r>
    </w:p>
    <w:p>
      <w:r>
        <w:t>Key backend capabilities that were implemented:</w:t>
      </w:r>
    </w:p>
    <w:p>
      <w:pPr>
        <w:pStyle w:val="ListBullet"/>
      </w:pPr>
      <w:r>
        <w:t>Provider abstraction for manual URL ingestion, SearXNG, Tavily, Brave, and SerpAPI.</w:t>
      </w:r>
    </w:p>
    <w:p>
      <w:pPr>
        <w:pStyle w:val="ListBullet"/>
      </w:pPr>
      <w:r>
        <w:t>Provider chaining via environment variables so a self-hosted engine can fail over to a managed API.</w:t>
      </w:r>
    </w:p>
    <w:p>
      <w:pPr>
        <w:pStyle w:val="ListBullet"/>
      </w:pPr>
      <w:r>
        <w:t>Page fetching and content extraction before indexing into OpenSearch.</w:t>
      </w:r>
    </w:p>
    <w:p>
      <w:pPr>
        <w:pStyle w:val="ListBullet"/>
      </w:pPr>
      <w:r>
        <w:t>Context explanation using the same local model already running in Ollama, avoiding a second synthesis model.</w:t>
      </w:r>
    </w:p>
    <w:p>
      <w:pPr>
        <w:pStyle w:val="ListBullet"/>
      </w:pPr>
      <w:r>
        <w:t>Separate OpenSearch tab in Streamlit so web search is isolated from Custom GPT business flows.</w:t>
      </w:r>
    </w:p>
    <w:p>
      <w:pPr>
        <w:pStyle w:val="ListBullet"/>
      </w:pPr>
      <w:r>
        <w:t>Collection-based indexing for repeated searches and future source governance.</w:t>
      </w:r>
    </w:p>
    <w:p>
      <w:pPr>
        <w:pStyle w:val="Heading1"/>
      </w:pPr>
      <w:r>
        <w:t>What We Built</w:t>
      </w:r>
    </w:p>
    <w:p>
      <w:r>
        <w:t>Implementation work completed during the session included both research-driven architecture choices and concrete product changes.</w:t>
      </w:r>
    </w:p>
    <w:p>
      <w:pPr>
        <w:pStyle w:val="Heading2"/>
      </w:pPr>
      <w:r>
        <w:t>Backend changes</w:t>
      </w:r>
    </w:p>
    <w:p>
      <w:pPr>
        <w:pStyle w:val="ListBullet"/>
      </w:pPr>
      <w:r>
        <w:t>Added OpenSearch web service layer with ingest and search endpoints.</w:t>
      </w:r>
    </w:p>
    <w:p>
      <w:pPr>
        <w:pStyle w:val="ListBullet"/>
      </w:pPr>
      <w:r>
        <w:t>Added status endpoint so the UI can show provider readiness and MCP readiness separately.</w:t>
      </w:r>
    </w:p>
    <w:p>
      <w:pPr>
        <w:pStyle w:val="ListBullet"/>
      </w:pPr>
      <w:r>
        <w:t>Added provider chain support: WEB_SEARCH_PROVIDER plus WEB_SEARCH_PROVIDER_FALLBACKS.</w:t>
      </w:r>
    </w:p>
    <w:p>
      <w:pPr>
        <w:pStyle w:val="ListBullet"/>
      </w:pPr>
      <w:r>
        <w:t>Used OpenSearch as the persisted lexical layer for fetched page content and snippets.</w:t>
      </w:r>
    </w:p>
    <w:p>
      <w:pPr>
        <w:pStyle w:val="ListBullet"/>
      </w:pPr>
      <w:r>
        <w:t>Preserved manual URL ingestion so the feature remains useful even without live providers.</w:t>
      </w:r>
    </w:p>
    <w:p>
      <w:pPr>
        <w:pStyle w:val="Heading2"/>
      </w:pPr>
      <w:r>
        <w:t>Frontend changes</w:t>
      </w:r>
    </w:p>
    <w:p>
      <w:pPr>
        <w:pStyle w:val="ListBullet"/>
      </w:pPr>
      <w:r>
        <w:t>Created a dedicated OpenSearch tab instead of mixing web search into Custom GPT.</w:t>
      </w:r>
    </w:p>
    <w:p>
      <w:pPr>
        <w:pStyle w:val="ListBullet"/>
      </w:pPr>
      <w:r>
        <w:t>Added provider selection, collection naming, URL ingestion, live search, and context explanation output.</w:t>
      </w:r>
    </w:p>
    <w:p>
      <w:pPr>
        <w:pStyle w:val="ListBullet"/>
      </w:pPr>
      <w:r>
        <w:t>Displayed provider used, indexed count, links returned, and explanation output for verification.</w:t>
      </w:r>
    </w:p>
    <w:p>
      <w:pPr>
        <w:pStyle w:val="Heading2"/>
      </w:pPr>
      <w:r>
        <w:t>Operational fixes</w:t>
      </w:r>
    </w:p>
    <w:p>
      <w:pPr>
        <w:pStyle w:val="ListBullet"/>
      </w:pPr>
      <w:r>
        <w:t>Started and configured OpenSearch successfully.</w:t>
      </w:r>
    </w:p>
    <w:p>
      <w:pPr>
        <w:pStyle w:val="ListBullet"/>
      </w:pPr>
      <w:r>
        <w:t>Brought up SearXNG and patched it to allow JSON responses so the app could consume it programmatically.</w:t>
      </w:r>
    </w:p>
    <w:p>
      <w:pPr>
        <w:pStyle w:val="ListBullet"/>
      </w:pPr>
      <w:r>
        <w:t>Verified Tavily as the immediate working provider path when SearXNG was not yet available.</w:t>
      </w:r>
    </w:p>
    <w:p>
      <w:pPr>
        <w:pStyle w:val="ListBullet"/>
      </w:pPr>
      <w:r>
        <w:t>Kept MCP clearly separated as a future enhancement because no MCP search server was configured in this workspace.</w:t>
      </w:r>
    </w:p>
    <w:p>
      <w:pPr>
        <w:pStyle w:val="Heading1"/>
      </w:pPr>
      <w:r>
        <w:t>Research Findings and Conclusions</w:t>
      </w:r>
    </w:p>
    <w:p>
      <w:pPr>
        <w:pStyle w:val="ListNumber"/>
      </w:pPr>
      <w:r>
        <w:t>OpenSearch is not a web search engine by itself. It needs a search/fetch layer in front of it to gather internet content.</w:t>
      </w:r>
    </w:p>
    <w:p>
      <w:pPr>
        <w:pStyle w:val="ListNumber"/>
      </w:pPr>
      <w:r>
        <w:t>SearXNG is the best free/self-hosted choice for the top of the funnel when cost and control matter.</w:t>
      </w:r>
    </w:p>
    <w:p>
      <w:pPr>
        <w:pStyle w:val="ListNumber"/>
      </w:pPr>
      <w:r>
        <w:t>Tavily is a strong fallback because it returns structured results well-suited for AI synthesis workflows.</w:t>
      </w:r>
    </w:p>
    <w:p>
      <w:pPr>
        <w:pStyle w:val="ListNumber"/>
      </w:pPr>
      <w:r>
        <w:t>Using one local Ollama model is sufficient for explanation and context synthesis in the current product stage.</w:t>
      </w:r>
    </w:p>
    <w:p>
      <w:pPr>
        <w:pStyle w:val="ListNumber"/>
      </w:pPr>
      <w:r>
        <w:t>A separate OpenSearch workspace is the right UX decision because web-context workflows differ from CRM/KG business reasoning flows.</w:t>
      </w:r>
    </w:p>
    <w:p>
      <w:pPr>
        <w:pStyle w:val="ListNumber"/>
      </w:pPr>
      <w:r>
        <w:t>MCP should be added only after a real MCP search/fetch server exists; provider APIs were the correct production path for immediate testing.</w:t>
      </w:r>
    </w:p>
    <w:p>
      <w:pPr>
        <w:pStyle w:val="Heading1"/>
      </w:pPr>
      <w:r>
        <w:t>Observed Test Results</w:t>
      </w:r>
    </w:p>
    <w:p>
      <w:r>
        <w:t>The final successful test demonstrated the following working path:</w:t>
      </w:r>
    </w:p>
    <w:p>
      <w:pPr>
        <w:pStyle w:val="ListBullet"/>
      </w:pPr>
      <w:r>
        <w:t>Provider Used: Tavily</w:t>
      </w:r>
    </w:p>
    <w:p>
      <w:pPr>
        <w:pStyle w:val="ListBullet"/>
      </w:pPr>
      <w:r>
        <w:t>Indexed This Run: 8</w:t>
      </w:r>
    </w:p>
    <w:p>
      <w:pPr>
        <w:pStyle w:val="ListBullet"/>
      </w:pPr>
      <w:r>
        <w:t>Links Returned: 7</w:t>
      </w:r>
    </w:p>
    <w:p>
      <w:pPr>
        <w:pStyle w:val="ListBullet"/>
      </w:pPr>
      <w:r>
        <w:t>Context explanation generated successfully by the local model</w:t>
      </w:r>
    </w:p>
    <w:p>
      <w:pPr>
        <w:pStyle w:val="ListBullet"/>
      </w:pPr>
      <w:r>
        <w:t>Clickable links rendered in Streamlit</w:t>
      </w:r>
    </w:p>
    <w:p>
      <w:r>
        <w:t>Representative live search topics used during testing included:</w:t>
      </w:r>
    </w:p>
    <w:p>
      <w:pPr>
        <w:pStyle w:val="ListBullet"/>
      </w:pPr>
      <w:r>
        <w:t>Neo4j customer 360 graph database examples</w:t>
      </w:r>
    </w:p>
    <w:p>
      <w:pPr>
        <w:pStyle w:val="ListBullet"/>
      </w:pPr>
      <w:r>
        <w:t>Knowledge graph root cause analysis enterprise support</w:t>
      </w:r>
    </w:p>
    <w:p>
      <w:pPr>
        <w:pStyle w:val="ListBullet"/>
      </w:pPr>
      <w:r>
        <w:t>OpenSearch hybrid retrieval graph RAG</w:t>
      </w:r>
    </w:p>
    <w:p>
      <w:pPr>
        <w:pStyle w:val="ListBullet"/>
      </w:pPr>
      <w:r>
        <w:t>Enterprise customer graph churn signals</w:t>
      </w:r>
    </w:p>
    <w:p>
      <w:pPr>
        <w:pStyle w:val="Heading1"/>
      </w:pPr>
      <w:r>
        <w:t>Runbook and Required Environment</w:t>
      </w:r>
    </w:p>
    <w:p>
      <w:r>
        <w:t>To operate the OpenSearch workspace consistently, the following services and environment variables are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t>Component</w:t>
            </w:r>
          </w:p>
        </w:tc>
        <w:tc>
          <w:tcPr>
            <w:tcW w:type="dxa" w:w="3216"/>
            <w:shd w:fill="D9EAF7"/>
          </w:tcPr>
          <w:p>
            <w:r>
              <w:t>Requirement</w:t>
            </w:r>
          </w:p>
        </w:tc>
        <w:tc>
          <w:tcPr>
            <w:tcW w:type="dxa" w:w="3216"/>
            <w:shd w:fill="D9EAF7"/>
          </w:tcPr>
          <w:p>
            <w:r>
              <w:t>Notes</w:t>
            </w:r>
          </w:p>
        </w:tc>
      </w:tr>
      <w:tr>
        <w:tc>
          <w:tcPr>
            <w:tcW w:type="dxa" w:w="3216"/>
          </w:tcPr>
          <w:p>
            <w:r>
              <w:t>OpenSearch</w:t>
            </w:r>
          </w:p>
        </w:tc>
        <w:tc>
          <w:tcPr>
            <w:tcW w:type="dxa" w:w="3216"/>
          </w:tcPr>
          <w:p>
            <w:r>
              <w:t>OPENSEARCH_URL + local service</w:t>
            </w:r>
          </w:p>
        </w:tc>
        <w:tc>
          <w:tcPr>
            <w:tcW w:type="dxa" w:w="3216"/>
          </w:tcPr>
          <w:p>
            <w:r>
              <w:t>Stores fetched pages and supports indexed search</w:t>
            </w:r>
          </w:p>
        </w:tc>
      </w:tr>
      <w:tr>
        <w:tc>
          <w:tcPr>
            <w:tcW w:type="dxa" w:w="3216"/>
          </w:tcPr>
          <w:p>
            <w:r>
              <w:t>SearXNG</w:t>
            </w:r>
          </w:p>
        </w:tc>
        <w:tc>
          <w:tcPr>
            <w:tcW w:type="dxa" w:w="3216"/>
          </w:tcPr>
          <w:p>
            <w:r>
              <w:t>SEARXNG_BASE_URL + running container/service</w:t>
            </w:r>
          </w:p>
        </w:tc>
        <w:tc>
          <w:tcPr>
            <w:tcW w:type="dxa" w:w="3216"/>
          </w:tcPr>
          <w:p>
            <w:r>
              <w:t>Primary free provider</w:t>
            </w:r>
          </w:p>
        </w:tc>
      </w:tr>
      <w:tr>
        <w:tc>
          <w:tcPr>
            <w:tcW w:type="dxa" w:w="3216"/>
          </w:tcPr>
          <w:p>
            <w:r>
              <w:t>Tavily</w:t>
            </w:r>
          </w:p>
        </w:tc>
        <w:tc>
          <w:tcPr>
            <w:tcW w:type="dxa" w:w="3216"/>
          </w:tcPr>
          <w:p>
            <w:r>
              <w:t>TAVILY_API_KEY</w:t>
            </w:r>
          </w:p>
        </w:tc>
        <w:tc>
          <w:tcPr>
            <w:tcW w:type="dxa" w:w="3216"/>
          </w:tcPr>
          <w:p>
            <w:r>
              <w:t>Fallback provider when SearXNG is down or empty</w:t>
            </w:r>
          </w:p>
        </w:tc>
      </w:tr>
      <w:tr>
        <w:tc>
          <w:tcPr>
            <w:tcW w:type="dxa" w:w="3216"/>
          </w:tcPr>
          <w:p>
            <w:r>
              <w:t>Ollama</w:t>
            </w:r>
          </w:p>
        </w:tc>
        <w:tc>
          <w:tcPr>
            <w:tcW w:type="dxa" w:w="3216"/>
          </w:tcPr>
          <w:p>
            <w:r>
              <w:t>OLLAMA_OPENAI_BASE_URL + OLLAMA_CHAT_MODEL</w:t>
            </w:r>
          </w:p>
        </w:tc>
        <w:tc>
          <w:tcPr>
            <w:tcW w:type="dxa" w:w="3216"/>
          </w:tcPr>
          <w:p>
            <w:r>
              <w:t>Single-model explanation layer</w:t>
            </w:r>
          </w:p>
        </w:tc>
      </w:tr>
      <w:tr>
        <w:tc>
          <w:tcPr>
            <w:tcW w:type="dxa" w:w="3216"/>
          </w:tcPr>
          <w:p>
            <w:r>
              <w:t>Backend</w:t>
            </w:r>
          </w:p>
        </w:tc>
        <w:tc>
          <w:tcPr>
            <w:tcW w:type="dxa" w:w="3216"/>
          </w:tcPr>
          <w:p>
            <w:r>
              <w:t>FastAPI restarted after env changes</w:t>
            </w:r>
          </w:p>
        </w:tc>
        <w:tc>
          <w:tcPr>
            <w:tcW w:type="dxa" w:w="3216"/>
          </w:tcPr>
          <w:p>
            <w:r>
              <w:t>Provider chain is loaded at runtime startup</w:t>
            </w:r>
          </w:p>
        </w:tc>
      </w:tr>
    </w:tbl>
    <w:p>
      <w:r>
        <w:t>Recommended provider chain for production-like local testing:</w:t>
      </w:r>
    </w:p>
    <w:p>
      <w:pPr>
        <w:pStyle w:val="IntenseQuote"/>
      </w:pPr>
      <w:r>
        <w:t>WEB_SEARCH_PROVIDER=searxng | WEB_SEARCH_PROVIDER_FALLBACKS=tavily</w:t>
      </w:r>
    </w:p>
    <w:p>
      <w:pPr>
        <w:pStyle w:val="Heading1"/>
      </w:pPr>
      <w:r>
        <w:t>Remaining Work and Next Steps</w:t>
      </w:r>
    </w:p>
    <w:p>
      <w:pPr>
        <w:pStyle w:val="ListBullet"/>
      </w:pPr>
      <w:r>
        <w:t>Add MCP search/fetch integration once a real MCP server is configured in the workspace.</w:t>
      </w:r>
    </w:p>
    <w:p>
      <w:pPr>
        <w:pStyle w:val="ListBullet"/>
      </w:pPr>
      <w:r>
        <w:t>Persist SearXNG configuration outside the container so JSON support survives container recreation.</w:t>
      </w:r>
    </w:p>
    <w:p>
      <w:pPr>
        <w:pStyle w:val="ListBullet"/>
      </w:pPr>
      <w:r>
        <w:t>Add per-domain controls, crawl refresh, and source governance rules if this becomes a shared team workspace.</w:t>
      </w:r>
    </w:p>
    <w:p>
      <w:pPr>
        <w:pStyle w:val="ListBullet"/>
      </w:pPr>
      <w:r>
        <w:t>Expand answer grounding so the explanation explicitly maps claims to the top returned links.</w:t>
      </w:r>
    </w:p>
    <w:p>
      <w:pPr>
        <w:pStyle w:val="ListBullet"/>
      </w:pPr>
      <w:r>
        <w:t>Optionally add export or briefing generation on top of search results for analyst workflows.</w:t>
      </w:r>
    </w:p>
    <w:p>
      <w:pPr>
        <w:pStyle w:val="Heading1"/>
      </w:pPr>
      <w:r>
        <w:t>Executive Summary</w:t>
      </w:r>
    </w:p>
    <w:p>
      <w:r>
        <w:t>We researched both free and managed approaches for live web search, selected SearXNG as the preferred free/self-hosted provider, retained Tavily as the practical fallback, and implemented a separate OpenSearch workspace that fetches, indexes, searches, and explains web content using the existing local Ollama model. The feature is now operational for live testing, with MCP intentionally deferred until a real MCP server is available.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D23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93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C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