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LICENSE AND DISTRIBUTION AGREEMENT</w:t>
      </w:r>
    </w:p>
    <w:p>
      <w:r>
        <w:t>Agreement No.: CUAD-SLA-2025-0042</w:t>
        <w:br/>
        <w:t>Effective Date: January 1, 2025</w:t>
      </w:r>
    </w:p>
    <w:p>
      <w:r>
        <w:t>This Software License and Distribution Agreement (the "Agreement") is entered into by and between:</w:t>
      </w:r>
    </w:p>
    <w:p>
      <w:r>
        <w:t>Licensor: Apex Software Corporation, a California corporation, with its principal place of business at 1 Infinite Loop, Building 7, Cupertino, California 95014 ("Apex" or "Licensor"); and</w:t>
      </w:r>
    </w:p>
    <w:p>
      <w:r>
        <w:t>Licensee: GlobalTech Solutions GmbH, a company organized under the laws of Germany, with registered offices at Friedrichstraße 123, 10117 Berlin, Germany ("GlobalTech" or "Licensee").</w:t>
      </w:r>
    </w:p>
    <w:p>
      <w:r>
        <w:t>Apex and GlobalTech are each referred to as a "Party" and collectively as the "Parties".</w:t>
      </w:r>
    </w:p>
    <w:p>
      <w:pPr>
        <w:pStyle w:val="Heading1"/>
      </w:pPr>
      <w:r>
        <w:t>1. Definitions</w:t>
      </w:r>
    </w:p>
    <w:p>
      <w:r>
        <w:t>"Licensed Software" means the Apex Enterprise Platform version 12.x, including all modules, components, documentation, updates, and patches provided by Licensor during the term of this Agreement.</w:t>
      </w:r>
    </w:p>
    <w:p>
      <w:r>
        <w:t>"Territory" means the European Economic Area (EEA), the United Kingdom, and Switzerland.</w:t>
      </w:r>
    </w:p>
    <w:p>
      <w:r>
        <w:t>"End Users" means the customers and clients of Licensee who are authorized to use the Licensed Software pursuant to sublicenses granted by Licensee in accordance with this Agreement.</w:t>
      </w:r>
    </w:p>
    <w:p>
      <w:r>
        <w:t>"Intellectual Property Rights" means all patents, copyrights, trademarks, trade secrets, and other intellectual property rights recognized in any jurisdiction worldwide.</w:t>
      </w:r>
    </w:p>
    <w:p>
      <w:r>
        <w:t>"Derivative Works" means any modification, enhancement, adaptation, translation, or other work based upon the Licensed Software.</w:t>
      </w:r>
    </w:p>
    <w:p>
      <w:r>
        <w:t>"Annual License Fee" means the fee of EUR 2,400,000 (Two Million Four Hundred Thousand Euros) per annum, payable in quarterly installments of EUR 600,000.</w:t>
      </w:r>
    </w:p>
    <w:p>
      <w:r>
        <w:t>"Minimum Commitment" means the minimum annual revenue commitment of EUR 1,200,000 in sublicense fees that Licensee must generate from End Users during each contract year.</w:t>
      </w:r>
    </w:p>
    <w:p>
      <w:pPr>
        <w:pStyle w:val="Heading1"/>
      </w:pPr>
      <w:r>
        <w:t>2. License Grant</w:t>
      </w:r>
    </w:p>
    <w:p>
      <w:r>
        <w:t>2.1 Grant of License. Subject to the terms and conditions of this Agreement and payment of the Annual License Fee, Licensor hereby grants to Licensee a non-exclusive, non-transferable, revocable license to: (a) use, copy, and install the Licensed Software on Licensee's servers within the Territory; (b) distribute and sublicense the Licensed Software to End Users within the Territory; (c) provide support and maintenance services to End Users in connection with the Licensed Software; and (d) create Derivative Works for the sole purpose of integrating the Licensed Software with Licensee's proprietary systems.</w:t>
      </w:r>
    </w:p>
    <w:p>
      <w:r>
        <w:t>2.2 Restrictions. Licensee shall not: (a) sublicense, sell, distribute, or otherwise make the Licensed Software available outside the Territory without Licensor's prior written consent; (b) reverse engineer, decompile, or disassemble the Licensed Software, except to the extent expressly permitted by applicable law; (c) remove or alter any proprietary notices, labels, or marks on the Licensed Software; or (d) use the Licensed Software for any purpose other than as expressly authorized under this Agreement.</w:t>
      </w:r>
    </w:p>
    <w:p>
      <w:r>
        <w:t>2.3 Affiliate License. Licensee may extend the license granted herein to its wholly-owned subsidiaries within the Territory, provided that such subsidiaries agree in writing to be bound by the terms of this Agreement. Licensee shall be jointly and severally liable for any breach by its affiliates.</w:t>
      </w:r>
    </w:p>
    <w:p>
      <w:pPr>
        <w:pStyle w:val="Heading1"/>
      </w:pPr>
      <w:r>
        <w:t>3. Intellectual Property Ownership</w:t>
      </w:r>
    </w:p>
    <w:p>
      <w:r>
        <w:t>3.1 Licensor Ownership. All right, title, and interest in and to the Licensed Software, including all Intellectual Property Rights therein, shall remain with Licensor. This Agreement does not convey to Licensee any ownership interest in the Licensed Software.</w:t>
      </w:r>
    </w:p>
    <w:p>
      <w:r>
        <w:t>3.2 Derivative Works. All Derivative Works created by Licensee shall be jointly owned by Licensor and Licensee. Licensee hereby assigns to Licensor an undivided fifty percent (50%) interest in all Derivative Works. Licensor shall have the right to use, license, and distribute such Derivative Works without restriction.</w:t>
      </w:r>
    </w:p>
    <w:p>
      <w:r>
        <w:t>3.3 Feedback. Any suggestions, enhancement requests, recommendations, or other feedback provided by Licensee regarding the Licensed Software ("Feedback") shall be the sole property of Licensor. Licensee hereby assigns to Licensor all right, title, and interest in and to such Feedback.</w:t>
      </w:r>
    </w:p>
    <w:p>
      <w:pPr>
        <w:pStyle w:val="Heading1"/>
      </w:pPr>
      <w:r>
        <w:t>4. Fees and Payment</w:t>
      </w:r>
    </w:p>
    <w:p>
      <w:r>
        <w:t>4.1 Annual License Fee. Licensee shall pay the Annual License Fee of EUR 2,400,000 in quarterly installments of EUR 600,000, due on the first business day of each calendar quarter.</w:t>
      </w:r>
    </w:p>
    <w:p>
      <w:r>
        <w:t>4.2 Revenue Sharing. In addition to the Annual License Fee, Licensee shall pay Licensor a royalty of fifteen percent (15%) of all gross revenue received by Licensee from sublicensing the Licensed Software to End Users, net of applicable taxes. Royalty payments shall be made quarterly within thirty (30) days after the end of each calendar quarter.</w:t>
      </w:r>
    </w:p>
    <w:p>
      <w:r>
        <w:t>4.3 Minimum Commitment. Licensee guarantees a Minimum Commitment of EUR 1,200,000 in annual sublicense revenue. If Licensee fails to meet the Minimum Commitment in any contract year, Licensee shall pay Licensor the difference between the actual sublicense revenue and the Minimum Commitment multiplied by the royalty rate (15%).</w:t>
      </w:r>
    </w:p>
    <w:p>
      <w:r>
        <w:t>4.4 Price Adjustment. The Annual License Fee shall be subject to an annual increase of three percent (3%) commencing on the second anniversary of the Effective Date, unless otherwise agreed in writing by the Parties.</w:t>
      </w:r>
    </w:p>
    <w:p>
      <w:r>
        <w:t>4.5 Late Payment. Any amounts not paid when due shall bear interest at the rate of one and one-half percent (1.5%) per month, or the maximum rate permitted by applicable law, whichever is less.</w:t>
      </w:r>
    </w:p>
    <w:p>
      <w:pPr>
        <w:pStyle w:val="Heading1"/>
      </w:pPr>
      <w:r>
        <w:t>5. Audit Rights</w:t>
      </w:r>
    </w:p>
    <w:p>
      <w:r>
        <w:t>5.1 Licensor shall have the right, upon thirty (30) days' prior written notice, to audit Licensee's books, records, and systems to verify compliance with this Agreement, including but not limited to: (a) the number of installations and End Users; (b) the accuracy of royalty payments; and (c) compliance with the license restrictions set forth in Section 2.2.</w:t>
      </w:r>
    </w:p>
    <w:p>
      <w:r>
        <w:t>5.2 Audits shall be conducted during normal business hours, no more than once per calendar year, by an independent certified public accounting firm selected by Licensor and reasonably acceptable to Licensee. Licensor shall bear the cost of the audit unless the audit reveals an underpayment of more than five percent (5%), in which case Licensee shall bear all audit costs.</w:t>
      </w:r>
    </w:p>
    <w:p>
      <w:pPr>
        <w:pStyle w:val="Heading1"/>
      </w:pPr>
      <w:r>
        <w:t>6. Non-Competition</w:t>
      </w:r>
    </w:p>
    <w:p>
      <w:r>
        <w:t>6.1 During the term of this Agreement and for a period of twenty-four (24) months following its termination or expiration, Licensee shall not, directly or indirectly, develop, market, distribute, or license any software product that is substantially similar to or competitive with the Licensed Software within the Territory.</w:t>
      </w:r>
    </w:p>
    <w:p>
      <w:r>
        <w:t>6.2 The non-competition restriction in Section 6.1 shall not apply to: (a) software products that Licensee was developing or distributing prior to the Effective Date, as documented in Exhibit C; or (b) software products acquired by Licensee through a merger or acquisition, provided that Licensee divests such products within twelve (12) months of the acquisition.</w:t>
      </w:r>
    </w:p>
    <w:p>
      <w:pPr>
        <w:pStyle w:val="Heading1"/>
      </w:pPr>
      <w:r>
        <w:t>7. Term and Termination</w:t>
      </w:r>
    </w:p>
    <w:p>
      <w:r>
        <w:t>7.1 Initial Term. This Agreement shall commence on the Effective Date and shall continue for an initial term of five (5) years (the "Initial Term").</w:t>
      </w:r>
    </w:p>
    <w:p>
      <w:r>
        <w:t>7.2 Renewal. Upon expiration of the Initial Term, this Agreement shall automatically renew for successive two (2) year periods (each a "Renewal Term"), unless either Party provides written notice of non-renewal at least one hundred eighty (180) days prior to the expiration of the then-current term.</w:t>
      </w:r>
    </w:p>
    <w:p>
      <w:r>
        <w:t>7.3 Termination for Convenience. Either Party may terminate this Agreement for convenience upon ninety (90) days' prior written notice to the other Party, subject to payment of all outstanding fees and an early termination fee equal to six (6) months of the Annual License Fee.</w:t>
      </w:r>
    </w:p>
    <w:p>
      <w:r>
        <w:t>7.4 Termination for Cause. Either Party may terminate this Agreement immediately upon written notice if: (a) the other Party commits a material breach that remains uncured for thirty (30) days after written notice; (b) the other Party becomes insolvent, files for bankruptcy, or has a receiver appointed for its assets; or (c) the other Party is acquired by a direct competitor of the terminating Party.</w:t>
      </w:r>
    </w:p>
    <w:p>
      <w:r>
        <w:t>7.5 Effect of Termination. Upon termination: (a) all licenses granted herein shall immediately terminate; (b) Licensee shall cease all use and distribution of the Licensed Software within thirty (30) days; (c) Licensee shall return or destroy all copies of the Licensed Software and certify such destruction in writing; and (d) all accrued payment obligations shall survive termination.</w:t>
      </w:r>
    </w:p>
    <w:p>
      <w:pPr>
        <w:pStyle w:val="Heading1"/>
      </w:pPr>
      <w:r>
        <w:t>8. Warranties and Disclaimers</w:t>
      </w:r>
    </w:p>
    <w:p>
      <w:r>
        <w:t>8.1 Licensor warrants that: (a) the Licensed Software will perform substantially in accordance with its documentation for a period of twelve (12) months from delivery; (b) Licensor has the right to grant the licenses set forth herein; and (c) to Licensor's knowledge, the Licensed Software does not infringe any third-party Intellectual Property Rights.</w:t>
      </w:r>
    </w:p>
    <w:p>
      <w:r>
        <w:t>8.2 EXCEPT AS EXPRESSLY SET FORTH IN SECTION 8.1, THE LICENSED SOFTWARE IS PROVIDED "AS IS" AND LICENSOR DISCLAIMS ALL OTHER WARRANTIES, EXPRESS OR IMPLIED, INCLUDING WARRANTIES OF MERCHANTABILITY, FITNESS FOR A PARTICULAR PURPOSE, AND NON-INFRINGEMENT.</w:t>
      </w:r>
    </w:p>
    <w:p>
      <w:pPr>
        <w:pStyle w:val="Heading1"/>
      </w:pPr>
      <w:r>
        <w:t>9. Limitation of Liability</w:t>
      </w:r>
    </w:p>
    <w:p>
      <w:r>
        <w:t>9.1 Cap on Liability. THE TOTAL AGGREGATE LIABILITY OF EITHER PARTY UNDER THIS AGREEMENT SHALL NOT EXCEED THE GREATER OF: (A) THE TOTAL FEES PAID OR PAYABLE BY LICENSEE DURING THE TWELVE (12) MONTH PERIOD IMMEDIATELY PRECEDING THE EVENT GIVING RISE TO THE CLAIM; OR (B) EUR 5,000,000 (FIVE MILLION EUROS).</w:t>
      </w:r>
    </w:p>
    <w:p>
      <w:r>
        <w:t>9.2 Exclusion of Consequential Damages. IN NO EVENT SHALL EITHER PARTY BE LIABLE FOR ANY INDIRECT, INCIDENTAL, SPECIAL, CONSEQUENTIAL, OR PUNITIVE DAMAGES, INCLUDING LOSS OF PROFITS, REVENUE, DATA, OR BUSINESS OPPORTUNITY, REGARDLESS OF THE THEORY OF LIABILITY.</w:t>
      </w:r>
    </w:p>
    <w:p>
      <w:r>
        <w:t>9.3 Exceptions. The limitations in Sections 9.1 and 9.2 shall not apply to: (a) breaches of Section 2 (License Grant) or Section 3 (Intellectual Property); (b) indemnification obligations under Section 10; or (c) willful misconduct or gross negligence.</w:t>
      </w:r>
    </w:p>
    <w:p>
      <w:pPr>
        <w:pStyle w:val="Heading1"/>
      </w:pPr>
      <w:r>
        <w:t>10. Indemnification</w:t>
      </w:r>
    </w:p>
    <w:p>
      <w:r>
        <w:t>10.1 Licensor shall indemnify, defend, and hold harmless Licensee from any third-party claims alleging that the Licensed Software infringes any patent, copyright, or trade secret, provided that Licensee promptly notifies Licensor of such claim and cooperates in the defense.</w:t>
      </w:r>
    </w:p>
    <w:p>
      <w:r>
        <w:t>10.2 Licensee shall indemnify, defend, and hold harmless Licensor from any claims arising from: (a) Licensee's distribution of the Licensed Software; (b) Licensee's Derivative Works; or (c) Licensee's breach of this Agreement.</w:t>
      </w:r>
    </w:p>
    <w:p>
      <w:pPr>
        <w:pStyle w:val="Heading1"/>
      </w:pPr>
      <w:r>
        <w:t>11. Insurance</w:t>
      </w:r>
    </w:p>
    <w:p>
      <w:r>
        <w:t>11.1 During the term of this Agreement, Licensee shall maintain the following insurance coverage: (a) Commercial General Liability insurance with minimum limits of EUR 5,000,000 per occurrence and EUR 10,000,000 in the aggregate; (b) Professional Liability (Errors &amp; Omissions) insurance with minimum limits of EUR 3,000,000 per claim and EUR 6,000,000 in the aggregate; (c) Cyber Liability insurance with minimum limits of EUR 2,000,000 per occurrence; and (d) Workers' Compensation insurance as required by applicable law.</w:t>
      </w:r>
    </w:p>
    <w:p>
      <w:r>
        <w:t>11.2 Licensee shall provide Licensor with certificates of insurance evidencing the required coverage within thirty (30) days of the Effective Date and upon each renewal thereof. Licensor shall be named as an additional insured on the Commercial General Liability policy.</w:t>
      </w:r>
    </w:p>
    <w:p>
      <w:pPr>
        <w:pStyle w:val="Heading1"/>
      </w:pPr>
      <w:r>
        <w:t>12. Governing Law and Jurisdiction</w:t>
      </w:r>
    </w:p>
    <w:p>
      <w:r>
        <w:t>12.1 This Agreement shall be governed by and construed in accordance with the laws of the State of California, United States of America, without regard to its conflict of laws provisions.</w:t>
      </w:r>
    </w:p>
    <w:p>
      <w:r>
        <w:t>12.2 Any dispute arising out of or relating to this Agreement shall be submitted to the exclusive jurisdiction of the state and federal courts located in Santa Clara County, California. Each Party hereby consents to the personal jurisdiction of such courts.</w:t>
      </w:r>
    </w:p>
    <w:p>
      <w:r>
        <w:t>12.3 Notwithstanding Section 12.2, either Party may seek injunctive or other equitable relief in any court of competent jurisdiction to protect its Intellectual Property Rights.</w:t>
      </w:r>
    </w:p>
    <w:p>
      <w:pPr>
        <w:pStyle w:val="Heading1"/>
      </w:pPr>
      <w:r>
        <w:t>13. General Provisions</w:t>
      </w:r>
    </w:p>
    <w:p>
      <w:r>
        <w:t>13.1 Entire Agreement. This Agreement, together with all Exhibits attached hereto, constitutes the entire agreement between the Parties.</w:t>
      </w:r>
    </w:p>
    <w:p>
      <w:r>
        <w:t>13.2 Force Majeure. Neither Party shall be liable for any failure or delay in performance due to causes beyond its reasonable control, including natural disasters, war, terrorism, pandemic, government action, or failure of telecommunications infrastructure.</w:t>
      </w:r>
    </w:p>
    <w:p>
      <w:r>
        <w:t>13.3 Assignment. Licensee may not assign this Agreement without Licensor's prior written consent, except in connection with a merger or acquisition where the assignee assumes all obligations hereunder.</w:t>
      </w:r>
    </w:p>
    <w:p>
      <w:r>
        <w:t>13.4 Survival. Sections 3 (Intellectual Property), 6 (Non-Competition), 8 (Warranties), 9 (Limitation of Liability), 10 (Indemnification), 11 (Insurance), and 12 (Governing Law) shall survive termination or expiration of this Agreement.</w:t>
      </w:r>
    </w:p>
    <w:p>
      <w:r>
        <w:t>13.5 Export Compliance. Licensee shall comply with all applicable export control laws and regulations, including the U.S. Export Administration Regulations (EAR) and EU dual-use regulations.</w:t>
      </w:r>
    </w:p>
    <w:p>
      <w:pPr>
        <w:pStyle w:val="Heading1"/>
      </w:pPr>
      <w:r>
        <w:t>EXHIBITS</w:t>
      </w:r>
    </w:p>
    <w:p>
      <w:pPr>
        <w:pStyle w:val="Heading2"/>
      </w:pPr>
      <w:r>
        <w:t>Exhibit A — Licensed Software Specifications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Version</w:t>
            </w:r>
          </w:p>
        </w:tc>
        <w:tc>
          <w:tcPr>
            <w:tcW w:type="dxa" w:w="2880"/>
          </w:tcPr>
          <w:p>
            <w:r>
              <w:t>License Type</w:t>
            </w:r>
          </w:p>
        </w:tc>
      </w:tr>
      <w:tr>
        <w:tc>
          <w:tcPr>
            <w:tcW w:type="dxa" w:w="2880"/>
          </w:tcPr>
          <w:p>
            <w:r>
              <w:t>Core Platform</w:t>
            </w:r>
          </w:p>
        </w:tc>
        <w:tc>
          <w:tcPr>
            <w:tcW w:type="dxa" w:w="2880"/>
          </w:tcPr>
          <w:p>
            <w:r>
              <w:t>12.4.1</w:t>
            </w:r>
          </w:p>
        </w:tc>
        <w:tc>
          <w:tcPr>
            <w:tcW w:type="dxa" w:w="2880"/>
          </w:tcPr>
          <w:p>
            <w:r>
              <w:t>Full</w:t>
            </w:r>
          </w:p>
        </w:tc>
      </w:tr>
      <w:tr>
        <w:tc>
          <w:tcPr>
            <w:tcW w:type="dxa" w:w="2880"/>
          </w:tcPr>
          <w:p>
            <w:r>
              <w:t>Analytics Engine</w:t>
            </w:r>
          </w:p>
        </w:tc>
        <w:tc>
          <w:tcPr>
            <w:tcW w:type="dxa" w:w="2880"/>
          </w:tcPr>
          <w:p>
            <w:r>
              <w:t>12.4.1</w:t>
            </w:r>
          </w:p>
        </w:tc>
        <w:tc>
          <w:tcPr>
            <w:tcW w:type="dxa" w:w="2880"/>
          </w:tcPr>
          <w:p>
            <w:r>
              <w:t>Full</w:t>
            </w:r>
          </w:p>
        </w:tc>
      </w:tr>
      <w:tr>
        <w:tc>
          <w:tcPr>
            <w:tcW w:type="dxa" w:w="2880"/>
          </w:tcPr>
          <w:p>
            <w:r>
              <w:t>API Gateway</w:t>
            </w:r>
          </w:p>
        </w:tc>
        <w:tc>
          <w:tcPr>
            <w:tcW w:type="dxa" w:w="2880"/>
          </w:tcPr>
          <w:p>
            <w:r>
              <w:t>12.3.0</w:t>
            </w:r>
          </w:p>
        </w:tc>
        <w:tc>
          <w:tcPr>
            <w:tcW w:type="dxa" w:w="2880"/>
          </w:tcPr>
          <w:p>
            <w:r>
              <w:t>Full</w:t>
            </w:r>
          </w:p>
        </w:tc>
      </w:tr>
      <w:tr>
        <w:tc>
          <w:tcPr>
            <w:tcW w:type="dxa" w:w="2880"/>
          </w:tcPr>
          <w:p>
            <w:r>
              <w:t>Mobile SDK</w:t>
            </w:r>
          </w:p>
        </w:tc>
        <w:tc>
          <w:tcPr>
            <w:tcW w:type="dxa" w:w="2880"/>
          </w:tcPr>
          <w:p>
            <w:r>
              <w:t>12.2.5</w:t>
            </w:r>
          </w:p>
        </w:tc>
        <w:tc>
          <w:tcPr>
            <w:tcW w:type="dxa" w:w="2880"/>
          </w:tcPr>
          <w:p>
            <w:r>
              <w:t>Restricted</w:t>
            </w:r>
          </w:p>
        </w:tc>
      </w:tr>
      <w:tr>
        <w:tc>
          <w:tcPr>
            <w:tcW w:type="dxa" w:w="2880"/>
          </w:tcPr>
          <w:p>
            <w:r>
              <w:t>AI/ML Module</w:t>
            </w:r>
          </w:p>
        </w:tc>
        <w:tc>
          <w:tcPr>
            <w:tcW w:type="dxa" w:w="2880"/>
          </w:tcPr>
          <w:p>
            <w:r>
              <w:t>12.1.0</w:t>
            </w:r>
          </w:p>
        </w:tc>
        <w:tc>
          <w:tcPr>
            <w:tcW w:type="dxa" w:w="2880"/>
          </w:tcPr>
          <w:p>
            <w:r>
              <w:t>Evaluation Only</w:t>
            </w:r>
          </w:p>
        </w:tc>
      </w:tr>
    </w:tbl>
    <w:p>
      <w:pPr>
        <w:pStyle w:val="Heading2"/>
      </w:pPr>
      <w:r>
        <w:t>Exhibit B — Fee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Amount (EUR)</w:t>
            </w:r>
          </w:p>
        </w:tc>
        <w:tc>
          <w:tcPr>
            <w:tcW w:type="dxa" w:w="2880"/>
          </w:tcPr>
          <w:p>
            <w:r>
              <w:t>Frequency</w:t>
            </w:r>
          </w:p>
        </w:tc>
      </w:tr>
      <w:tr>
        <w:tc>
          <w:tcPr>
            <w:tcW w:type="dxa" w:w="2880"/>
          </w:tcPr>
          <w:p>
            <w:r>
              <w:t>Annual License Fee</w:t>
            </w:r>
          </w:p>
        </w:tc>
        <w:tc>
          <w:tcPr>
            <w:tcW w:type="dxa" w:w="2880"/>
          </w:tcPr>
          <w:p>
            <w:r>
              <w:t>2,400,000</w:t>
            </w:r>
          </w:p>
        </w:tc>
        <w:tc>
          <w:tcPr>
            <w:tcW w:type="dxa" w:w="2880"/>
          </w:tcPr>
          <w:p>
            <w:r>
              <w:t>Annual (quarterly installments)</w:t>
            </w:r>
          </w:p>
        </w:tc>
      </w:tr>
      <w:tr>
        <w:tc>
          <w:tcPr>
            <w:tcW w:type="dxa" w:w="2880"/>
          </w:tcPr>
          <w:p>
            <w:r>
              <w:t>Royalty Rate</w:t>
            </w:r>
          </w:p>
        </w:tc>
        <w:tc>
          <w:tcPr>
            <w:tcW w:type="dxa" w:w="2880"/>
          </w:tcPr>
          <w:p>
            <w:r>
              <w:t>15%</w:t>
            </w:r>
          </w:p>
        </w:tc>
        <w:tc>
          <w:tcPr>
            <w:tcW w:type="dxa" w:w="2880"/>
          </w:tcPr>
          <w:p>
            <w:r>
              <w:t>Quarterly</w:t>
            </w:r>
          </w:p>
        </w:tc>
      </w:tr>
      <w:tr>
        <w:tc>
          <w:tcPr>
            <w:tcW w:type="dxa" w:w="2880"/>
          </w:tcPr>
          <w:p>
            <w:r>
              <w:t>Minimum Commitment</w:t>
            </w:r>
          </w:p>
        </w:tc>
        <w:tc>
          <w:tcPr>
            <w:tcW w:type="dxa" w:w="2880"/>
          </w:tcPr>
          <w:p>
            <w:r>
              <w:t>1,200,000</w:t>
            </w:r>
          </w:p>
        </w:tc>
        <w:tc>
          <w:tcPr>
            <w:tcW w:type="dxa" w:w="2880"/>
          </w:tcPr>
          <w:p>
            <w:r>
              <w:t>Annual</w:t>
            </w:r>
          </w:p>
        </w:tc>
      </w:tr>
      <w:tr>
        <w:tc>
          <w:tcPr>
            <w:tcW w:type="dxa" w:w="2880"/>
          </w:tcPr>
          <w:p>
            <w:r>
              <w:t>Early Termination Fee</w:t>
            </w:r>
          </w:p>
        </w:tc>
        <w:tc>
          <w:tcPr>
            <w:tcW w:type="dxa" w:w="2880"/>
          </w:tcPr>
          <w:p>
            <w:r>
              <w:t>1,200,000</w:t>
            </w:r>
          </w:p>
        </w:tc>
        <w:tc>
          <w:tcPr>
            <w:tcW w:type="dxa" w:w="2880"/>
          </w:tcPr>
          <w:p>
            <w:r>
              <w:t>One-time</w:t>
            </w:r>
          </w:p>
        </w:tc>
      </w:tr>
    </w:tbl>
    <w:p/>
    <w:p>
      <w:r>
        <w:t>IN WITNESS WHEREOF, the Parties have executed this Agreement as of the Effective Date.</w:t>
      </w:r>
    </w:p>
    <w:tbl>
      <w:tblPr>
        <w:tblW w:type="auto" w:w="0"/>
        <w:jc w:val="center"/>
        <w:tblLook w:firstColumn="1" w:firstRow="1" w:lastColumn="0" w:lastRow="0" w:noHBand="0" w:noVBand="1" w:val="04A0"/>
      </w:tblPr>
      <w:tblGrid>
        <w:gridCol w:w="4320"/>
        <w:gridCol w:w="4320"/>
      </w:tblGrid>
      <w:tr>
        <w:tc>
          <w:tcPr>
            <w:tcW w:type="dxa" w:w="4320"/>
          </w:tcPr>
          <w:p>
            <w:r>
              <w:t>APEX SOFTWARE CORPORATION</w:t>
            </w:r>
          </w:p>
        </w:tc>
        <w:tc>
          <w:tcPr>
            <w:tcW w:type="dxa" w:w="4320"/>
          </w:tcPr>
          <w:p>
            <w:r>
              <w:t>GLOBALTECH SOLUTIONS GMBH</w:t>
            </w:r>
          </w:p>
        </w:tc>
      </w:tr>
      <w:tr>
        <w:tc>
          <w:tcPr>
            <w:tcW w:type="dxa" w:w="4320"/>
          </w:tcPr>
          <w:p>
            <w:r>
              <w:t>By: ________________________</w:t>
            </w:r>
          </w:p>
        </w:tc>
        <w:tc>
          <w:tcPr>
            <w:tcW w:type="dxa" w:w="4320"/>
          </w:tcPr>
          <w:p>
            <w:r>
              <w:t>By: ________________________</w:t>
            </w:r>
          </w:p>
        </w:tc>
      </w:tr>
      <w:tr>
        <w:tc>
          <w:tcPr>
            <w:tcW w:type="dxa" w:w="4320"/>
          </w:tcPr>
          <w:p>
            <w:r>
              <w:t>Name: Michael Torres, VP Licensing</w:t>
            </w:r>
          </w:p>
        </w:tc>
        <w:tc>
          <w:tcPr>
            <w:tcW w:type="dxa" w:w="4320"/>
          </w:tcPr>
          <w:p>
            <w:r>
              <w:t>Name: Dr. Klaus Weber, Geschäftsführer</w:t>
            </w:r>
          </w:p>
        </w:tc>
      </w:tr>
      <w:tr>
        <w:tc>
          <w:tcPr>
            <w:tcW w:type="dxa" w:w="4320"/>
          </w:tcPr>
          <w:p>
            <w:r>
              <w:t>Date: January 1, 2025</w:t>
            </w:r>
          </w:p>
        </w:tc>
        <w:tc>
          <w:tcPr>
            <w:tcW w:type="dxa" w:w="4320"/>
          </w:tcPr>
          <w:p>
            <w:r>
              <w:t>Date: January 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