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SUPPLY CHAIN AND PROCUREMENT AGREEMENT</w:t>
      </w:r>
    </w:p>
    <w:p>
      <w:r>
        <w:t>This Supply Chain and Procurement Agreement ("Agreement") is entered into as of February 10, 2025 by and between:</w:t>
      </w:r>
    </w:p>
    <w:p>
      <w:r>
        <w:t>Apex Industrial Components GmbH, a company organized under the laws of Germany, with headquarters at Industriestraße 42, 70565 Stuttgart, Germany ("Supplier" or "Apex"), and</w:t>
      </w:r>
    </w:p>
    <w:p>
      <w:r>
        <w:t>NovaTech Automotive Ltd., a company incorporated in Japan with principal offices at 2-1-1 Marunouchi, Chiyoda-ku, Tokyo 100-0005, Japan ("Buyer" or "NovaTech").</w:t>
      </w:r>
    </w:p>
    <w:p>
      <w:pPr>
        <w:pStyle w:val="Heading1"/>
      </w:pPr>
      <w:r>
        <w:rPr>
          <w:sz w:val="28"/>
        </w:rPr>
        <w:t>1. SUPPLY OBLIGATIONS</w:t>
      </w:r>
    </w:p>
    <w:p>
      <w:r>
        <w:t>1.1 Supplier shall manufacture and deliver the products specified in Exhibit A (the "Products") in accordance with the specifications, quantities, and delivery schedules set forth therein.</w:t>
      </w:r>
    </w:p>
    <w:p>
      <w:r>
        <w:t>1.2 Supplier shall maintain a minimum safety stock of 10,000 units of each Product at all times to ensure uninterrupted supply.</w:t>
      </w:r>
    </w:p>
    <w:p>
      <w:r>
        <w:t>1.3 Supplier shall provide Buyer with a rolling 12-month demand forecast and shall adjust production capacity accordingly within thirty (30) days of receiving updated forecasts from Buyer.</w:t>
      </w:r>
    </w:p>
    <w:p>
      <w:pPr>
        <w:pStyle w:val="Heading1"/>
      </w:pPr>
      <w:r>
        <w:rPr>
          <w:sz w:val="28"/>
        </w:rPr>
        <w:t>2. PRICING AND PAYMENT</w:t>
      </w:r>
    </w:p>
    <w:p>
      <w:r>
        <w:t>2.1 Unit prices for the Products are set forth in Exhibit B. The total estimated annual contract value is EUR 18,500,000 (Eighteen Million Five Hundred Thousand Euros) based on projected volumes.</w:t>
      </w:r>
    </w:p>
    <w:p>
      <w:r>
        <w:t>2.2 Prices are fixed for the first two (2) years. Thereafter, price adjustments shall not exceed 2.5% per year and must be supported by documented cost increases in raw materials or labor.</w:t>
      </w:r>
    </w:p>
    <w:p>
      <w:r>
        <w:t>2.3 Payment terms: Net 60 days from date of delivery and acceptance. Buyer may withhold payment for non-conforming Products until defects are remedied.</w:t>
      </w:r>
    </w:p>
    <w:p>
      <w:r>
        <w:t>2.4 Volume discounts: Orders exceeding 50,000 units per quarter shall receive a 5% discount. Orders exceeding 100,000 units shall receive a 10% discount.</w:t>
      </w:r>
    </w:p>
    <w:p>
      <w:pPr>
        <w:pStyle w:val="Heading1"/>
      </w:pPr>
      <w:r>
        <w:rPr>
          <w:sz w:val="28"/>
        </w:rPr>
        <w:t>3. QUALITY REQUIREMENTS</w:t>
      </w:r>
    </w:p>
    <w:p>
      <w:r>
        <w:t>3.1 All Products shall conform to the specifications in Exhibit A and shall comply with ISO 9001:2015, IATF 16949, and all applicable automotive industry standards.</w:t>
      </w:r>
    </w:p>
    <w:p>
      <w:r>
        <w:t>3.2 The acceptable defect rate shall not exceed 50 parts per million (PPM). If the defect rate exceeds 100 PPM in any quarter, Buyer may require Supplier to implement a corrective action plan within fifteen (15) days.</w:t>
      </w:r>
    </w:p>
    <w:p>
      <w:r>
        <w:t>3.3 Supplier shall maintain full traceability of all raw materials and components used in the Products. Buyer shall have the right to audit Supplier's quality management system upon thirty (30) days written notice.</w:t>
      </w:r>
    </w:p>
    <w:p>
      <w:pPr>
        <w:pStyle w:val="Heading1"/>
      </w:pPr>
      <w:r>
        <w:rPr>
          <w:sz w:val="28"/>
        </w:rPr>
        <w:t>4. DELIVERY AND LOGISTICS</w:t>
      </w:r>
    </w:p>
    <w:p>
      <w:r>
        <w:t>4.1 Delivery terms: DDP (Delivered Duty Paid) to Buyer's designated facilities in Tokyo, Japan and Detroit, Michigan, USA (Incoterms 2020).</w:t>
      </w:r>
    </w:p>
    <w:p>
      <w:r>
        <w:t>4.2 On-time delivery rate shall be at least 98%. Supplier shall notify Buyer of any anticipated delivery delays at least fourteen (14) days in advance.</w:t>
      </w:r>
    </w:p>
    <w:p>
      <w:r>
        <w:t>4.3 Packaging shall comply with Buyer's packaging specifications and all applicable transportation regulations. Supplier shall use recyclable packaging materials where feasible.</w:t>
      </w:r>
    </w:p>
    <w:p>
      <w:pPr>
        <w:pStyle w:val="Heading1"/>
      </w:pPr>
      <w:r>
        <w:rPr>
          <w:sz w:val="28"/>
        </w:rPr>
        <w:t>5. WARRANTIES</w:t>
      </w:r>
    </w:p>
    <w:p>
      <w:r>
        <w:t>5.1 Supplier warrants that all Products shall be free from defects in materials and workmanship for a period of thirty-six (36) months from the date of delivery or 24 months from installation in Buyer's end products, whichever occurs first.</w:t>
      </w:r>
    </w:p>
    <w:p>
      <w:r>
        <w:t>5.2 Supplier warrants that all Products comply with applicable laws and regulations, including REACH, RoHS, and conflict minerals regulations.</w:t>
      </w:r>
    </w:p>
    <w:p>
      <w:pPr>
        <w:pStyle w:val="Heading1"/>
      </w:pPr>
      <w:r>
        <w:rPr>
          <w:sz w:val="28"/>
        </w:rPr>
        <w:t>6. PENALTIES AND REMEDIES</w:t>
      </w:r>
    </w:p>
    <w:p>
      <w:r>
        <w:t>6.1 Late delivery penalty: 1% of the value of the delayed shipment per week of delay, up to a maximum of 10% of the shipment value.</w:t>
      </w:r>
    </w:p>
    <w:p>
      <w:r>
        <w:t>6.2 Quality failure penalty: If the defect rate exceeds 100 PPM for two consecutive quarters, Supplier shall pay liquidated damages of EUR 500,000 per quarter until the defect rate is brought below 50 PPM.</w:t>
      </w:r>
    </w:p>
    <w:p>
      <w:r>
        <w:t>6.3 Recall costs: Supplier shall bear all costs associated with product recalls caused by defects in the Products, including but not limited to logistics, replacement parts, labor, and customer notifications.</w:t>
      </w:r>
    </w:p>
    <w:p>
      <w:pPr>
        <w:pStyle w:val="Heading1"/>
      </w:pPr>
      <w:r>
        <w:rPr>
          <w:sz w:val="28"/>
        </w:rPr>
        <w:t>7. TERM AND TERMINATION</w:t>
      </w:r>
    </w:p>
    <w:p>
      <w:r>
        <w:t>7.1 This Agreement shall have an initial term of five (5) years from the Effective Date.</w:t>
      </w:r>
    </w:p>
    <w:p>
      <w:r>
        <w:t>7.2 Either Party may terminate for material breach with sixty (60) days written notice and opportunity to cure.</w:t>
      </w:r>
    </w:p>
    <w:p>
      <w:r>
        <w:t>7.3 Buyer may terminate for convenience with one hundred eighty (180) days notice, subject to payment for all Products ordered and in production.</w:t>
      </w:r>
    </w:p>
    <w:p>
      <w:r>
        <w:t>7.4 Upon termination, Supplier shall continue to supply spare parts for a minimum of ten (10) years at the prices in effect at the time of termination, adjusted annually for inflation.</w:t>
      </w:r>
    </w:p>
    <w:p>
      <w:pPr>
        <w:pStyle w:val="Heading1"/>
      </w:pPr>
      <w:r>
        <w:rPr>
          <w:sz w:val="28"/>
        </w:rPr>
        <w:t>8. LIMITATION OF LIABILITY</w:t>
      </w:r>
    </w:p>
    <w:p>
      <w:r>
        <w:t>8.1 Supplier's total liability shall not exceed 150% of the annual contract value (EUR 27,750,000), except for claims arising from product recalls, willful misconduct, or breach of confidentiality.</w:t>
      </w:r>
    </w:p>
    <w:p>
      <w:pPr>
        <w:pStyle w:val="Heading1"/>
      </w:pPr>
      <w:r>
        <w:rPr>
          <w:sz w:val="28"/>
        </w:rPr>
        <w:t>9. GOVERNING LAW</w:t>
      </w:r>
    </w:p>
    <w:p>
      <w:r>
        <w:t>9.1 This Agreement shall be governed by the United Nations Convention on Contracts for the International Sale of Goods (CISG) and, to the extent not covered by CISG, by the laws of Germany.</w:t>
      </w:r>
    </w:p>
    <w:p>
      <w:r>
        <w:t>9.2 Disputes shall be resolved by arbitration under ICC rules, with the seat of arbitration in Zurich, Switzerland. The language of arbitration shall be English.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