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w:t>
      </w:r>
    </w:p>
    <w:p>
      <w:r>
        <w:t>This Mutual Non-Disclosure Agreement (the "Agreement") is entered into as of March 15, 2025 (the "Effective Date") by and between:</w:t>
      </w:r>
    </w:p>
    <w:p>
      <w:r>
        <w:t>1. Nexus Dynamics Inc., a Delaware corporation with its principal offices at 2400 Innovation Drive, Suite 800, San Jose, California 95134 (hereinafter referred to as "Nexus" or "Disclosing Party"); and</w:t>
      </w:r>
    </w:p>
    <w:p>
      <w:r>
        <w:t>2. Quantum Leap Technologies Ltd., a company incorporated under the laws of England and Wales with registered office at 15 Canary Wharf, Tower 3, London E14 5AB, United Kingdom (hereinafter referred to as "Quantum" or "Receiving Party").</w:t>
      </w:r>
    </w:p>
    <w:p>
      <w:r>
        <w:t>Nexus and Quantum are each referred to individually as a "Party" and collectively as the "Parties".</w:t>
      </w:r>
    </w:p>
    <w:p>
      <w:pPr>
        <w:pStyle w:val="Heading1"/>
      </w:pPr>
      <w:r>
        <w:t>RECITALS</w:t>
      </w:r>
    </w:p>
    <w:p>
      <w:r>
        <w:t>WHEREAS, the Parties wish to explore a potential business relationship concerning the development of advanced quantum computing middleware (the "Purpose"); and</w:t>
      </w:r>
    </w:p>
    <w:p>
      <w:r>
        <w:t>WHEREAS, in connection with the Purpose, each Party may disclose to the other certain confidential and proprietary information; and</w:t>
      </w:r>
    </w:p>
    <w:p>
      <w:r>
        <w:t>WHEREAS, the Parties desire to establish the terms and conditions under which such information will be disclosed and protected.</w:t>
      </w:r>
    </w:p>
    <w:p>
      <w:r>
        <w:t>NOW, THEREFORE, in consideration of the mutual covenants and agreements contained herein, and for other good and valuable consideration, the receipt and sufficiency of which are hereby acknowledged, the Parties agree as follows:</w:t>
      </w:r>
    </w:p>
    <w:p>
      <w:pPr>
        <w:pStyle w:val="Heading1"/>
      </w:pPr>
      <w:r>
        <w:t>1. Definitions</w:t>
      </w:r>
    </w:p>
    <w:p>
      <w:r>
        <w:t>1.1 "Confidential Information" means any and all non-public, proprietary, or confidential information disclosed by either Party to the other Party, whether orally, in writing, electronically, or by inspection of tangible objects, including but not limited to: (a) trade secrets, inventions, ideas, processes, formulas, source and object code, data, programs, software, other works of authorship, know-how, improvements, discoveries, developments, designs, and techniques; (b) information regarding plans for research, development, new products, marketing and selling, business plans, budgets and unpublished financial statements, licenses, prices and costs, suppliers, and customers; and (c) information regarding the skills and compensation of employees, contractors, and agents of the Disclosing Party.</w:t>
      </w:r>
    </w:p>
    <w:p>
      <w:r>
        <w:t>1.2 "Disclosing Party" means the Party disclosing Confidential Information.</w:t>
      </w:r>
    </w:p>
    <w:p>
      <w:r>
        <w:t>1.3 "Receiving Party" means the Party receiving Confidential Information.</w:t>
      </w:r>
    </w:p>
    <w:p>
      <w:r>
        <w:t>1.4 "Representatives" means the officers, directors, employees, agents, advisors (including attorneys, accountants, consultants, bankers, and financial advisors), and affiliates of a Party.</w:t>
      </w:r>
    </w:p>
    <w:p>
      <w:r>
        <w:t>1.5 "Permitted Purpose" means the evaluation, negotiation, and implementation of the potential business relationship described in the Recitals.</w:t>
      </w:r>
    </w:p>
    <w:p>
      <w:pPr>
        <w:pStyle w:val="Heading1"/>
      </w:pPr>
      <w:r>
        <w:t>2. Confidentiality Obligations</w:t>
      </w:r>
    </w:p>
    <w:p>
      <w:r>
        <w:t>2.1 The Receiving Party shall: (a) hold the Confidential Information in strict confidence; (b) not disclose the Confidential Information to any third party without the prior written consent of the Disclosing Party; (c) use the Confidential Information solely for the Permitted Purpose; and (d) protect the Confidential Information using the same degree of care it uses to protect its own confidential information, but in no event less than reasonable care.</w:t>
      </w:r>
    </w:p>
    <w:p>
      <w:r>
        <w:t>2.2 The Receiving Party may disclose Confidential Information to its Representatives who (a) have a need to know such information for the Permitted Purpose, (b) have been informed of the confidential nature of such information, and (c) are bound by written confidentiality obligations no less restrictive than those contained herein. The Receiving Party shall be responsible for any breach of this Agreement by its Representatives.</w:t>
      </w:r>
    </w:p>
    <w:p>
      <w:r>
        <w:t>2.3 The Receiving Party shall not reverse engineer, disassemble, or decompile any prototypes, software, samples, or other tangible objects that embody the Disclosing Party's Confidential Information.</w:t>
      </w:r>
    </w:p>
    <w:p>
      <w:pPr>
        <w:pStyle w:val="Heading1"/>
      </w:pPr>
      <w:r>
        <w:t>3. Exclusions from Confidential Information</w:t>
      </w:r>
    </w:p>
    <w:p>
      <w:r>
        <w:t>3.1 Confidential Information shall not include information that: (a) was publicly known and made generally available in the public domain prior to the time of disclosure by the Disclosing Party; (b) becomes publicly known and made generally available after disclosure by the Disclosing Party through no wrongful action or inaction of the Receiving Party; (c) is already in the possession of the Receiving Party at the time of disclosure, as shown by the Receiving Party's files and records; (d) is obtained by the Receiving Party from a third party without a breach of such third party's obligations of confidentiality; or (e) is independently developed by the Receiving Party without use of or reference to the Disclosing Party's Confidential Information.</w:t>
      </w:r>
    </w:p>
    <w:p>
      <w:pPr>
        <w:pStyle w:val="Heading1"/>
      </w:pPr>
      <w:r>
        <w:t>4. Compelled Disclosure</w:t>
      </w:r>
    </w:p>
    <w:p>
      <w:r>
        <w:t>4.1 If the Receiving Party is compelled by law, regulation, or legal process to disclose any Confidential Information, the Receiving Party shall provide the Disclosing Party with prompt written notice of such requirement so that the Disclosing Party may seek a protective order or other appropriate remedy. The Receiving Party shall disclose only that portion of the Confidential Information that it is legally required to disclose and shall use commercially reasonable efforts to obtain confidential treatment for any Confidential Information so disclosed.</w:t>
      </w:r>
    </w:p>
    <w:p>
      <w:pPr>
        <w:pStyle w:val="Heading1"/>
      </w:pPr>
      <w:r>
        <w:t>5. Return of Materials</w:t>
      </w:r>
    </w:p>
    <w:p>
      <w:r>
        <w:t>5.1 Upon the written request of the Disclosing Party or upon termination of this Agreement, the Receiving Party shall promptly return or destroy all documents, materials, and other tangible manifestations of Confidential Information in its possession or in the possession of its Representatives, and shall provide written certification of such return or destruction. Notwithstanding the foregoing, the Receiving Party may retain one (1) archival copy of the Confidential Information solely for legal compliance and audit purposes, subject to the continuing obligations of this Agreement.</w:t>
      </w:r>
    </w:p>
    <w:p>
      <w:pPr>
        <w:pStyle w:val="Heading1"/>
      </w:pPr>
      <w:r>
        <w:t>6. No License or Warranty</w:t>
      </w:r>
    </w:p>
    <w:p>
      <w:r>
        <w:t>6.1 Nothing in this Agreement grants the Receiving Party any license or right to use the Confidential Information except as expressly set forth herein. All Confidential Information remains the property of the Disclosing Party. No license or conveyance of any intellectual property rights is granted or implied by this Agreement.</w:t>
      </w:r>
    </w:p>
    <w:p>
      <w:r>
        <w:t>6.2 ALL CONFIDENTIAL INFORMATION IS PROVIDED "AS IS" WITHOUT WARRANTY OF ANY KIND, EXPRESS OR IMPLIED, INCLUDING BUT NOT LIMITED TO WARRANTIES OF MERCHANTABILITY, FITNESS FOR A PARTICULAR PURPOSE, OR NON-INFRINGEMENT.</w:t>
      </w:r>
    </w:p>
    <w:p>
      <w:pPr>
        <w:pStyle w:val="Heading1"/>
      </w:pPr>
      <w:r>
        <w:t>7. Term and Termination</w:t>
      </w:r>
    </w:p>
    <w:p>
      <w:r>
        <w:t>7.1 This Agreement shall commence on the Effective Date and shall remain in effect for a period of three (3) years, unless earlier terminated by either Party upon thirty (30) days' prior written notice to the other Party.</w:t>
      </w:r>
    </w:p>
    <w:p>
      <w:r>
        <w:t>7.2 The confidentiality obligations set forth in Section 2 shall survive termination or expiration of this Agreement for a period of five (5) years from the date of disclosure of the applicable Confidential Information.</w:t>
      </w:r>
    </w:p>
    <w:p>
      <w:pPr>
        <w:pStyle w:val="Heading1"/>
      </w:pPr>
      <w:r>
        <w:t>8. Remedies</w:t>
      </w:r>
    </w:p>
    <w:p>
      <w:r>
        <w:t>8.1 The Parties acknowledge that any breach of this Agreement may cause irreparable harm to the Disclosing Party for which monetary damages would be an inadequate remedy. Accordingly, the Disclosing Party shall be entitled to seek equitable relief, including injunction and specific performance, in addition to all other remedies available at law or in equity, without the necessity of proving actual damages or posting a bond.</w:t>
      </w:r>
    </w:p>
    <w:p>
      <w:r>
        <w:t>8.2 In the event of a breach, the breaching Party shall indemnify and hold harmless the non-breaching Party from and against all losses, damages, liabilities, costs, and expenses (including reasonable attorneys' fees) arising out of or relating to such breach. The total aggregate liability of either Party under this Agreement shall not exceed Five Million United States Dollars (USD $5,000,000).</w:t>
      </w:r>
    </w:p>
    <w:p>
      <w:pPr>
        <w:pStyle w:val="Heading1"/>
      </w:pPr>
      <w:r>
        <w:t>9. Non-Solicitation</w:t>
      </w:r>
    </w:p>
    <w:p>
      <w:r>
        <w:t>9.1 During the term of this Agreement and for a period of twelve (12) months following its termination, neither Party shall directly or indirectly solicit, recruit, or hire any employee or contractor of the other Party who was involved in the Permitted Purpose, without the prior written consent of the other Party.</w:t>
      </w:r>
    </w:p>
    <w:p>
      <w:pPr>
        <w:pStyle w:val="Heading1"/>
      </w:pPr>
      <w:r>
        <w:t>10. Governing Law and Dispute Resolution</w:t>
      </w:r>
    </w:p>
    <w:p>
      <w:r>
        <w:t>10.1 This Agreement shall be governed by and construed in accordance with the laws of the State of Delaware, United States of America, without regard to its conflict of laws principles.</w:t>
      </w:r>
    </w:p>
    <w:p>
      <w:r>
        <w:t>10.2 Any dispute arising out of or in connection with this Agreement shall be resolved by binding arbitration administered by the American Arbitration Association ("AAA") in accordance with its Commercial Arbitration Rules. The arbitration shall be conducted in New York, New York, by a panel of three (3) arbitrators. The language of the arbitration shall be English.</w:t>
      </w:r>
    </w:p>
    <w:p>
      <w:pPr>
        <w:pStyle w:val="Heading1"/>
      </w:pPr>
      <w:r>
        <w:t>11. General Provisions</w:t>
      </w:r>
    </w:p>
    <w:p>
      <w:r>
        <w:t>11.1 Entire Agreement. This Agreement constitutes the entire agreement between the Parties with respect to the subject matter hereof and supersedes all prior and contemporaneous agreements, understandings, negotiations, and discussions, whether oral or written.</w:t>
      </w:r>
    </w:p>
    <w:p>
      <w:r>
        <w:t>11.2 Amendment. This Agreement may not be amended or modified except by a written instrument signed by both Parties.</w:t>
      </w:r>
    </w:p>
    <w:p>
      <w:r>
        <w:t>11.3 Assignment. Neither Party may assign or transfer this Agreement or any rights or obligations hereunder without the prior written consent of the other Party, except in connection with a merger, acquisition, or sale of all or substantially all of its assets.</w:t>
      </w:r>
    </w:p>
    <w:p>
      <w:r>
        <w:t>11.4 Severability. If any provision of this Agreement is held to be invalid or unenforceable, the remaining provisions shall continue in full force and effect.</w:t>
      </w:r>
    </w:p>
    <w:p>
      <w:r>
        <w:t>11.5 Waiver. The failure of either Party to enforce any provision of this Agreement shall not constitute a waiver of such provision or the right to enforce it at a later time.</w:t>
      </w:r>
    </w:p>
    <w:p>
      <w:r>
        <w:t>11.6 Notices. All notices under this Agreement shall be in writing and shall be deemed given when delivered personally, sent by confirmed email, or sent by certified mail, return receipt requested, to the addresses set forth above.</w:t>
      </w:r>
    </w:p>
    <w:p>
      <w:r>
        <w:t>11.7 Counterparts. This Agreement may be executed in counterparts, each of which shall be deemed an original, and all of which together shall constitute one and the same instrument.</w:t>
      </w:r>
    </w:p>
    <w:p/>
    <w:p>
      <w:r>
        <w:t>IN WITNESS WHEREOF, the Parties have executed this Agreement as of the Effective Date.</w:t>
      </w:r>
    </w:p>
    <w:p/>
    <w:tbl>
      <w:tblPr>
        <w:tblW w:type="auto" w:w="0"/>
        <w:jc w:val="center"/>
        <w:tblLook w:firstColumn="1" w:firstRow="1" w:lastColumn="0" w:lastRow="0" w:noHBand="0" w:noVBand="1" w:val="04A0"/>
      </w:tblPr>
      <w:tblGrid>
        <w:gridCol w:w="4320"/>
        <w:gridCol w:w="4320"/>
      </w:tblGrid>
      <w:tr>
        <w:tc>
          <w:tcPr>
            <w:tcW w:type="dxa" w:w="4320"/>
          </w:tcPr>
          <w:p>
            <w:r>
              <w:t>NEXUS DYNAMICS INC.</w:t>
            </w:r>
          </w:p>
        </w:tc>
        <w:tc>
          <w:tcPr>
            <w:tcW w:type="dxa" w:w="4320"/>
          </w:tcPr>
          <w:p>
            <w:r>
              <w:t>QUANTUM LEAP TECHNOLOGIES LTD.</w:t>
            </w:r>
          </w:p>
        </w:tc>
      </w:tr>
      <w:tr>
        <w:tc>
          <w:tcPr>
            <w:tcW w:type="dxa" w:w="4320"/>
          </w:tcPr>
          <w:p>
            <w:r>
              <w:t>By: ________________________</w:t>
            </w:r>
          </w:p>
        </w:tc>
        <w:tc>
          <w:tcPr>
            <w:tcW w:type="dxa" w:w="4320"/>
          </w:tcPr>
          <w:p>
            <w:r>
              <w:t>By: ________________________</w:t>
            </w:r>
          </w:p>
        </w:tc>
      </w:tr>
      <w:tr>
        <w:tc>
          <w:tcPr>
            <w:tcW w:type="dxa" w:w="4320"/>
          </w:tcPr>
          <w:p>
            <w:r>
              <w:t>Name: Dr. Sarah Chen, CEO</w:t>
            </w:r>
          </w:p>
        </w:tc>
        <w:tc>
          <w:tcPr>
            <w:tcW w:type="dxa" w:w="4320"/>
          </w:tcPr>
          <w:p>
            <w:r>
              <w:t>Name: James Harrington, Managing Director</w:t>
            </w:r>
          </w:p>
        </w:tc>
      </w:tr>
      <w:tr>
        <w:tc>
          <w:tcPr>
            <w:tcW w:type="dxa" w:w="4320"/>
          </w:tcPr>
          <w:p>
            <w:r>
              <w:t>Date: March 15, 2025</w:t>
            </w:r>
          </w:p>
        </w:tc>
        <w:tc>
          <w:tcPr>
            <w:tcW w:type="dxa" w:w="4320"/>
          </w:tcPr>
          <w:p>
            <w:r>
              <w:t>Date: March 15,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