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 OUTSOURCING SERVICES AGREEMENT</w:t>
      </w:r>
    </w:p>
    <w:p/>
    <w:p>
      <w:r>
        <w:t>Contract Reference: ITO-2025-0847</w:t>
      </w:r>
    </w:p>
    <w:p>
      <w:r>
        <w:t>Effective Date: March 1, 2025</w:t>
      </w:r>
    </w:p>
    <w:p>
      <w:r>
        <w:t>Expiry Date: February 28, 2030</w:t>
      </w:r>
    </w:p>
    <w:p>
      <w:r>
        <w:t>Total Contract Value: $47,500,000.00</w:t>
      </w:r>
    </w:p>
    <w:p/>
    <w:p>
      <w:pPr>
        <w:pStyle w:val="Heading1"/>
      </w:pPr>
      <w:r>
        <w:t>1. Definitions and Interpretation</w:t>
      </w:r>
    </w:p>
    <w:p>
      <w:pPr>
        <w:pStyle w:val="Heading2"/>
      </w:pPr>
      <w:r>
        <w:t>1.1 Parties</w:t>
      </w:r>
    </w:p>
    <w:p>
      <w:r>
        <w:t>This IT Outsourcing Services Agreement ("Agreement" or "Contract") is entered into as of March 1, 2025 ("Effective Date") by and between:</w:t>
      </w:r>
    </w:p>
    <w:p>
      <w:r>
        <w:t>Meridian Global Holdings Inc., a corporation organized under the laws of the State of Delaware, with its principal office at 200 Park Avenue, New York, NY 10166 (hereinafter referred to as "Client" or "Meridian");</w:t>
      </w:r>
    </w:p>
    <w:p>
      <w:r>
        <w:t>and</w:t>
      </w:r>
    </w:p>
    <w:p>
      <w:r>
        <w:t>TechServe Solutions Pvt. Ltd., a company incorporated under the laws of India, with its registered office at Cyber Tower, HITEC City, Hyderabad, Telangana 500081 (hereinafter referred to as "Service Provider" or "TechServe" or "Vendor");</w:t>
      </w:r>
    </w:p>
    <w:p>
      <w:r>
        <w:t>(collectively referred to as the "Parties" and individually as a "Party").</w:t>
      </w:r>
    </w:p>
    <w:p>
      <w:pPr>
        <w:pStyle w:val="Heading2"/>
      </w:pPr>
      <w:r>
        <w:t>1.2 Key Definitions</w:t>
      </w:r>
    </w:p>
    <w:p>
      <w:r>
        <w:t>"Authorized Representative" means a person designated in writing by a Party to act on its behalf under this Agreement, as listed in Schedule F.</w:t>
      </w:r>
    </w:p>
    <w:p>
      <w:r>
        <w:t>"Business Day" means any day other than a Saturday, Sunday, or public holiday in the jurisdiction of the affected Service Location.</w:t>
      </w:r>
    </w:p>
    <w:p>
      <w:r>
        <w:t>"Change Order" means a written request to modify the scope, schedule, or pricing of Services, processed in accordance with Section 14.</w:t>
      </w:r>
    </w:p>
    <w:p>
      <w:r>
        <w:t>"Confidential Information" means all information disclosed by either Party that is marked as confidential or that a reasonable person would understand to be confidential, including but not limited to trade secrets, business plans, financial data, customer lists, technical specifications, and source code, as further described in Section 9.</w:t>
      </w:r>
    </w:p>
    <w:p>
      <w:r>
        <w:t>"Critical System" means any system classified as Severity 1 or Severity 2 in the SLA Framework set out in Schedule C.</w:t>
      </w:r>
    </w:p>
    <w:p>
      <w:r>
        <w:t>"Data Protection Laws" means the General Data Protection Regulation (EU) 2016/679 ("GDPR"), the California Consumer Privacy Act ("CCPA"), the Indian Information Technology Act 2000, and any other applicable data protection legislation in the jurisdictions where Services are performed.</w:t>
      </w:r>
    </w:p>
    <w:p>
      <w:r>
        <w:t>"Deliverables" means all work products, reports, documentation, software, and other materials created by the Service Provider in the performance of the Services.</w:t>
      </w:r>
    </w:p>
    <w:p>
      <w:r>
        <w:t>"Force Majeure Event" has the meaning set forth in Section 16.</w:t>
      </w:r>
    </w:p>
    <w:p>
      <w:r>
        <w:t>"Intellectual Property" or "IP" means all patents, copyrights, trademarks, trade secrets, know-how, and other intellectual property rights.</w:t>
      </w:r>
    </w:p>
    <w:p>
      <w:r>
        <w:t>"Key Personnel" means the individuals identified in Schedule F who are essential to the delivery of Services and may not be replaced without the Client's prior written consent.</w:t>
      </w:r>
    </w:p>
    <w:p>
      <w:r>
        <w:t>"Service Credits" means the financial credits payable by the Service Provider to the Client in the event of SLA breaches, calculated in accordance with Schedule C, Section 4.</w:t>
      </w:r>
    </w:p>
    <w:p>
      <w:r>
        <w:t>"Service Levels" or "SLAs" means the performance standards and metrics set forth in Schedule C.</w:t>
      </w:r>
    </w:p>
    <w:p>
      <w:r>
        <w:t>"Transition Period" means the period of one hundred and twenty (120) days from the Effective Date during which the Service Provider assumes responsibility for the Services from the Client's incumbent provider.</w:t>
      </w:r>
    </w:p>
    <w:p>
      <w:pPr>
        <w:pStyle w:val="Heading1"/>
      </w:pPr>
      <w:r>
        <w:t>2. Scope of Services</w:t>
      </w:r>
    </w:p>
    <w:p>
      <w:pPr>
        <w:pStyle w:val="Heading2"/>
      </w:pPr>
      <w:r>
        <w:t>2.1 Infrastructure Management Services</w:t>
      </w:r>
    </w:p>
    <w:p>
      <w:r>
        <w:t>The Service Provider shall provide comprehensive infrastructure management services covering all hardware, software, and network components listed in Schedule A across all Service Locations identified in Schedule B. The infrastructure management services include, but are not limited to:</w:t>
      </w:r>
    </w:p>
    <w:p>
      <w:pPr>
        <w:pStyle w:val="ListBullet"/>
      </w:pPr>
      <w:r>
        <w:t>Server administration and monitoring (physical and virtual) for 2,400+ servers</w:t>
      </w:r>
    </w:p>
    <w:p>
      <w:pPr>
        <w:pStyle w:val="ListBullet"/>
      </w:pPr>
      <w:r>
        <w:t>Network management including LAN, WAN, SD-WAN, and VPN infrastructure</w:t>
      </w:r>
    </w:p>
    <w:p>
      <w:pPr>
        <w:pStyle w:val="ListBullet"/>
      </w:pPr>
      <w:r>
        <w:t>Storage management across SAN, NAS, and cloud storage tiers</w:t>
      </w:r>
    </w:p>
    <w:p>
      <w:pPr>
        <w:pStyle w:val="ListBullet"/>
      </w:pPr>
      <w:r>
        <w:t>Database administration for Oracle, SQL Server, PostgreSQL, and MongoDB instances</w:t>
      </w:r>
    </w:p>
    <w:p>
      <w:pPr>
        <w:pStyle w:val="ListBullet"/>
      </w:pPr>
      <w:r>
        <w:t>End-user computing support for 15,000 desktop and laptop devices</w:t>
      </w:r>
    </w:p>
    <w:p>
      <w:pPr>
        <w:pStyle w:val="ListBullet"/>
      </w:pPr>
      <w:r>
        <w:t>Data center operations at Tier III and Tier IV facilities</w:t>
      </w:r>
    </w:p>
    <w:p>
      <w:pPr>
        <w:pStyle w:val="ListBullet"/>
      </w:pPr>
      <w:r>
        <w:t>Cloud infrastructure management across AWS, Azure, and GCP environments</w:t>
      </w:r>
    </w:p>
    <w:p>
      <w:pPr>
        <w:pStyle w:val="ListBullet"/>
      </w:pPr>
      <w:r>
        <w:t>Security operations center (SOC) monitoring on a 24x7x365 basis</w:t>
      </w:r>
    </w:p>
    <w:p>
      <w:pPr>
        <w:pStyle w:val="Heading2"/>
      </w:pPr>
      <w:r>
        <w:t>2.2 Application Support Services</w:t>
      </w:r>
    </w:p>
    <w:p>
      <w:r>
        <w:t>The Service Provider shall provide application support and maintenance for the enterprise systems listed in Schedule A, Part II. Application support services shall include:</w:t>
      </w:r>
    </w:p>
    <w:p>
      <w:pPr>
        <w:pStyle w:val="ListBullet"/>
      </w:pPr>
      <w:r>
        <w:t>Level 2 and Level 3 application support for SAP S/4HANA (Finance, HR, SCM, MM modules)</w:t>
      </w:r>
    </w:p>
    <w:p>
      <w:pPr>
        <w:pStyle w:val="ListBullet"/>
      </w:pPr>
      <w:r>
        <w:t>Salesforce CRM administration and customization support</w:t>
      </w:r>
    </w:p>
    <w:p>
      <w:pPr>
        <w:pStyle w:val="ListBullet"/>
      </w:pPr>
      <w:r>
        <w:t>Oracle E-Business Suite maintenance and patch management</w:t>
      </w:r>
    </w:p>
    <w:p>
      <w:pPr>
        <w:pStyle w:val="ListBullet"/>
      </w:pPr>
      <w:r>
        <w:t>Custom application support for Meridian's proprietary trading platform ("MeridianTrade")</w:t>
      </w:r>
    </w:p>
    <w:p>
      <w:pPr>
        <w:pStyle w:val="ListBullet"/>
      </w:pPr>
      <w:r>
        <w:t>ServiceNow ITSM platform administration and workflow development</w:t>
      </w:r>
    </w:p>
    <w:p>
      <w:pPr>
        <w:pStyle w:val="ListBullet"/>
      </w:pPr>
      <w:r>
        <w:t>Microsoft 365 and Azure Active Directory management</w:t>
      </w:r>
    </w:p>
    <w:p>
      <w:pPr>
        <w:pStyle w:val="ListBullet"/>
      </w:pPr>
      <w:r>
        <w:t>Business intelligence support for Tableau and Power BI environments</w:t>
      </w:r>
    </w:p>
    <w:p>
      <w:pPr>
        <w:pStyle w:val="ListBullet"/>
      </w:pPr>
      <w:r>
        <w:t>Integration middleware support for MuleSoft and Apache Kafka platforms</w:t>
      </w:r>
    </w:p>
    <w:p>
      <w:pPr>
        <w:pStyle w:val="Heading2"/>
      </w:pPr>
      <w:r>
        <w:t>2.3 Excluded Services</w:t>
      </w:r>
    </w:p>
    <w:p>
      <w:r>
        <w:t>The following services are expressly excluded from the scope of this Agreement and shall require a separate Change Order pursuant to Section 14 if the Client wishes to include them:</w:t>
      </w:r>
    </w:p>
    <w:p>
      <w:pPr>
        <w:pStyle w:val="ListBullet"/>
      </w:pPr>
      <w:r>
        <w:t>New application development (greenfield projects)</w:t>
      </w:r>
    </w:p>
    <w:p>
      <w:pPr>
        <w:pStyle w:val="ListBullet"/>
      </w:pPr>
      <w:r>
        <w:t>Hardware procurement and capital expenditure</w:t>
      </w:r>
    </w:p>
    <w:p>
      <w:pPr>
        <w:pStyle w:val="ListBullet"/>
      </w:pPr>
      <w:r>
        <w:t>Telecommunications carrier management</w:t>
      </w:r>
    </w:p>
    <w:p>
      <w:pPr>
        <w:pStyle w:val="ListBullet"/>
      </w:pPr>
      <w:r>
        <w:t>Physical security of Client premises</w:t>
      </w:r>
    </w:p>
    <w:p>
      <w:pPr>
        <w:pStyle w:val="ListBullet"/>
      </w:pPr>
      <w:r>
        <w:t>End-user training programs</w:t>
      </w:r>
    </w:p>
    <w:p>
      <w:pPr>
        <w:pStyle w:val="Heading1"/>
      </w:pPr>
      <w:r>
        <w:t>3. Term and Renewal</w:t>
      </w:r>
    </w:p>
    <w:p>
      <w:pPr>
        <w:pStyle w:val="Heading2"/>
      </w:pPr>
      <w:r>
        <w:t>3.1 Initial Term</w:t>
      </w:r>
    </w:p>
    <w:p>
      <w:r>
        <w:t>This Agreement shall commence on the Effective Date and continue for an initial term of five (5) years (the "Initial Term"), expiring on February 28, 2030, unless earlier terminated in accordance with Section 12.</w:t>
      </w:r>
    </w:p>
    <w:p>
      <w:pPr>
        <w:pStyle w:val="Heading2"/>
      </w:pPr>
      <w:r>
        <w:t>3.2 Renewal</w:t>
      </w:r>
    </w:p>
    <w:p>
      <w:r>
        <w:t>Upon expiration of the Initial Term, this Agreement shall automatically renew for successive periods of two (2) years each (each a "Renewal Term"), unless either Party provides written notice of non-renewal at least one hundred and eighty (180) days prior to the expiration of the then-current term.</w:t>
      </w:r>
    </w:p>
    <w:p>
      <w:pPr>
        <w:pStyle w:val="Heading2"/>
      </w:pPr>
      <w:r>
        <w:t>3.3 Transition Period</w:t>
      </w:r>
    </w:p>
    <w:p>
      <w:r>
        <w:t>The Transition Period shall commence on the Effective Date and conclude no later than one hundred and twenty (120) days thereafter (the "Transition Completion Date"). During the Transition Period, the Service Provider shall:</w:t>
      </w:r>
    </w:p>
    <w:p>
      <w:pPr>
        <w:pStyle w:val="ListBullet"/>
      </w:pPr>
      <w:r>
        <w:t>Conduct a comprehensive assessment of the Client's existing IT environment</w:t>
      </w:r>
    </w:p>
    <w:p>
      <w:pPr>
        <w:pStyle w:val="ListBullet"/>
      </w:pPr>
      <w:r>
        <w:t>Develop and execute a detailed transition plan approved by the Client</w:t>
      </w:r>
    </w:p>
    <w:p>
      <w:pPr>
        <w:pStyle w:val="ListBullet"/>
      </w:pPr>
      <w:r>
        <w:t>Assume operational responsibility for all in-scope services in a phased manner</w:t>
      </w:r>
    </w:p>
    <w:p>
      <w:pPr>
        <w:pStyle w:val="ListBullet"/>
      </w:pPr>
      <w:r>
        <w:t>Achieve steady-state operations by the Transition Completion Date</w:t>
      </w:r>
    </w:p>
    <w:p>
      <w:pPr>
        <w:pStyle w:val="ListBullet"/>
      </w:pPr>
      <w:r>
        <w:t>Provide weekly transition status reports to the Client's Authorized Representative</w:t>
      </w:r>
    </w:p>
    <w:p>
      <w:pPr>
        <w:pStyle w:val="Heading1"/>
      </w:pPr>
      <w:r>
        <w:t>4. Pricing and Payment</w:t>
      </w:r>
    </w:p>
    <w:p>
      <w:pPr>
        <w:pStyle w:val="Heading2"/>
      </w:pPr>
      <w:r>
        <w:t>4.1 Contract Value</w:t>
      </w:r>
    </w:p>
    <w:p>
      <w:r>
        <w:t>The total contract value for the Initial Term is Forty-Seven Million Five Hundred Thousand US Dollars ($47,500,000.00), structured as follows:</w:t>
      </w:r>
    </w:p>
    <w:p>
      <w:pPr>
        <w:pStyle w:val="Heading3"/>
      </w:pPr>
      <w:r>
        <w:t>4.1.1 Annual Fee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Base Fee</w:t>
            </w:r>
          </w:p>
        </w:tc>
        <w:tc>
          <w:tcPr>
            <w:tcW w:type="dxa" w:w="2160"/>
          </w:tcPr>
          <w:p>
            <w:r>
              <w:t>Variable Component (est.)</w:t>
            </w:r>
          </w:p>
        </w:tc>
        <w:tc>
          <w:tcPr>
            <w:tcW w:type="dxa" w:w="2160"/>
          </w:tcPr>
          <w:p>
            <w:r>
              <w:t>Total (est.)</w:t>
            </w:r>
          </w:p>
        </w:tc>
      </w:tr>
      <w:tr>
        <w:tc>
          <w:tcPr>
            <w:tcW w:type="dxa" w:w="2160"/>
          </w:tcPr>
          <w:p>
            <w:r>
              <w:t>Year 1 (2025-26)</w:t>
            </w:r>
          </w:p>
        </w:tc>
        <w:tc>
          <w:tcPr>
            <w:tcW w:type="dxa" w:w="2160"/>
          </w:tcPr>
          <w:p>
            <w:r>
              <w:t>$7,200,000</w:t>
            </w:r>
          </w:p>
        </w:tc>
        <w:tc>
          <w:tcPr>
            <w:tcW w:type="dxa" w:w="2160"/>
          </w:tcPr>
          <w:p>
            <w:r>
              <w:t>$1,800,000</w:t>
            </w:r>
          </w:p>
        </w:tc>
        <w:tc>
          <w:tcPr>
            <w:tcW w:type="dxa" w:w="2160"/>
          </w:tcPr>
          <w:p>
            <w:r>
              <w:t>$9,000,000</w:t>
            </w:r>
          </w:p>
        </w:tc>
      </w:tr>
      <w:tr>
        <w:tc>
          <w:tcPr>
            <w:tcW w:type="dxa" w:w="2160"/>
          </w:tcPr>
          <w:p>
            <w:r>
              <w:t>Year 2 (2026-27)</w:t>
            </w:r>
          </w:p>
        </w:tc>
        <w:tc>
          <w:tcPr>
            <w:tcW w:type="dxa" w:w="2160"/>
          </w:tcPr>
          <w:p>
            <w:r>
              <w:t>$7,416,000</w:t>
            </w:r>
          </w:p>
        </w:tc>
        <w:tc>
          <w:tcPr>
            <w:tcW w:type="dxa" w:w="2160"/>
          </w:tcPr>
          <w:p>
            <w:r>
              <w:t>$1,854,000</w:t>
            </w:r>
          </w:p>
        </w:tc>
        <w:tc>
          <w:tcPr>
            <w:tcW w:type="dxa" w:w="2160"/>
          </w:tcPr>
          <w:p>
            <w:r>
              <w:t>$9,270,000</w:t>
            </w:r>
          </w:p>
        </w:tc>
      </w:tr>
      <w:tr>
        <w:tc>
          <w:tcPr>
            <w:tcW w:type="dxa" w:w="2160"/>
          </w:tcPr>
          <w:p>
            <w:r>
              <w:t>Year 3 (2027-28)</w:t>
            </w:r>
          </w:p>
        </w:tc>
        <w:tc>
          <w:tcPr>
            <w:tcW w:type="dxa" w:w="2160"/>
          </w:tcPr>
          <w:p>
            <w:r>
              <w:t>$7,638,480</w:t>
            </w:r>
          </w:p>
        </w:tc>
        <w:tc>
          <w:tcPr>
            <w:tcW w:type="dxa" w:w="2160"/>
          </w:tcPr>
          <w:p>
            <w:r>
              <w:t>$1,909,620</w:t>
            </w:r>
          </w:p>
        </w:tc>
        <w:tc>
          <w:tcPr>
            <w:tcW w:type="dxa" w:w="2160"/>
          </w:tcPr>
          <w:p>
            <w:r>
              <w:t>$9,548,100</w:t>
            </w:r>
          </w:p>
        </w:tc>
      </w:tr>
      <w:tr>
        <w:tc>
          <w:tcPr>
            <w:tcW w:type="dxa" w:w="2160"/>
          </w:tcPr>
          <w:p>
            <w:r>
              <w:t>Year 4 (2028-29)</w:t>
            </w:r>
          </w:p>
        </w:tc>
        <w:tc>
          <w:tcPr>
            <w:tcW w:type="dxa" w:w="2160"/>
          </w:tcPr>
          <w:p>
            <w:r>
              <w:t>$7,867,634</w:t>
            </w:r>
          </w:p>
        </w:tc>
        <w:tc>
          <w:tcPr>
            <w:tcW w:type="dxa" w:w="2160"/>
          </w:tcPr>
          <w:p>
            <w:r>
              <w:t>$1,966,909</w:t>
            </w:r>
          </w:p>
        </w:tc>
        <w:tc>
          <w:tcPr>
            <w:tcW w:type="dxa" w:w="2160"/>
          </w:tcPr>
          <w:p>
            <w:r>
              <w:t>$9,834,543</w:t>
            </w:r>
          </w:p>
        </w:tc>
      </w:tr>
      <w:tr>
        <w:tc>
          <w:tcPr>
            <w:tcW w:type="dxa" w:w="2160"/>
          </w:tcPr>
          <w:p>
            <w:r>
              <w:t>Year 5 (2029-30)</w:t>
            </w:r>
          </w:p>
        </w:tc>
        <w:tc>
          <w:tcPr>
            <w:tcW w:type="dxa" w:w="2160"/>
          </w:tcPr>
          <w:p>
            <w:r>
              <w:t>$8,103,663</w:t>
            </w:r>
          </w:p>
        </w:tc>
        <w:tc>
          <w:tcPr>
            <w:tcW w:type="dxa" w:w="2160"/>
          </w:tcPr>
          <w:p>
            <w:r>
              <w:t>$2,025,916</w:t>
            </w:r>
          </w:p>
        </w:tc>
        <w:tc>
          <w:tcPr>
            <w:tcW w:type="dxa" w:w="2160"/>
          </w:tcPr>
          <w:p>
            <w:r>
              <w:t>$10,129,579</w:t>
            </w:r>
          </w:p>
        </w:tc>
      </w:tr>
      <w:tr>
        <w:tc>
          <w:tcPr>
            <w:tcW w:type="dxa" w:w="2160"/>
          </w:tcPr>
          <w:p>
            <w:r>
              <w:t>TOTAL</w:t>
            </w:r>
          </w:p>
        </w:tc>
        <w:tc>
          <w:tcPr>
            <w:tcW w:type="dxa" w:w="2160"/>
          </w:tcPr>
          <w:p>
            <w:r>
              <w:t>$38,225,777</w:t>
            </w:r>
          </w:p>
        </w:tc>
        <w:tc>
          <w:tcPr>
            <w:tcW w:type="dxa" w:w="2160"/>
          </w:tcPr>
          <w:p>
            <w:r>
              <w:t>$9,556,445</w:t>
            </w:r>
          </w:p>
        </w:tc>
        <w:tc>
          <w:tcPr>
            <w:tcW w:type="dxa" w:w="2160"/>
          </w:tcPr>
          <w:p>
            <w:r>
              <w:t>$47,782,222</w:t>
            </w:r>
          </w:p>
        </w:tc>
      </w:tr>
    </w:tbl>
    <w:p>
      <w:pPr>
        <w:pStyle w:val="Heading2"/>
      </w:pPr>
      <w:r>
        <w:t>4.2 Price Escalation</w:t>
      </w:r>
    </w:p>
    <w:p>
      <w:r>
        <w:t>The Base Fee shall be subject to an annual escalation of three percent (3%) or the Consumer Price Index (CPI) increase for the preceding calendar year, whichever is lower (the "Escalation Cap"). The escalation shall apply from Year 2 onwards and shall be calculated on the Base Fee of the immediately preceding year. The Service Provider shall provide the Client with a revised fee schedule no later than sixty (60) days before the start of each contract year.</w:t>
      </w:r>
    </w:p>
    <w:p>
      <w:pPr>
        <w:pStyle w:val="Heading2"/>
      </w:pPr>
      <w:r>
        <w:t>4.3 Payment Terms</w:t>
      </w:r>
    </w:p>
    <w:p>
      <w:r>
        <w:t>The Client shall pay the Service Provider in equal monthly installments of the Base Fee, payable within forty-five (45) days of receipt of a valid invoice. Variable components shall be invoiced quarterly in arrears based on actual consumption, subject to the reconciliation process described in Section 4.5. All payments shall be made in US Dollars by wire transfer to the account specified in Schedule E.</w:t>
      </w:r>
    </w:p>
    <w:p>
      <w:pPr>
        <w:pStyle w:val="Heading2"/>
      </w:pPr>
      <w:r>
        <w:t>4.4 Service Credits and Deductions</w:t>
      </w:r>
    </w:p>
    <w:p>
      <w:r>
        <w:t>Service Credits earned by the Client pursuant to Schedule C shall be applied as deductions against the next monthly invoice. The maximum aggregate Service Credits in any calendar month shall not exceed fifteen percent (15%) of the monthly Base Fee (the "Monthly Credit Cap"). Service Credits that exceed the Monthly Credit Cap shall be carried forward to subsequent months. Notwithstanding the foregoing, if aggregate Service Credits in any rolling twelve (12) month period exceed twenty percent (20%) of the annual Base Fee, the Client shall have the right to terminate this Agreement for cause pursuant to Section 12.2.</w:t>
      </w:r>
    </w:p>
    <w:p>
      <w:pPr>
        <w:pStyle w:val="Heading2"/>
      </w:pPr>
      <w:r>
        <w:t>4.5 Quarterly Reconciliation</w:t>
      </w:r>
    </w:p>
    <w:p>
      <w:r>
        <w:t>Within thirty (30) days following the end of each calendar quarter, the Parties shall conduct a reconciliation of all variable charges, Service Credits, and any disputed amounts. Any net amount due to either Party shall be settled within fifteen (15) Business Days of the reconciliation completion.</w:t>
      </w:r>
    </w:p>
    <w:p>
      <w:pPr>
        <w:pStyle w:val="Heading1"/>
      </w:pPr>
      <w:r>
        <w:t>5. Service Levels and Performance Standards</w:t>
      </w:r>
    </w:p>
    <w:p>
      <w:pPr>
        <w:pStyle w:val="Heading2"/>
      </w:pPr>
      <w:r>
        <w:t>5.1 SLA Framework</w:t>
      </w:r>
    </w:p>
    <w:p>
      <w:r>
        <w:t>The Service Provider shall meet or exceed the Service Levels set forth in Schedule C. The SLA framework is structured around five (5) severity levels, each with defined response times, resolution times, and associated Service Credits for non-compliance.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Description</w:t>
            </w:r>
          </w:p>
        </w:tc>
        <w:tc>
          <w:tcPr>
            <w:tcW w:type="dxa" w:w="1728"/>
          </w:tcPr>
          <w:p>
            <w:r>
              <w:t>Response Time</w:t>
            </w:r>
          </w:p>
        </w:tc>
        <w:tc>
          <w:tcPr>
            <w:tcW w:type="dxa" w:w="1728"/>
          </w:tcPr>
          <w:p>
            <w:r>
              <w:t>Resolution Time</w:t>
            </w:r>
          </w:p>
        </w:tc>
        <w:tc>
          <w:tcPr>
            <w:tcW w:type="dxa" w:w="1728"/>
          </w:tcPr>
          <w:p>
            <w:r>
              <w:t>Service Credit (% monthly fee)</w:t>
            </w:r>
          </w:p>
        </w:tc>
      </w:tr>
      <w:tr>
        <w:tc>
          <w:tcPr>
            <w:tcW w:type="dxa" w:w="1728"/>
          </w:tcPr>
          <w:p>
            <w:r>
              <w:t>Severity 1 (Critical)</w:t>
            </w:r>
          </w:p>
        </w:tc>
        <w:tc>
          <w:tcPr>
            <w:tcW w:type="dxa" w:w="1728"/>
          </w:tcPr>
          <w:p>
            <w:r>
              <w:t>Complete system outage affecting &gt;50% of users</w:t>
            </w:r>
          </w:p>
        </w:tc>
        <w:tc>
          <w:tcPr>
            <w:tcW w:type="dxa" w:w="1728"/>
          </w:tcPr>
          <w:p>
            <w:r>
              <w:t>15 minutes</w:t>
            </w:r>
          </w:p>
        </w:tc>
        <w:tc>
          <w:tcPr>
            <w:tcW w:type="dxa" w:w="1728"/>
          </w:tcPr>
          <w:p>
            <w:r>
              <w:t>4 hours</w:t>
            </w:r>
          </w:p>
        </w:tc>
        <w:tc>
          <w:tcPr>
            <w:tcW w:type="dxa" w:w="1728"/>
          </w:tcPr>
          <w:p>
            <w:r>
              <w:t>5% per incident</w:t>
            </w:r>
          </w:p>
        </w:tc>
      </w:tr>
      <w:tr>
        <w:tc>
          <w:tcPr>
            <w:tcW w:type="dxa" w:w="1728"/>
          </w:tcPr>
          <w:p>
            <w:r>
              <w:t>Severity 2 (High)</w:t>
            </w:r>
          </w:p>
        </w:tc>
        <w:tc>
          <w:tcPr>
            <w:tcW w:type="dxa" w:w="1728"/>
          </w:tcPr>
          <w:p>
            <w:r>
              <w:t>Major degradation affecting business-critical functions</w:t>
            </w:r>
          </w:p>
        </w:tc>
        <w:tc>
          <w:tcPr>
            <w:tcW w:type="dxa" w:w="1728"/>
          </w:tcPr>
          <w:p>
            <w:r>
              <w:t>30 minutes</w:t>
            </w:r>
          </w:p>
        </w:tc>
        <w:tc>
          <w:tcPr>
            <w:tcW w:type="dxa" w:w="1728"/>
          </w:tcPr>
          <w:p>
            <w:r>
              <w:t>8 hours</w:t>
            </w:r>
          </w:p>
        </w:tc>
        <w:tc>
          <w:tcPr>
            <w:tcW w:type="dxa" w:w="1728"/>
          </w:tcPr>
          <w:p>
            <w:r>
              <w:t>3% per incident</w:t>
            </w:r>
          </w:p>
        </w:tc>
      </w:tr>
      <w:tr>
        <w:tc>
          <w:tcPr>
            <w:tcW w:type="dxa" w:w="1728"/>
          </w:tcPr>
          <w:p>
            <w:r>
              <w:t>Severity 3 (Medium)</w:t>
            </w:r>
          </w:p>
        </w:tc>
        <w:tc>
          <w:tcPr>
            <w:tcW w:type="dxa" w:w="1728"/>
          </w:tcPr>
          <w:p>
            <w:r>
              <w:t>Partial service impact with workaround available</w:t>
            </w:r>
          </w:p>
        </w:tc>
        <w:tc>
          <w:tcPr>
            <w:tcW w:type="dxa" w:w="1728"/>
          </w:tcPr>
          <w:p>
            <w:r>
              <w:t>2 hours</w:t>
            </w:r>
          </w:p>
        </w:tc>
        <w:tc>
          <w:tcPr>
            <w:tcW w:type="dxa" w:w="1728"/>
          </w:tcPr>
          <w:p>
            <w:r>
              <w:t>24 hours</w:t>
            </w:r>
          </w:p>
        </w:tc>
        <w:tc>
          <w:tcPr>
            <w:tcW w:type="dxa" w:w="1728"/>
          </w:tcPr>
          <w:p>
            <w:r>
              <w:t>1% per incident</w:t>
            </w:r>
          </w:p>
        </w:tc>
      </w:tr>
      <w:tr>
        <w:tc>
          <w:tcPr>
            <w:tcW w:type="dxa" w:w="1728"/>
          </w:tcPr>
          <w:p>
            <w:r>
              <w:t>Severity 4 (Low)</w:t>
            </w:r>
          </w:p>
        </w:tc>
        <w:tc>
          <w:tcPr>
            <w:tcW w:type="dxa" w:w="1728"/>
          </w:tcPr>
          <w:p>
            <w:r>
              <w:t>Minor issue with minimal business impact</w:t>
            </w:r>
          </w:p>
        </w:tc>
        <w:tc>
          <w:tcPr>
            <w:tcW w:type="dxa" w:w="1728"/>
          </w:tcPr>
          <w:p>
            <w:r>
              <w:t>4 hours</w:t>
            </w:r>
          </w:p>
        </w:tc>
        <w:tc>
          <w:tcPr>
            <w:tcW w:type="dxa" w:w="1728"/>
          </w:tcPr>
          <w:p>
            <w:r>
              <w:t>72 hours</w:t>
            </w:r>
          </w:p>
        </w:tc>
        <w:tc>
          <w:tcPr>
            <w:tcW w:type="dxa" w:w="1728"/>
          </w:tcPr>
          <w:p>
            <w:r>
              <w:t>0.5% per incident</w:t>
            </w:r>
          </w:p>
        </w:tc>
      </w:tr>
      <w:tr>
        <w:tc>
          <w:tcPr>
            <w:tcW w:type="dxa" w:w="1728"/>
          </w:tcPr>
          <w:p>
            <w:r>
              <w:t>Severity 5 (Informational)</w:t>
            </w:r>
          </w:p>
        </w:tc>
        <w:tc>
          <w:tcPr>
            <w:tcW w:type="dxa" w:w="1728"/>
          </w:tcPr>
          <w:p>
            <w:r>
              <w:t>Service request or enhancement</w:t>
            </w:r>
          </w:p>
        </w:tc>
        <w:tc>
          <w:tcPr>
            <w:tcW w:type="dxa" w:w="1728"/>
          </w:tcPr>
          <w:p>
            <w:r>
              <w:t>1 Business Day</w:t>
            </w:r>
          </w:p>
        </w:tc>
        <w:tc>
          <w:tcPr>
            <w:tcW w:type="dxa" w:w="1728"/>
          </w:tcPr>
          <w:p>
            <w:r>
              <w:t>5 Business Days</w:t>
            </w:r>
          </w:p>
        </w:tc>
        <w:tc>
          <w:tcPr>
            <w:tcW w:type="dxa" w:w="1728"/>
          </w:tcPr>
          <w:p>
            <w:r>
              <w:t>N/A</w:t>
            </w:r>
          </w:p>
        </w:tc>
      </w:tr>
    </w:tbl>
    <w:p>
      <w:pPr>
        <w:pStyle w:val="Heading2"/>
      </w:pPr>
      <w:r>
        <w:t>5.2 Availability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Category</w:t>
            </w:r>
          </w:p>
        </w:tc>
        <w:tc>
          <w:tcPr>
            <w:tcW w:type="dxa" w:w="2880"/>
          </w:tcPr>
          <w:p>
            <w:r>
              <w:t>Monthly Uptime Target</w:t>
            </w:r>
          </w:p>
        </w:tc>
        <w:tc>
          <w:tcPr>
            <w:tcW w:type="dxa" w:w="2880"/>
          </w:tcPr>
          <w:p>
            <w:r>
              <w:t>Measurement Window</w:t>
            </w:r>
          </w:p>
        </w:tc>
      </w:tr>
      <w:tr>
        <w:tc>
          <w:tcPr>
            <w:tcW w:type="dxa" w:w="2880"/>
          </w:tcPr>
          <w:p>
            <w:r>
              <w:t>Critical Production Systems</w:t>
            </w:r>
          </w:p>
        </w:tc>
        <w:tc>
          <w:tcPr>
            <w:tcW w:type="dxa" w:w="2880"/>
          </w:tcPr>
          <w:p>
            <w:r>
              <w:t>99.99%</w:t>
            </w:r>
          </w:p>
        </w:tc>
        <w:tc>
          <w:tcPr>
            <w:tcW w:type="dxa" w:w="2880"/>
          </w:tcPr>
          <w:p>
            <w:r>
              <w:t>24x7x365</w:t>
            </w:r>
          </w:p>
        </w:tc>
      </w:tr>
      <w:tr>
        <w:tc>
          <w:tcPr>
            <w:tcW w:type="dxa" w:w="2880"/>
          </w:tcPr>
          <w:p>
            <w:r>
              <w:t>Business Applications (Tier 1)</w:t>
            </w:r>
          </w:p>
        </w:tc>
        <w:tc>
          <w:tcPr>
            <w:tcW w:type="dxa" w:w="2880"/>
          </w:tcPr>
          <w:p>
            <w:r>
              <w:t>99.95%</w:t>
            </w:r>
          </w:p>
        </w:tc>
        <w:tc>
          <w:tcPr>
            <w:tcW w:type="dxa" w:w="2880"/>
          </w:tcPr>
          <w:p>
            <w:r>
              <w:t>24x7x365</w:t>
            </w:r>
          </w:p>
        </w:tc>
      </w:tr>
      <w:tr>
        <w:tc>
          <w:tcPr>
            <w:tcW w:type="dxa" w:w="2880"/>
          </w:tcPr>
          <w:p>
            <w:r>
              <w:t>Business Applications (Tier 2)</w:t>
            </w:r>
          </w:p>
        </w:tc>
        <w:tc>
          <w:tcPr>
            <w:tcW w:type="dxa" w:w="2880"/>
          </w:tcPr>
          <w:p>
            <w:r>
              <w:t>99.9%</w:t>
            </w:r>
          </w:p>
        </w:tc>
        <w:tc>
          <w:tcPr>
            <w:tcW w:type="dxa" w:w="2880"/>
          </w:tcPr>
          <w:p>
            <w:r>
              <w:t>Business Hours (8am-8pm local)</w:t>
            </w:r>
          </w:p>
        </w:tc>
      </w:tr>
      <w:tr>
        <w:tc>
          <w:tcPr>
            <w:tcW w:type="dxa" w:w="2880"/>
          </w:tcPr>
          <w:p>
            <w:r>
              <w:t>Development/Test Environments</w:t>
            </w:r>
          </w:p>
        </w:tc>
        <w:tc>
          <w:tcPr>
            <w:tcW w:type="dxa" w:w="2880"/>
          </w:tcPr>
          <w:p>
            <w:r>
              <w:t>99.5%</w:t>
            </w:r>
          </w:p>
        </w:tc>
        <w:tc>
          <w:tcPr>
            <w:tcW w:type="dxa" w:w="2880"/>
          </w:tcPr>
          <w:p>
            <w:r>
              <w:t>Business Hours (8am-6pm local)</w:t>
            </w:r>
          </w:p>
        </w:tc>
      </w:tr>
    </w:tbl>
    <w:p>
      <w:pPr>
        <w:pStyle w:val="Heading2"/>
      </w:pPr>
      <w:r>
        <w:t>5.3 Performance Reporting</w:t>
      </w:r>
    </w:p>
    <w:p>
      <w:r>
        <w:t>The Service Provider shall deliver the following reports to the Client's Authorized Representative:</w:t>
      </w:r>
    </w:p>
    <w:p>
      <w:pPr>
        <w:pStyle w:val="ListBullet"/>
      </w:pPr>
      <w:r>
        <w:t>Daily: Incident summary and open ticket status (by 9:00 AM EST)</w:t>
      </w:r>
    </w:p>
    <w:p>
      <w:pPr>
        <w:pStyle w:val="ListBullet"/>
      </w:pPr>
      <w:r>
        <w:t>Weekly: SLA performance dashboard with trend analysis</w:t>
      </w:r>
    </w:p>
    <w:p>
      <w:pPr>
        <w:pStyle w:val="ListBullet"/>
      </w:pPr>
      <w:r>
        <w:t>Monthly: Comprehensive service report including uptime metrics, incident analysis, capacity planning, and Service Credit calculations</w:t>
      </w:r>
    </w:p>
    <w:p>
      <w:pPr>
        <w:pStyle w:val="ListBullet"/>
      </w:pPr>
      <w:r>
        <w:t>Quarterly: Executive summary with strategic recommendations and continuous improvement initiatives</w:t>
      </w:r>
    </w:p>
    <w:p>
      <w:pPr>
        <w:pStyle w:val="ListBullet"/>
      </w:pPr>
      <w:r>
        <w:t>Annually: Year-in-review report with benchmarking against industry standards</w:t>
      </w:r>
    </w:p>
    <w:p>
      <w:pPr>
        <w:pStyle w:val="Heading1"/>
      </w:pPr>
      <w:r>
        <w:t>6. Governance and Relationship Management</w:t>
      </w:r>
    </w:p>
    <w:p>
      <w:pPr>
        <w:pStyle w:val="Heading2"/>
      </w:pPr>
      <w:r>
        <w:t>6.1 Governance Structure</w:t>
      </w:r>
    </w:p>
    <w:p>
      <w:r>
        <w:t>The Parties shall establish a multi-tiered governance structure as follows:</w:t>
      </w:r>
    </w:p>
    <w:p>
      <w:pPr>
        <w:pStyle w:val="ListBullet"/>
      </w:pPr>
      <w:r>
        <w:t>Strategic Level: Executive Steering Committee meeting quarterly, comprising C-level representatives from both Parties, responsible for strategic direction and dispute escalation</w:t>
      </w:r>
    </w:p>
    <w:p>
      <w:pPr>
        <w:pStyle w:val="ListBullet"/>
      </w:pPr>
      <w:r>
        <w:t>Tactical Level: Service Delivery Board meeting monthly, comprising senior managers, responsible for service performance review and improvement planning</w:t>
      </w:r>
    </w:p>
    <w:p>
      <w:pPr>
        <w:pStyle w:val="ListBullet"/>
      </w:pPr>
      <w:r>
        <w:t>Operational Level: Weekly operations meetings between operational leads, responsible for day-to-day service delivery and incident management</w:t>
      </w:r>
    </w:p>
    <w:p>
      <w:pPr>
        <w:pStyle w:val="Heading1"/>
      </w:pPr>
      <w:r>
        <w:t>7. Personnel and Staffing</w:t>
      </w:r>
    </w:p>
    <w:p>
      <w:r>
        <w:t>The Service Provider shall maintain a dedicated team of no fewer than three hundred and fifty (350) full-time equivalent (FTE) personnel for the delivery of Services. Of these, at least forty (40) FTEs shall be based at the Client's primary locations as specified in Schedule B. Key Personnel identified in Schedule F shall not be reassigned or replaced without the Client's prior written consent, which shall not be unreasonably withheld. The Service Provider shall ensure that all personnel assigned to this engagement possess the certifications and qualifications specified in Schedule F, Section 3.</w:t>
      </w:r>
    </w:p>
    <w:p>
      <w:pPr>
        <w:pStyle w:val="Heading1"/>
      </w:pPr>
      <w:r>
        <w:t>8. Intellectual Property Rights</w:t>
      </w:r>
    </w:p>
    <w:p>
      <w:pPr>
        <w:pStyle w:val="Heading2"/>
      </w:pPr>
      <w:r>
        <w:t>8.1 Client IP</w:t>
      </w:r>
    </w:p>
    <w:p>
      <w:r>
        <w:t>All Intellectual Property owned by the Client prior to the Effective Date or developed independently by the Client during the Term ("Client IP") shall remain the sole property of the Client. The Service Provider is granted a limited, non-exclusive, non-transferable license to use Client IP solely for the purpose of performing the Services during the Term.</w:t>
      </w:r>
    </w:p>
    <w:p>
      <w:pPr>
        <w:pStyle w:val="Heading2"/>
      </w:pPr>
      <w:r>
        <w:t>8.2 Service Provider IP</w:t>
      </w:r>
    </w:p>
    <w:p>
      <w:r>
        <w:t>All Intellectual Property owned by the Service Provider prior to the Effective Date or developed independently by the Service Provider ("Service Provider IP") shall remain the property of the Service Provider. The Client is granted a perpetual, irrevocable, royalty-free license to use any Service Provider IP that is embedded in the Deliverables.</w:t>
      </w:r>
    </w:p>
    <w:p>
      <w:pPr>
        <w:pStyle w:val="Heading2"/>
      </w:pPr>
      <w:r>
        <w:t>8.3 Jointly Developed IP</w:t>
      </w:r>
    </w:p>
    <w:p>
      <w:r>
        <w:t>Any Intellectual Property developed jointly by the Parties during the performance of this Agreement ("Joint IP") shall be jointly owned. Neither Party shall license or assign Joint IP to any third party without the prior written consent of the other Party. Disputes regarding the classification of IP shall be resolved through the governance process described in Section 6, escalating to the Executive Steering Committee if not resolved at the operational level within thirty (30) days.</w:t>
      </w:r>
    </w:p>
    <w:p>
      <w:pPr>
        <w:pStyle w:val="Heading1"/>
      </w:pPr>
      <w:r>
        <w:t>9. Confidentiality and Data Protection</w:t>
      </w:r>
    </w:p>
    <w:p>
      <w:pPr>
        <w:pStyle w:val="Heading2"/>
      </w:pPr>
      <w:r>
        <w:t>9.1 Confidentiality Obligations</w:t>
      </w:r>
    </w:p>
    <w:p>
      <w:r>
        <w:t>Each Party (the "Receiving Party") agrees to hold in strict confidence all Confidential Information received from the other Party (the "Disclosing Party") and shall not disclose such information to any third party without the prior written consent of the Disclosing Party, except as required by law or regulation. The confidentiality obligations under this Section shall survive the termination or expiration of this Agreement for a period of five (5) years.</w:t>
      </w:r>
    </w:p>
    <w:p>
      <w:pPr>
        <w:pStyle w:val="Heading2"/>
      </w:pPr>
      <w:r>
        <w:t>9.2 Data Protection Compliance</w:t>
      </w:r>
    </w:p>
    <w:p>
      <w:r>
        <w:t>The Service Provider shall comply with all applicable Data Protection Laws in the processing of personal data on behalf of the Client. The Service Provider shall act as a data processor under GDPR and shall execute a Data Processing Agreement ("DPA") in the form attached as Schedule G. The Service Provider shall implement appropriate technical and organizational measures to ensure a level of security appropriate to the risk, including but not limited to encryption of data at rest (AES-256) and in transit (TLS 1.3), access controls, regular security assessments, and incident response procedures.</w:t>
      </w:r>
    </w:p>
    <w:p>
      <w:pPr>
        <w:pStyle w:val="Heading2"/>
      </w:pPr>
      <w:r>
        <w:t>9.3 Data Breach Notification</w:t>
      </w:r>
    </w:p>
    <w:p>
      <w:r>
        <w:t>In the event of a data breach involving the Client's personal data, the Service Provider shall notify the Client within twenty-four (24) hours of becoming aware of the breach. The notification shall include the nature of the breach, categories of data affected, estimated number of data subjects affected, and the measures taken or proposed to address the breach. The Service Provider shall cooperate fully with the Client in investigating and remediating the breach, and shall bear all costs associated with the breach to the extent caused by the Service Provider's negligence or non-compliance with this Agreement.</w:t>
      </w:r>
    </w:p>
    <w:p>
      <w:pPr>
        <w:pStyle w:val="Heading1"/>
      </w:pPr>
      <w:r>
        <w:t>10. Insurance</w:t>
      </w:r>
    </w:p>
    <w:p>
      <w:r>
        <w:t>The Service Provider shall maintain, at its own expense, the following insurance coverage throughout the Term and for a period of two (2) years following termination or expiration: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Coverage Type</w:t>
            </w:r>
          </w:p>
        </w:tc>
        <w:tc>
          <w:tcPr>
            <w:tcW w:type="dxa" w:w="2880"/>
          </w:tcPr>
          <w:p>
            <w:r>
              <w:t>Minimum Limit</w:t>
            </w:r>
          </w:p>
        </w:tc>
        <w:tc>
          <w:tcPr>
            <w:tcW w:type="dxa" w:w="2880"/>
          </w:tcPr>
          <w:p>
            <w:r>
              <w:t>Deductible (max)</w:t>
            </w:r>
          </w:p>
        </w:tc>
      </w:tr>
      <w:tr>
        <w:tc>
          <w:tcPr>
            <w:tcW w:type="dxa" w:w="2880"/>
          </w:tcPr>
          <w:p>
            <w:r>
              <w:t>Commercial General Liability</w:t>
            </w:r>
          </w:p>
        </w:tc>
        <w:tc>
          <w:tcPr>
            <w:tcW w:type="dxa" w:w="2880"/>
          </w:tcPr>
          <w:p>
            <w:r>
              <w:t>$10,000,000 per occurrence</w:t>
            </w:r>
          </w:p>
        </w:tc>
        <w:tc>
          <w:tcPr>
            <w:tcW w:type="dxa" w:w="2880"/>
          </w:tcPr>
          <w:p>
            <w:r>
              <w:t>$100,000</w:t>
            </w:r>
          </w:p>
        </w:tc>
      </w:tr>
      <w:tr>
        <w:tc>
          <w:tcPr>
            <w:tcW w:type="dxa" w:w="2880"/>
          </w:tcPr>
          <w:p>
            <w:r>
              <w:t>Professional Liability (E&amp;O)</w:t>
            </w:r>
          </w:p>
        </w:tc>
        <w:tc>
          <w:tcPr>
            <w:tcW w:type="dxa" w:w="2880"/>
          </w:tcPr>
          <w:p>
            <w:r>
              <w:t>$25,000,000 per claim</w:t>
            </w:r>
          </w:p>
        </w:tc>
        <w:tc>
          <w:tcPr>
            <w:tcW w:type="dxa" w:w="2880"/>
          </w:tcPr>
          <w:p>
            <w:r>
              <w:t>$250,000</w:t>
            </w:r>
          </w:p>
        </w:tc>
      </w:tr>
      <w:tr>
        <w:tc>
          <w:tcPr>
            <w:tcW w:type="dxa" w:w="2880"/>
          </w:tcPr>
          <w:p>
            <w:r>
              <w:t>Cyber Liability</w:t>
            </w:r>
          </w:p>
        </w:tc>
        <w:tc>
          <w:tcPr>
            <w:tcW w:type="dxa" w:w="2880"/>
          </w:tcPr>
          <w:p>
            <w:r>
              <w:t>$20,000,000 per claim</w:t>
            </w:r>
          </w:p>
        </w:tc>
        <w:tc>
          <w:tcPr>
            <w:tcW w:type="dxa" w:w="2880"/>
          </w:tcPr>
          <w:p>
            <w:r>
              <w:t>$500,000</w:t>
            </w:r>
          </w:p>
        </w:tc>
      </w:tr>
      <w:tr>
        <w:tc>
          <w:tcPr>
            <w:tcW w:type="dxa" w:w="2880"/>
          </w:tcPr>
          <w:p>
            <w:r>
              <w:t>Workers' Compensation</w:t>
            </w:r>
          </w:p>
        </w:tc>
        <w:tc>
          <w:tcPr>
            <w:tcW w:type="dxa" w:w="2880"/>
          </w:tcPr>
          <w:p>
            <w:r>
              <w:t>Statutory limits</w:t>
            </w:r>
          </w:p>
        </w:tc>
        <w:tc>
          <w:tcPr>
            <w:tcW w:type="dxa" w:w="2880"/>
          </w:tcPr>
          <w:p>
            <w:r>
              <w:t>N/A</w:t>
            </w:r>
          </w:p>
        </w:tc>
      </w:tr>
      <w:tr>
        <w:tc>
          <w:tcPr>
            <w:tcW w:type="dxa" w:w="2880"/>
          </w:tcPr>
          <w:p>
            <w:r>
              <w:t>Employer's Liability</w:t>
            </w:r>
          </w:p>
        </w:tc>
        <w:tc>
          <w:tcPr>
            <w:tcW w:type="dxa" w:w="2880"/>
          </w:tcPr>
          <w:p>
            <w:r>
              <w:t>$5,000,000 per occurrence</w:t>
            </w:r>
          </w:p>
        </w:tc>
        <w:tc>
          <w:tcPr>
            <w:tcW w:type="dxa" w:w="2880"/>
          </w:tcPr>
          <w:p>
            <w:r>
              <w:t>$50,000</w:t>
            </w:r>
          </w:p>
        </w:tc>
      </w:tr>
    </w:tbl>
    <w:p>
      <w:pPr>
        <w:pStyle w:val="Heading1"/>
      </w:pPr>
      <w:r>
        <w:t>11. Indemnification and Limitation of Liability</w:t>
      </w:r>
    </w:p>
    <w:p>
      <w:pPr>
        <w:pStyle w:val="Heading2"/>
      </w:pPr>
      <w:r>
        <w:t>11.1 Service Provider Indemnification</w:t>
      </w:r>
    </w:p>
    <w:p>
      <w:r>
        <w:t>The Service Provider shall indemnify, defend, and hold harmless the Client, its affiliates, officers, directors, employees, and agents from and against all claims, damages, losses, liabilities, costs, and expenses (including reasonable attorneys' fees) arising out of or relating to: (a) the Service Provider's breach of this Agreement; (b) the Service Provider's negligence or willful misconduct; (c) any infringement of third-party Intellectual Property rights by the Deliverables; (d) any violation of applicable Data Protection Laws by the Service Provider; or (e) any personal injury or property damage caused by the Service Provider's personnel.</w:t>
      </w:r>
    </w:p>
    <w:p>
      <w:pPr>
        <w:pStyle w:val="Heading2"/>
      </w:pPr>
      <w:r>
        <w:t>11.2 Limitation of Liability</w:t>
      </w:r>
    </w:p>
    <w:p>
      <w:r>
        <w:t>Except for claims arising from (i) breach of confidentiality obligations under Section 9, (ii) indemnification obligations under Section 11.1(c) and (d), or (iii) willful misconduct or gross negligence, the aggregate liability of either Party under this Agreement shall not exceed two hundred percent (200%) of the annual Base Fee for the then-current contract year (the "Liability Cap"). For the avoidance of doubt, the Liability Cap for Year 1 shall be Fourteen Million Four Hundred Thousand US Dollars ($14,400,000.00).</w:t>
      </w:r>
    </w:p>
    <w:p>
      <w:pPr>
        <w:pStyle w:val="Heading2"/>
      </w:pPr>
      <w:r>
        <w:t>11.3 Exclusion of Consequential Damages</w:t>
      </w:r>
    </w:p>
    <w:p>
      <w:r>
        <w:t>Neither Party shall be liable to the other for any indirect, incidental, consequential, special, or punitive damages, including but not limited to loss of profits, loss of revenue, loss of data, or loss of business opportunity, regardless of the cause of action or the theory of liability, even if such Party has been advised of the possibility of such damages. This exclusion shall not apply to: (a) the Service Provider's indemnification obligations under Section 11.1; (b) breaches of confidentiality under Section 9; or (c) damages arising from willful misconduct.</w:t>
      </w:r>
    </w:p>
    <w:p>
      <w:pPr>
        <w:pStyle w:val="Heading1"/>
      </w:pPr>
      <w:r>
        <w:t>12. Termination</w:t>
      </w:r>
    </w:p>
    <w:p>
      <w:pPr>
        <w:pStyle w:val="Heading2"/>
      </w:pPr>
      <w:r>
        <w:t>12.1 Termination for Convenience</w:t>
      </w:r>
    </w:p>
    <w:p>
      <w:r>
        <w:t>The Client may terminate this Agreement for convenience by providing the Service Provider with one hundred and eighty (180) days' prior written notice. In the event of termination for convenience, the Client shall pay the Service Provider: (a) all fees due for Services performed through the termination date; (b) a termination fee equal to six (6) months of the Base Fee; and (c) reasonable, documented wind-down costs not to exceed Five Hundred Thousand US Dollars ($500,000.00).</w:t>
      </w:r>
    </w:p>
    <w:p>
      <w:pPr>
        <w:pStyle w:val="Heading2"/>
      </w:pPr>
      <w:r>
        <w:t>12.2 Termination for Cause</w:t>
      </w:r>
    </w:p>
    <w:p>
      <w:r>
        <w:t>Either Party may terminate this Agreement for cause upon the occurrence of any of the following events: (a) material breach that remains uncured for thirty (30) days after written notice; (b) insolvency, bankruptcy, or appointment of a receiver; (c) failure to meet Severity 1 SLA targets for three (3) consecutive months; (d) aggregate Service Credits exceeding twenty percent (20%) of the annual Base Fee in any rolling twelve (12) month period, as referenced in Section 4.4; or (e) a data breach caused by the Service Provider's gross negligence, as described in Section 9.3.</w:t>
      </w:r>
    </w:p>
    <w:p>
      <w:pPr>
        <w:pStyle w:val="Heading2"/>
      </w:pPr>
      <w:r>
        <w:t>12.3 Termination Assistance</w:t>
      </w:r>
    </w:p>
    <w:p>
      <w:r>
        <w:t>Upon termination or expiration of this Agreement, the Service Provider shall provide termination assistance services for a period of up to twelve (12) months (the "Termination Assistance Period") to facilitate the orderly transition of Services to the Client or its designated successor. Termination assistance shall be provided at the rates specified in Schedule E, Section 3. The Service Provider shall cooperate fully and in good faith during the transition, including providing access to all documentation, knowledge bases, and operational procedures.</w:t>
      </w:r>
    </w:p>
    <w:p>
      <w:pPr>
        <w:pStyle w:val="Heading1"/>
      </w:pPr>
      <w:r>
        <w:t>13. Business Continuity and Disaster Recovery</w:t>
      </w:r>
    </w:p>
    <w:p>
      <w:r>
        <w:t>The Service Provider shall maintain a comprehensive Business Continuity Plan ("BCP") and Disaster Recovery Plan ("DRP") that ensure the continuity of Services in the event of a disruption. The BCP/DRP shall include: (a) Recovery Time Objective (RTO) of four (4) hours for Critical Systems and twenty-four (24) hours for non-critical systems; (b) Recovery Point Objective (RPO) of one (1) hour for Critical Systems and four (4) hours for non-critical systems; (c) annual testing of the BCP/DRP with the Client's participation; and (d) a geographically diverse disaster recovery site located at least 200 kilometers from the primary data center. The Service Provider shall provide the Client with a copy of the BCP/DRP within sixty (60) days of the Effective Date and shall update it annually or upon any material change to the service delivery environment.</w:t>
      </w:r>
    </w:p>
    <w:p>
      <w:pPr>
        <w:pStyle w:val="Heading1"/>
      </w:pPr>
      <w:r>
        <w:t>14. Change Management</w:t>
      </w:r>
    </w:p>
    <w:p>
      <w:pPr>
        <w:pStyle w:val="Heading2"/>
      </w:pPr>
      <w:r>
        <w:t>14.1 Change Order Process</w:t>
      </w:r>
    </w:p>
    <w:p>
      <w:r>
        <w:t>Either Party may request a change to the scope, schedule, or pricing of Services by submitting a Change Order in the form set out in Schedule H. The receiving Party shall respond to a Change Order within ten (10) Business Days with either an acceptance, rejection, or counter-proposal. No change shall be effective until a Change Order is signed by the Authorized Representatives of both Parties.</w:t>
      </w:r>
    </w:p>
    <w:p>
      <w:pPr>
        <w:pStyle w:val="Heading2"/>
      </w:pPr>
      <w:r>
        <w:t>14.2 Emergency Changes</w:t>
      </w:r>
    </w:p>
    <w:p>
      <w:r>
        <w:t>In the event of an emergency requiring immediate changes to prevent or mitigate a Severity 1 incident, the Service Provider may implement changes without prior written approval, provided that: (a) the Service Provider notifies the Client's Authorized Representative within two (2) hours of implementing the change; (b) a retrospective Change Order is submitted within five (5) Business Days; and (c) the change is documented in the incident report.</w:t>
      </w:r>
    </w:p>
    <w:p>
      <w:pPr>
        <w:pStyle w:val="Heading1"/>
      </w:pPr>
      <w:r>
        <w:t>15. Regulatory Compliance</w:t>
      </w:r>
    </w:p>
    <w:p>
      <w:r>
        <w:t>The Service Provider shall comply with all applicable laws, regulations, and industry standards in the performance of Services, including but not limited to: SOC 2 Type II certification, ISO 27001 certification, PCI DSS compliance (for payment-related systems), HIPAA compliance (for healthcare data), and any sector-specific regulations applicable to the Client's industry. The Service Provider shall provide evidence of compliance upon request and shall notify the Client within five (5) Business Days of any change in its compliance status.</w:t>
      </w:r>
    </w:p>
    <w:p>
      <w:pPr>
        <w:pStyle w:val="Heading1"/>
      </w:pPr>
      <w:r>
        <w:t>16. Force Majeure</w:t>
      </w:r>
    </w:p>
    <w:p>
      <w:r>
        <w:t>Neither Party shall be liable for any failure or delay in performing its obligations under this Agreement to the extent that such failure or delay is caused by a Force Majeure Event. A "Force Majeure Event" means any event beyond the reasonable control of the affected Party, including but not limited to: natural disasters, epidemics, pandemics, acts of war or terrorism, government actions, labor disputes (other than those involving the affected Party's own employees), or failure of third-party telecommunications or power infrastructure. The affected Party shall: (a) notify the other Party within forty-eight (48) hours of the occurrence of the Force Majeure Event; (b) use commercially reasonable efforts to mitigate the impact; and (c) resume performance as soon as reasonably practicable. If a Force Majeure Event continues for more than ninety (90) consecutive days, either Party may terminate this Agreement upon thirty (30) days' written notice.</w:t>
      </w:r>
    </w:p>
    <w:p>
      <w:pPr>
        <w:pStyle w:val="Heading1"/>
      </w:pPr>
      <w:r>
        <w:t>17. Dispute Resolution</w:t>
      </w:r>
    </w:p>
    <w:p>
      <w:pPr>
        <w:pStyle w:val="Heading2"/>
      </w:pPr>
      <w:r>
        <w:t>17.1 Escalation</w:t>
      </w:r>
    </w:p>
    <w:p>
      <w:r>
        <w:t>Any dispute arising out of or in connection with this Agreement shall first be referred to the operational leads of both Parties for resolution within fifteen (15) Business Days. If unresolved, the dispute shall be escalated to the Executive Steering Committee for resolution within thirty (30) Business Days.</w:t>
      </w:r>
    </w:p>
    <w:p>
      <w:pPr>
        <w:pStyle w:val="Heading2"/>
      </w:pPr>
      <w:r>
        <w:t>17.2 Mediation</w:t>
      </w:r>
    </w:p>
    <w:p>
      <w:r>
        <w:t>If the dispute is not resolved through the escalation process described in Section 17.1, the Parties shall submit the dispute to mediation administered by the International Chamber of Commerce ("ICC") in accordance with its mediation rules. The mediation shall take place in New York, New York.</w:t>
      </w:r>
    </w:p>
    <w:p>
      <w:pPr>
        <w:pStyle w:val="Heading2"/>
      </w:pPr>
      <w:r>
        <w:t>17.3 Arbitration</w:t>
      </w:r>
    </w:p>
    <w:p>
      <w:r>
        <w:t>If the dispute is not resolved through mediation within sixty (60) days, the dispute shall be finally resolved by arbitration administered by the ICC under its Rules of Arbitration. The arbitration shall be conducted by three (3) arbitrators, with each Party appointing one arbitrator and the two appointed arbitrators selecting the third. The seat of arbitration shall be New York, New York, and the language of the arbitration shall be English. The arbitral award shall be final and binding on both Parties.</w:t>
      </w:r>
    </w:p>
    <w:p>
      <w:pPr>
        <w:pStyle w:val="Heading1"/>
      </w:pPr>
      <w:r>
        <w:t>18. General Provisions</w:t>
      </w:r>
    </w:p>
    <w:p>
      <w:pPr>
        <w:pStyle w:val="Heading2"/>
      </w:pPr>
      <w:r>
        <w:t>18.1 Governing Law</w:t>
      </w:r>
    </w:p>
    <w:p>
      <w:r>
        <w:t>This Agreement shall be governed by and construed in accordance with the laws of the State of New York, without regard to its conflict of laws principles.</w:t>
      </w:r>
    </w:p>
    <w:p>
      <w:pPr>
        <w:pStyle w:val="Heading2"/>
      </w:pPr>
      <w:r>
        <w:t>18.2 Entire Agreement</w:t>
      </w:r>
    </w:p>
    <w:p>
      <w:r>
        <w:t>This Agreement, together with all Schedules and Exhibits attached hereto, constitutes the entire agreement between the Parties with respect to the subject matter hereof and supersedes all prior negotiations, representations, warranties, and agreements between the Parties.</w:t>
      </w:r>
    </w:p>
    <w:p>
      <w:pPr>
        <w:pStyle w:val="Heading2"/>
      </w:pPr>
      <w:r>
        <w:t>18.3 Amendments</w:t>
      </w:r>
    </w:p>
    <w:p>
      <w:r>
        <w:t>No amendment or modification of this Agreement shall be effective unless made in writing and signed by the Authorized Representatives of both Parties.</w:t>
      </w:r>
    </w:p>
    <w:p>
      <w:pPr>
        <w:pStyle w:val="Heading2"/>
      </w:pPr>
      <w:r>
        <w:t>18.4 Assignment</w:t>
      </w:r>
    </w:p>
    <w:p>
      <w:r>
        <w:t>Neither Party may assign or transfer this Agreement or any of its rights or obligations hereunder without the prior written consent of the other Party, except that either Party may assign this Agreement to an affiliate or in connection with a merger, acquisition, or sale of all or substantially all of its assets, provided that the assignee assumes all obligations under this Agreement.</w:t>
      </w:r>
    </w:p>
    <w:p>
      <w:pPr>
        <w:pStyle w:val="Heading2"/>
      </w:pPr>
      <w:r>
        <w:t>18.5 Notices</w:t>
      </w:r>
    </w:p>
    <w:p>
      <w:r>
        <w:t>All notices under this Agreement shall be in writing and delivered by certified mail, overnight courier, or email (with confirmation of receipt) to the addresses specified in Schedule F, Section 5. Notices shall be deemed received: (a) if by certified mail, five (5) Business Days after mailing; (b) if by overnight courier, one (1) Business Day after dispatch; or (c) if by email, upon confirmation of receipt.</w:t>
      </w:r>
    </w:p>
    <w:p>
      <w:pPr>
        <w:pStyle w:val="Heading1"/>
      </w:pPr>
      <w:r>
        <w:t>Schedule A: Technology Assets</w:t>
      </w:r>
    </w:p>
    <w:p>
      <w:pPr>
        <w:pStyle w:val="Heading2"/>
      </w:pPr>
      <w:r>
        <w:t>Part I: Infrastructure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Asset Category</w:t>
            </w:r>
          </w:p>
        </w:tc>
        <w:tc>
          <w:tcPr>
            <w:tcW w:type="dxa" w:w="1728"/>
          </w:tcPr>
          <w:p>
            <w:r>
              <w:t>Description</w:t>
            </w:r>
          </w:p>
        </w:tc>
        <w:tc>
          <w:tcPr>
            <w:tcW w:type="dxa" w:w="1728"/>
          </w:tcPr>
          <w:p>
            <w:r>
              <w:t>Quantity</w:t>
            </w:r>
          </w:p>
        </w:tc>
        <w:tc>
          <w:tcPr>
            <w:tcW w:type="dxa" w:w="1728"/>
          </w:tcPr>
          <w:p>
            <w:r>
              <w:t>Criticality</w:t>
            </w:r>
          </w:p>
        </w:tc>
        <w:tc>
          <w:tcPr>
            <w:tcW w:type="dxa" w:w="1728"/>
          </w:tcPr>
          <w:p>
            <w:r>
              <w:t>Location</w:t>
            </w:r>
          </w:p>
        </w:tc>
      </w:tr>
      <w:tr>
        <w:tc>
          <w:tcPr>
            <w:tcW w:type="dxa" w:w="1728"/>
          </w:tcPr>
          <w:p>
            <w:r>
              <w:t>Physical Servers</w:t>
            </w:r>
          </w:p>
        </w:tc>
        <w:tc>
          <w:tcPr>
            <w:tcW w:type="dxa" w:w="1728"/>
          </w:tcPr>
          <w:p>
            <w:r>
              <w:t>Dell PowerEdge R750</w:t>
            </w:r>
          </w:p>
        </w:tc>
        <w:tc>
          <w:tcPr>
            <w:tcW w:type="dxa" w:w="1728"/>
          </w:tcPr>
          <w:p>
            <w:r>
              <w:t>480</w:t>
            </w:r>
          </w:p>
        </w:tc>
        <w:tc>
          <w:tcPr>
            <w:tcW w:type="dxa" w:w="1728"/>
          </w:tcPr>
          <w:p>
            <w:r>
              <w:t>Critical</w:t>
            </w:r>
          </w:p>
        </w:tc>
        <w:tc>
          <w:tcPr>
            <w:tcW w:type="dxa" w:w="1728"/>
          </w:tcPr>
          <w:p>
            <w:r>
              <w:t>All DCs</w:t>
            </w:r>
          </w:p>
        </w:tc>
      </w:tr>
      <w:tr>
        <w:tc>
          <w:tcPr>
            <w:tcW w:type="dxa" w:w="1728"/>
          </w:tcPr>
          <w:p>
            <w:r>
              <w:t>Virtual Servers</w:t>
            </w:r>
          </w:p>
        </w:tc>
        <w:tc>
          <w:tcPr>
            <w:tcW w:type="dxa" w:w="1728"/>
          </w:tcPr>
          <w:p>
            <w:r>
              <w:t>VMware ESXi 8.0 hosts</w:t>
            </w:r>
          </w:p>
        </w:tc>
        <w:tc>
          <w:tcPr>
            <w:tcW w:type="dxa" w:w="1728"/>
          </w:tcPr>
          <w:p>
            <w:r>
              <w:t>1,920</w:t>
            </w:r>
          </w:p>
        </w:tc>
        <w:tc>
          <w:tcPr>
            <w:tcW w:type="dxa" w:w="1728"/>
          </w:tcPr>
          <w:p>
            <w:r>
              <w:t>Critical</w:t>
            </w:r>
          </w:p>
        </w:tc>
        <w:tc>
          <w:tcPr>
            <w:tcW w:type="dxa" w:w="1728"/>
          </w:tcPr>
          <w:p>
            <w:r>
              <w:t>All DCs</w:t>
            </w:r>
          </w:p>
        </w:tc>
      </w:tr>
      <w:tr>
        <w:tc>
          <w:tcPr>
            <w:tcW w:type="dxa" w:w="1728"/>
          </w:tcPr>
          <w:p>
            <w:r>
              <w:t>Network Switches</w:t>
            </w:r>
          </w:p>
        </w:tc>
        <w:tc>
          <w:tcPr>
            <w:tcW w:type="dxa" w:w="1728"/>
          </w:tcPr>
          <w:p>
            <w:r>
              <w:t>Cisco Nexus 9000 series</w:t>
            </w:r>
          </w:p>
        </w:tc>
        <w:tc>
          <w:tcPr>
            <w:tcW w:type="dxa" w:w="1728"/>
          </w:tcPr>
          <w:p>
            <w:r>
              <w:t>240</w:t>
            </w:r>
          </w:p>
        </w:tc>
        <w:tc>
          <w:tcPr>
            <w:tcW w:type="dxa" w:w="1728"/>
          </w:tcPr>
          <w:p>
            <w:r>
              <w:t>Critical</w:t>
            </w:r>
          </w:p>
        </w:tc>
        <w:tc>
          <w:tcPr>
            <w:tcW w:type="dxa" w:w="1728"/>
          </w:tcPr>
          <w:p>
            <w:r>
              <w:t>All locations</w:t>
            </w:r>
          </w:p>
        </w:tc>
      </w:tr>
      <w:tr>
        <w:tc>
          <w:tcPr>
            <w:tcW w:type="dxa" w:w="1728"/>
          </w:tcPr>
          <w:p>
            <w:r>
              <w:t>Firewalls</w:t>
            </w:r>
          </w:p>
        </w:tc>
        <w:tc>
          <w:tcPr>
            <w:tcW w:type="dxa" w:w="1728"/>
          </w:tcPr>
          <w:p>
            <w:r>
              <w:t>Palo Alto PA-5400 series</w:t>
            </w:r>
          </w:p>
        </w:tc>
        <w:tc>
          <w:tcPr>
            <w:tcW w:type="dxa" w:w="1728"/>
          </w:tcPr>
          <w:p>
            <w:r>
              <w:t>48</w:t>
            </w:r>
          </w:p>
        </w:tc>
        <w:tc>
          <w:tcPr>
            <w:tcW w:type="dxa" w:w="1728"/>
          </w:tcPr>
          <w:p>
            <w:r>
              <w:t>Critical</w:t>
            </w:r>
          </w:p>
        </w:tc>
        <w:tc>
          <w:tcPr>
            <w:tcW w:type="dxa" w:w="1728"/>
          </w:tcPr>
          <w:p>
            <w:r>
              <w:t>All DCs</w:t>
            </w:r>
          </w:p>
        </w:tc>
      </w:tr>
      <w:tr>
        <w:tc>
          <w:tcPr>
            <w:tcW w:type="dxa" w:w="1728"/>
          </w:tcPr>
          <w:p>
            <w:r>
              <w:t>Load Balancers</w:t>
            </w:r>
          </w:p>
        </w:tc>
        <w:tc>
          <w:tcPr>
            <w:tcW w:type="dxa" w:w="1728"/>
          </w:tcPr>
          <w:p>
            <w:r>
              <w:t>F5 BIG-IP i10800</w:t>
            </w:r>
          </w:p>
        </w:tc>
        <w:tc>
          <w:tcPr>
            <w:tcW w:type="dxa" w:w="1728"/>
          </w:tcPr>
          <w:p>
            <w:r>
              <w:t>24</w:t>
            </w:r>
          </w:p>
        </w:tc>
        <w:tc>
          <w:tcPr>
            <w:tcW w:type="dxa" w:w="1728"/>
          </w:tcPr>
          <w:p>
            <w:r>
              <w:t>High</w:t>
            </w:r>
          </w:p>
        </w:tc>
        <w:tc>
          <w:tcPr>
            <w:tcW w:type="dxa" w:w="1728"/>
          </w:tcPr>
          <w:p>
            <w:r>
              <w:t>Primary DCs</w:t>
            </w:r>
          </w:p>
        </w:tc>
      </w:tr>
      <w:tr>
        <w:tc>
          <w:tcPr>
            <w:tcW w:type="dxa" w:w="1728"/>
          </w:tcPr>
          <w:p>
            <w:r>
              <w:t>SAN Storage</w:t>
            </w:r>
          </w:p>
        </w:tc>
        <w:tc>
          <w:tcPr>
            <w:tcW w:type="dxa" w:w="1728"/>
          </w:tcPr>
          <w:p>
            <w:r>
              <w:t>NetApp AFF A800</w:t>
            </w:r>
          </w:p>
        </w:tc>
        <w:tc>
          <w:tcPr>
            <w:tcW w:type="dxa" w:w="1728"/>
          </w:tcPr>
          <w:p>
            <w:r>
              <w:t>12 arrays</w:t>
            </w:r>
          </w:p>
        </w:tc>
        <w:tc>
          <w:tcPr>
            <w:tcW w:type="dxa" w:w="1728"/>
          </w:tcPr>
          <w:p>
            <w:r>
              <w:t>Critical</w:t>
            </w:r>
          </w:p>
        </w:tc>
        <w:tc>
          <w:tcPr>
            <w:tcW w:type="dxa" w:w="1728"/>
          </w:tcPr>
          <w:p>
            <w:r>
              <w:t>Primary DCs</w:t>
            </w:r>
          </w:p>
        </w:tc>
      </w:tr>
      <w:tr>
        <w:tc>
          <w:tcPr>
            <w:tcW w:type="dxa" w:w="1728"/>
          </w:tcPr>
          <w:p>
            <w:r>
              <w:t>NAS Storage</w:t>
            </w:r>
          </w:p>
        </w:tc>
        <w:tc>
          <w:tcPr>
            <w:tcW w:type="dxa" w:w="1728"/>
          </w:tcPr>
          <w:p>
            <w:r>
              <w:t>NetApp FAS9500</w:t>
            </w:r>
          </w:p>
        </w:tc>
        <w:tc>
          <w:tcPr>
            <w:tcW w:type="dxa" w:w="1728"/>
          </w:tcPr>
          <w:p>
            <w:r>
              <w:t>6 arrays</w:t>
            </w:r>
          </w:p>
        </w:tc>
        <w:tc>
          <w:tcPr>
            <w:tcW w:type="dxa" w:w="1728"/>
          </w:tcPr>
          <w:p>
            <w:r>
              <w:t>High</w:t>
            </w:r>
          </w:p>
        </w:tc>
        <w:tc>
          <w:tcPr>
            <w:tcW w:type="dxa" w:w="1728"/>
          </w:tcPr>
          <w:p>
            <w:r>
              <w:t>Primary DCs</w:t>
            </w:r>
          </w:p>
        </w:tc>
      </w:tr>
      <w:tr>
        <w:tc>
          <w:tcPr>
            <w:tcW w:type="dxa" w:w="1728"/>
          </w:tcPr>
          <w:p>
            <w:r>
              <w:t>Backup Systems</w:t>
            </w:r>
          </w:p>
        </w:tc>
        <w:tc>
          <w:tcPr>
            <w:tcW w:type="dxa" w:w="1728"/>
          </w:tcPr>
          <w:p>
            <w:r>
              <w:t>Veeam + Dell Data Domain</w:t>
            </w:r>
          </w:p>
        </w:tc>
        <w:tc>
          <w:tcPr>
            <w:tcW w:type="dxa" w:w="1728"/>
          </w:tcPr>
          <w:p>
            <w:r>
              <w:t>12 units</w:t>
            </w:r>
          </w:p>
        </w:tc>
        <w:tc>
          <w:tcPr>
            <w:tcW w:type="dxa" w:w="1728"/>
          </w:tcPr>
          <w:p>
            <w:r>
              <w:t>High</w:t>
            </w:r>
          </w:p>
        </w:tc>
        <w:tc>
          <w:tcPr>
            <w:tcW w:type="dxa" w:w="1728"/>
          </w:tcPr>
          <w:p>
            <w:r>
              <w:t>All DCs</w:t>
            </w:r>
          </w:p>
        </w:tc>
      </w:tr>
      <w:tr>
        <w:tc>
          <w:tcPr>
            <w:tcW w:type="dxa" w:w="1728"/>
          </w:tcPr>
          <w:p>
            <w:r>
              <w:t>Desktop/Laptop</w:t>
            </w:r>
          </w:p>
        </w:tc>
        <w:tc>
          <w:tcPr>
            <w:tcW w:type="dxa" w:w="1728"/>
          </w:tcPr>
          <w:p>
            <w:r>
              <w:t>Dell Latitude 5540 / Inspiron 16</w:t>
            </w:r>
          </w:p>
        </w:tc>
        <w:tc>
          <w:tcPr>
            <w:tcW w:type="dxa" w:w="1728"/>
          </w:tcPr>
          <w:p>
            <w:r>
              <w:t>15,000</w:t>
            </w:r>
          </w:p>
        </w:tc>
        <w:tc>
          <w:tcPr>
            <w:tcW w:type="dxa" w:w="1728"/>
          </w:tcPr>
          <w:p>
            <w:r>
              <w:t>Medium</w:t>
            </w:r>
          </w:p>
        </w:tc>
        <w:tc>
          <w:tcPr>
            <w:tcW w:type="dxa" w:w="1728"/>
          </w:tcPr>
          <w:p>
            <w:r>
              <w:t>All offices</w:t>
            </w:r>
          </w:p>
        </w:tc>
      </w:tr>
      <w:tr>
        <w:tc>
          <w:tcPr>
            <w:tcW w:type="dxa" w:w="1728"/>
          </w:tcPr>
          <w:p>
            <w:r>
              <w:t>Printers/MFDs</w:t>
            </w:r>
          </w:p>
        </w:tc>
        <w:tc>
          <w:tcPr>
            <w:tcW w:type="dxa" w:w="1728"/>
          </w:tcPr>
          <w:p>
            <w:r>
              <w:t>HP LaserJet Enterprise M611</w:t>
            </w:r>
          </w:p>
        </w:tc>
        <w:tc>
          <w:tcPr>
            <w:tcW w:type="dxa" w:w="1728"/>
          </w:tcPr>
          <w:p>
            <w:r>
              <w:t>850</w:t>
            </w:r>
          </w:p>
        </w:tc>
        <w:tc>
          <w:tcPr>
            <w:tcW w:type="dxa" w:w="1728"/>
          </w:tcPr>
          <w:p>
            <w:r>
              <w:t>Low</w:t>
            </w:r>
          </w:p>
        </w:tc>
        <w:tc>
          <w:tcPr>
            <w:tcW w:type="dxa" w:w="1728"/>
          </w:tcPr>
          <w:p>
            <w:r>
              <w:t>All offices</w:t>
            </w:r>
          </w:p>
        </w:tc>
      </w:tr>
    </w:tbl>
    <w:p>
      <w:pPr>
        <w:pStyle w:val="Heading2"/>
      </w:pPr>
      <w:r>
        <w:t>Part II: Enterprise Applications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Application</w:t>
            </w:r>
          </w:p>
        </w:tc>
        <w:tc>
          <w:tcPr>
            <w:tcW w:type="dxa" w:w="2160"/>
          </w:tcPr>
          <w:p>
            <w:r>
              <w:t>Version</w:t>
            </w:r>
          </w:p>
        </w:tc>
        <w:tc>
          <w:tcPr>
            <w:tcW w:type="dxa" w:w="2160"/>
          </w:tcPr>
          <w:p>
            <w:r>
              <w:t>Users</w:t>
            </w:r>
          </w:p>
        </w:tc>
        <w:tc>
          <w:tcPr>
            <w:tcW w:type="dxa" w:w="2160"/>
          </w:tcPr>
          <w:p>
            <w:r>
              <w:t>Support Level</w:t>
            </w:r>
          </w:p>
        </w:tc>
      </w:tr>
      <w:tr>
        <w:tc>
          <w:tcPr>
            <w:tcW w:type="dxa" w:w="2160"/>
          </w:tcPr>
          <w:p>
            <w:r>
              <w:t>SAP S/4HANA</w:t>
            </w:r>
          </w:p>
        </w:tc>
        <w:tc>
          <w:tcPr>
            <w:tcW w:type="dxa" w:w="2160"/>
          </w:tcPr>
          <w:p>
            <w:r>
              <w:t>2023 FPS02</w:t>
            </w:r>
          </w:p>
        </w:tc>
        <w:tc>
          <w:tcPr>
            <w:tcW w:type="dxa" w:w="2160"/>
          </w:tcPr>
          <w:p>
            <w:r>
              <w:t>4,500</w:t>
            </w:r>
          </w:p>
        </w:tc>
        <w:tc>
          <w:tcPr>
            <w:tcW w:type="dxa" w:w="2160"/>
          </w:tcPr>
          <w:p>
            <w:r>
              <w:t>L2/L3</w:t>
            </w:r>
          </w:p>
        </w:tc>
      </w:tr>
      <w:tr>
        <w:tc>
          <w:tcPr>
            <w:tcW w:type="dxa" w:w="2160"/>
          </w:tcPr>
          <w:p>
            <w:r>
              <w:t>Salesforce CRM</w:t>
            </w:r>
          </w:p>
        </w:tc>
        <w:tc>
          <w:tcPr>
            <w:tcW w:type="dxa" w:w="2160"/>
          </w:tcPr>
          <w:p>
            <w:r>
              <w:t>Enterprise Edition</w:t>
            </w:r>
          </w:p>
        </w:tc>
        <w:tc>
          <w:tcPr>
            <w:tcW w:type="dxa" w:w="2160"/>
          </w:tcPr>
          <w:p>
            <w:r>
              <w:t>2,800</w:t>
            </w:r>
          </w:p>
        </w:tc>
        <w:tc>
          <w:tcPr>
            <w:tcW w:type="dxa" w:w="2160"/>
          </w:tcPr>
          <w:p>
            <w:r>
              <w:t>L2/L3</w:t>
            </w:r>
          </w:p>
        </w:tc>
      </w:tr>
      <w:tr>
        <w:tc>
          <w:tcPr>
            <w:tcW w:type="dxa" w:w="2160"/>
          </w:tcPr>
          <w:p>
            <w:r>
              <w:t>Oracle E-Business Suite</w:t>
            </w:r>
          </w:p>
        </w:tc>
        <w:tc>
          <w:tcPr>
            <w:tcW w:type="dxa" w:w="2160"/>
          </w:tcPr>
          <w:p>
            <w:r>
              <w:t>R12.2.12</w:t>
            </w:r>
          </w:p>
        </w:tc>
        <w:tc>
          <w:tcPr>
            <w:tcW w:type="dxa" w:w="2160"/>
          </w:tcPr>
          <w:p>
            <w:r>
              <w:t>1,200</w:t>
            </w:r>
          </w:p>
        </w:tc>
        <w:tc>
          <w:tcPr>
            <w:tcW w:type="dxa" w:w="2160"/>
          </w:tcPr>
          <w:p>
            <w:r>
              <w:t>L2/L3</w:t>
            </w:r>
          </w:p>
        </w:tc>
      </w:tr>
      <w:tr>
        <w:tc>
          <w:tcPr>
            <w:tcW w:type="dxa" w:w="2160"/>
          </w:tcPr>
          <w:p>
            <w:r>
              <w:t>MeridianTrade (Custom)</w:t>
            </w:r>
          </w:p>
        </w:tc>
        <w:tc>
          <w:tcPr>
            <w:tcW w:type="dxa" w:w="2160"/>
          </w:tcPr>
          <w:p>
            <w:r>
              <w:t>v4.7.2</w:t>
            </w:r>
          </w:p>
        </w:tc>
        <w:tc>
          <w:tcPr>
            <w:tcW w:type="dxa" w:w="2160"/>
          </w:tcPr>
          <w:p>
            <w:r>
              <w:t>350</w:t>
            </w:r>
          </w:p>
        </w:tc>
        <w:tc>
          <w:tcPr>
            <w:tcW w:type="dxa" w:w="2160"/>
          </w:tcPr>
          <w:p>
            <w:r>
              <w:t>L2/L3</w:t>
            </w:r>
          </w:p>
        </w:tc>
      </w:tr>
      <w:tr>
        <w:tc>
          <w:tcPr>
            <w:tcW w:type="dxa" w:w="2160"/>
          </w:tcPr>
          <w:p>
            <w:r>
              <w:t>ServiceNow</w:t>
            </w:r>
          </w:p>
        </w:tc>
        <w:tc>
          <w:tcPr>
            <w:tcW w:type="dxa" w:w="2160"/>
          </w:tcPr>
          <w:p>
            <w:r>
              <w:t>Utah release</w:t>
            </w:r>
          </w:p>
        </w:tc>
        <w:tc>
          <w:tcPr>
            <w:tcW w:type="dxa" w:w="2160"/>
          </w:tcPr>
          <w:p>
            <w:r>
              <w:t>8,000</w:t>
            </w:r>
          </w:p>
        </w:tc>
        <w:tc>
          <w:tcPr>
            <w:tcW w:type="dxa" w:w="2160"/>
          </w:tcPr>
          <w:p>
            <w:r>
              <w:t>L2/L3</w:t>
            </w:r>
          </w:p>
        </w:tc>
      </w:tr>
      <w:tr>
        <w:tc>
          <w:tcPr>
            <w:tcW w:type="dxa" w:w="2160"/>
          </w:tcPr>
          <w:p>
            <w:r>
              <w:t>Microsoft 365</w:t>
            </w:r>
          </w:p>
        </w:tc>
        <w:tc>
          <w:tcPr>
            <w:tcW w:type="dxa" w:w="2160"/>
          </w:tcPr>
          <w:p>
            <w:r>
              <w:t>E5 license</w:t>
            </w:r>
          </w:p>
        </w:tc>
        <w:tc>
          <w:tcPr>
            <w:tcW w:type="dxa" w:w="2160"/>
          </w:tcPr>
          <w:p>
            <w:r>
              <w:t>15,000</w:t>
            </w:r>
          </w:p>
        </w:tc>
        <w:tc>
          <w:tcPr>
            <w:tcW w:type="dxa" w:w="2160"/>
          </w:tcPr>
          <w:p>
            <w:r>
              <w:t>L1/L2</w:t>
            </w:r>
          </w:p>
        </w:tc>
      </w:tr>
      <w:tr>
        <w:tc>
          <w:tcPr>
            <w:tcW w:type="dxa" w:w="2160"/>
          </w:tcPr>
          <w:p>
            <w:r>
              <w:t>Tableau Server</w:t>
            </w:r>
          </w:p>
        </w:tc>
        <w:tc>
          <w:tcPr>
            <w:tcW w:type="dxa" w:w="2160"/>
          </w:tcPr>
          <w:p>
            <w:r>
              <w:t>2024.1</w:t>
            </w:r>
          </w:p>
        </w:tc>
        <w:tc>
          <w:tcPr>
            <w:tcW w:type="dxa" w:w="2160"/>
          </w:tcPr>
          <w:p>
            <w:r>
              <w:t>600</w:t>
            </w:r>
          </w:p>
        </w:tc>
        <w:tc>
          <w:tcPr>
            <w:tcW w:type="dxa" w:w="2160"/>
          </w:tcPr>
          <w:p>
            <w:r>
              <w:t>L2</w:t>
            </w:r>
          </w:p>
        </w:tc>
      </w:tr>
      <w:tr>
        <w:tc>
          <w:tcPr>
            <w:tcW w:type="dxa" w:w="2160"/>
          </w:tcPr>
          <w:p>
            <w:r>
              <w:t>MuleSoft Anypoint</w:t>
            </w:r>
          </w:p>
        </w:tc>
        <w:tc>
          <w:tcPr>
            <w:tcW w:type="dxa" w:w="2160"/>
          </w:tcPr>
          <w:p>
            <w:r>
              <w:t>4.5</w:t>
            </w:r>
          </w:p>
        </w:tc>
        <w:tc>
          <w:tcPr>
            <w:tcW w:type="dxa" w:w="2160"/>
          </w:tcPr>
          <w:p>
            <w:r>
              <w:t>150</w:t>
            </w:r>
          </w:p>
        </w:tc>
        <w:tc>
          <w:tcPr>
            <w:tcW w:type="dxa" w:w="2160"/>
          </w:tcPr>
          <w:p>
            <w:r>
              <w:t>L2/L3</w:t>
            </w:r>
          </w:p>
        </w:tc>
      </w:tr>
    </w:tbl>
    <w:p>
      <w:pPr>
        <w:pStyle w:val="Heading1"/>
      </w:pPr>
      <w:r>
        <w:t>Schedule B: Service Locations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Location</w:t>
            </w:r>
          </w:p>
        </w:tc>
        <w:tc>
          <w:tcPr>
            <w:tcW w:type="dxa" w:w="1728"/>
          </w:tcPr>
          <w:p>
            <w:r>
              <w:t>City</w:t>
            </w:r>
          </w:p>
        </w:tc>
        <w:tc>
          <w:tcPr>
            <w:tcW w:type="dxa" w:w="1728"/>
          </w:tcPr>
          <w:p>
            <w:r>
              <w:t>Country</w:t>
            </w:r>
          </w:p>
        </w:tc>
        <w:tc>
          <w:tcPr>
            <w:tcW w:type="dxa" w:w="1728"/>
          </w:tcPr>
          <w:p>
            <w:r>
              <w:t>Type</w:t>
            </w:r>
          </w:p>
        </w:tc>
        <w:tc>
          <w:tcPr>
            <w:tcW w:type="dxa" w:w="1728"/>
          </w:tcPr>
          <w:p>
            <w:r>
              <w:t>FTE Count</w:t>
            </w:r>
          </w:p>
        </w:tc>
      </w:tr>
      <w:tr>
        <w:tc>
          <w:tcPr>
            <w:tcW w:type="dxa" w:w="1728"/>
          </w:tcPr>
          <w:p>
            <w:r>
              <w:t>NYC-HQ</w:t>
            </w:r>
          </w:p>
        </w:tc>
        <w:tc>
          <w:tcPr>
            <w:tcW w:type="dxa" w:w="1728"/>
          </w:tcPr>
          <w:p>
            <w:r>
              <w:t>New York</w:t>
            </w:r>
          </w:p>
        </w:tc>
        <w:tc>
          <w:tcPr>
            <w:tcW w:type="dxa" w:w="1728"/>
          </w:tcPr>
          <w:p>
            <w:r>
              <w:t>United States</w:t>
            </w:r>
          </w:p>
        </w:tc>
        <w:tc>
          <w:tcPr>
            <w:tcW w:type="dxa" w:w="1728"/>
          </w:tcPr>
          <w:p>
            <w:r>
              <w:t>Headquarters</w:t>
            </w:r>
          </w:p>
        </w:tc>
        <w:tc>
          <w:tcPr>
            <w:tcW w:type="dxa" w:w="1728"/>
          </w:tcPr>
          <w:p>
            <w:r>
              <w:t>45</w:t>
            </w:r>
          </w:p>
        </w:tc>
      </w:tr>
      <w:tr>
        <w:tc>
          <w:tcPr>
            <w:tcW w:type="dxa" w:w="1728"/>
          </w:tcPr>
          <w:p>
            <w:r>
              <w:t>NYC-DC1</w:t>
            </w:r>
          </w:p>
        </w:tc>
        <w:tc>
          <w:tcPr>
            <w:tcW w:type="dxa" w:w="1728"/>
          </w:tcPr>
          <w:p>
            <w:r>
              <w:t>New York</w:t>
            </w:r>
          </w:p>
        </w:tc>
        <w:tc>
          <w:tcPr>
            <w:tcW w:type="dxa" w:w="1728"/>
          </w:tcPr>
          <w:p>
            <w:r>
              <w:t>United States</w:t>
            </w:r>
          </w:p>
        </w:tc>
        <w:tc>
          <w:tcPr>
            <w:tcW w:type="dxa" w:w="1728"/>
          </w:tcPr>
          <w:p>
            <w:r>
              <w:t>Data Center (Tier IV)</w:t>
            </w:r>
          </w:p>
        </w:tc>
        <w:tc>
          <w:tcPr>
            <w:tcW w:type="dxa" w:w="1728"/>
          </w:tcPr>
          <w:p>
            <w:r>
              <w:t>20</w:t>
            </w:r>
          </w:p>
        </w:tc>
      </w:tr>
      <w:tr>
        <w:tc>
          <w:tcPr>
            <w:tcW w:type="dxa" w:w="1728"/>
          </w:tcPr>
          <w:p>
            <w:r>
              <w:t>CHI-OFF</w:t>
            </w:r>
          </w:p>
        </w:tc>
        <w:tc>
          <w:tcPr>
            <w:tcW w:type="dxa" w:w="1728"/>
          </w:tcPr>
          <w:p>
            <w:r>
              <w:t>Chicago</w:t>
            </w:r>
          </w:p>
        </w:tc>
        <w:tc>
          <w:tcPr>
            <w:tcW w:type="dxa" w:w="1728"/>
          </w:tcPr>
          <w:p>
            <w:r>
              <w:t>United States</w:t>
            </w:r>
          </w:p>
        </w:tc>
        <w:tc>
          <w:tcPr>
            <w:tcW w:type="dxa" w:w="1728"/>
          </w:tcPr>
          <w:p>
            <w:r>
              <w:t>Regional Office</w:t>
            </w:r>
          </w:p>
        </w:tc>
        <w:tc>
          <w:tcPr>
            <w:tcW w:type="dxa" w:w="1728"/>
          </w:tcPr>
          <w:p>
            <w:r>
              <w:t>15</w:t>
            </w:r>
          </w:p>
        </w:tc>
      </w:tr>
      <w:tr>
        <w:tc>
          <w:tcPr>
            <w:tcW w:type="dxa" w:w="1728"/>
          </w:tcPr>
          <w:p>
            <w:r>
              <w:t>LON-OFF</w:t>
            </w:r>
          </w:p>
        </w:tc>
        <w:tc>
          <w:tcPr>
            <w:tcW w:type="dxa" w:w="1728"/>
          </w:tcPr>
          <w:p>
            <w:r>
              <w:t>London</w:t>
            </w:r>
          </w:p>
        </w:tc>
        <w:tc>
          <w:tcPr>
            <w:tcW w:type="dxa" w:w="1728"/>
          </w:tcPr>
          <w:p>
            <w:r>
              <w:t>United Kingdom</w:t>
            </w:r>
          </w:p>
        </w:tc>
        <w:tc>
          <w:tcPr>
            <w:tcW w:type="dxa" w:w="1728"/>
          </w:tcPr>
          <w:p>
            <w:r>
              <w:t>Regional Office</w:t>
            </w:r>
          </w:p>
        </w:tc>
        <w:tc>
          <w:tcPr>
            <w:tcW w:type="dxa" w:w="1728"/>
          </w:tcPr>
          <w:p>
            <w:r>
              <w:t>25</w:t>
            </w:r>
          </w:p>
        </w:tc>
      </w:tr>
      <w:tr>
        <w:tc>
          <w:tcPr>
            <w:tcW w:type="dxa" w:w="1728"/>
          </w:tcPr>
          <w:p>
            <w:r>
              <w:t>LON-DC2</w:t>
            </w:r>
          </w:p>
        </w:tc>
        <w:tc>
          <w:tcPr>
            <w:tcW w:type="dxa" w:w="1728"/>
          </w:tcPr>
          <w:p>
            <w:r>
              <w:t>London</w:t>
            </w:r>
          </w:p>
        </w:tc>
        <w:tc>
          <w:tcPr>
            <w:tcW w:type="dxa" w:w="1728"/>
          </w:tcPr>
          <w:p>
            <w:r>
              <w:t>United Kingdom</w:t>
            </w:r>
          </w:p>
        </w:tc>
        <w:tc>
          <w:tcPr>
            <w:tcW w:type="dxa" w:w="1728"/>
          </w:tcPr>
          <w:p>
            <w:r>
              <w:t>Data Center (Tier III)</w:t>
            </w:r>
          </w:p>
        </w:tc>
        <w:tc>
          <w:tcPr>
            <w:tcW w:type="dxa" w:w="1728"/>
          </w:tcPr>
          <w:p>
            <w:r>
              <w:t>15</w:t>
            </w:r>
          </w:p>
        </w:tc>
      </w:tr>
      <w:tr>
        <w:tc>
          <w:tcPr>
            <w:tcW w:type="dxa" w:w="1728"/>
          </w:tcPr>
          <w:p>
            <w:r>
              <w:t>FRA-OFF</w:t>
            </w:r>
          </w:p>
        </w:tc>
        <w:tc>
          <w:tcPr>
            <w:tcW w:type="dxa" w:w="1728"/>
          </w:tcPr>
          <w:p>
            <w:r>
              <w:t>Frankfurt</w:t>
            </w:r>
          </w:p>
        </w:tc>
        <w:tc>
          <w:tcPr>
            <w:tcW w:type="dxa" w:w="1728"/>
          </w:tcPr>
          <w:p>
            <w:r>
              <w:t>Germany</w:t>
            </w:r>
          </w:p>
        </w:tc>
        <w:tc>
          <w:tcPr>
            <w:tcW w:type="dxa" w:w="1728"/>
          </w:tcPr>
          <w:p>
            <w:r>
              <w:t>Regional Office</w:t>
            </w:r>
          </w:p>
        </w:tc>
        <w:tc>
          <w:tcPr>
            <w:tcW w:type="dxa" w:w="1728"/>
          </w:tcPr>
          <w:p>
            <w:r>
              <w:t>10</w:t>
            </w:r>
          </w:p>
        </w:tc>
      </w:tr>
      <w:tr>
        <w:tc>
          <w:tcPr>
            <w:tcW w:type="dxa" w:w="1728"/>
          </w:tcPr>
          <w:p>
            <w:r>
              <w:t>SIN-OFF</w:t>
            </w:r>
          </w:p>
        </w:tc>
        <w:tc>
          <w:tcPr>
            <w:tcW w:type="dxa" w:w="1728"/>
          </w:tcPr>
          <w:p>
            <w:r>
              <w:t>Singapore</w:t>
            </w:r>
          </w:p>
        </w:tc>
        <w:tc>
          <w:tcPr>
            <w:tcW w:type="dxa" w:w="1728"/>
          </w:tcPr>
          <w:p>
            <w:r>
              <w:t>Singapore</w:t>
            </w:r>
          </w:p>
        </w:tc>
        <w:tc>
          <w:tcPr>
            <w:tcW w:type="dxa" w:w="1728"/>
          </w:tcPr>
          <w:p>
            <w:r>
              <w:t>Regional Office</w:t>
            </w:r>
          </w:p>
        </w:tc>
        <w:tc>
          <w:tcPr>
            <w:tcW w:type="dxa" w:w="1728"/>
          </w:tcPr>
          <w:p>
            <w:r>
              <w:t>20</w:t>
            </w:r>
          </w:p>
        </w:tc>
      </w:tr>
      <w:tr>
        <w:tc>
          <w:tcPr>
            <w:tcW w:type="dxa" w:w="1728"/>
          </w:tcPr>
          <w:p>
            <w:r>
              <w:t>HYD-ODC</w:t>
            </w:r>
          </w:p>
        </w:tc>
        <w:tc>
          <w:tcPr>
            <w:tcW w:type="dxa" w:w="1728"/>
          </w:tcPr>
          <w:p>
            <w:r>
              <w:t>Hyderabad</w:t>
            </w:r>
          </w:p>
        </w:tc>
        <w:tc>
          <w:tcPr>
            <w:tcW w:type="dxa" w:w="1728"/>
          </w:tcPr>
          <w:p>
            <w:r>
              <w:t>India</w:t>
            </w:r>
          </w:p>
        </w:tc>
        <w:tc>
          <w:tcPr>
            <w:tcW w:type="dxa" w:w="1728"/>
          </w:tcPr>
          <w:p>
            <w:r>
              <w:t>Offshore Dev Center</w:t>
            </w:r>
          </w:p>
        </w:tc>
        <w:tc>
          <w:tcPr>
            <w:tcW w:type="dxa" w:w="1728"/>
          </w:tcPr>
          <w:p>
            <w:r>
              <w:t>120</w:t>
            </w:r>
          </w:p>
        </w:tc>
      </w:tr>
      <w:tr>
        <w:tc>
          <w:tcPr>
            <w:tcW w:type="dxa" w:w="1728"/>
          </w:tcPr>
          <w:p>
            <w:r>
              <w:t>BLR-ODC</w:t>
            </w:r>
          </w:p>
        </w:tc>
        <w:tc>
          <w:tcPr>
            <w:tcW w:type="dxa" w:w="1728"/>
          </w:tcPr>
          <w:p>
            <w:r>
              <w:t>Bangalore</w:t>
            </w:r>
          </w:p>
        </w:tc>
        <w:tc>
          <w:tcPr>
            <w:tcW w:type="dxa" w:w="1728"/>
          </w:tcPr>
          <w:p>
            <w:r>
              <w:t>India</w:t>
            </w:r>
          </w:p>
        </w:tc>
        <w:tc>
          <w:tcPr>
            <w:tcW w:type="dxa" w:w="1728"/>
          </w:tcPr>
          <w:p>
            <w:r>
              <w:t>Offshore Dev Center</w:t>
            </w:r>
          </w:p>
        </w:tc>
        <w:tc>
          <w:tcPr>
            <w:tcW w:type="dxa" w:w="1728"/>
          </w:tcPr>
          <w:p>
            <w:r>
              <w:t>60</w:t>
            </w:r>
          </w:p>
        </w:tc>
      </w:tr>
      <w:tr>
        <w:tc>
          <w:tcPr>
            <w:tcW w:type="dxa" w:w="1728"/>
          </w:tcPr>
          <w:p>
            <w:r>
              <w:t>PUN-ODC</w:t>
            </w:r>
          </w:p>
        </w:tc>
        <w:tc>
          <w:tcPr>
            <w:tcW w:type="dxa" w:w="1728"/>
          </w:tcPr>
          <w:p>
            <w:r>
              <w:t>Pune</w:t>
            </w:r>
          </w:p>
        </w:tc>
        <w:tc>
          <w:tcPr>
            <w:tcW w:type="dxa" w:w="1728"/>
          </w:tcPr>
          <w:p>
            <w:r>
              <w:t>India</w:t>
            </w:r>
          </w:p>
        </w:tc>
        <w:tc>
          <w:tcPr>
            <w:tcW w:type="dxa" w:w="1728"/>
          </w:tcPr>
          <w:p>
            <w:r>
              <w:t>Offshore Dev Center</w:t>
            </w:r>
          </w:p>
        </w:tc>
        <w:tc>
          <w:tcPr>
            <w:tcW w:type="dxa" w:w="1728"/>
          </w:tcPr>
          <w:p>
            <w:r>
              <w:t>40</w:t>
            </w:r>
          </w:p>
        </w:tc>
      </w:tr>
      <w:tr>
        <w:tc>
          <w:tcPr>
            <w:tcW w:type="dxa" w:w="1728"/>
          </w:tcPr>
          <w:p>
            <w:r>
              <w:t>MUM-DC3</w:t>
            </w:r>
          </w:p>
        </w:tc>
        <w:tc>
          <w:tcPr>
            <w:tcW w:type="dxa" w:w="1728"/>
          </w:tcPr>
          <w:p>
            <w:r>
              <w:t>Mumbai</w:t>
            </w:r>
          </w:p>
        </w:tc>
        <w:tc>
          <w:tcPr>
            <w:tcW w:type="dxa" w:w="1728"/>
          </w:tcPr>
          <w:p>
            <w:r>
              <w:t>India</w:t>
            </w:r>
          </w:p>
        </w:tc>
        <w:tc>
          <w:tcPr>
            <w:tcW w:type="dxa" w:w="1728"/>
          </w:tcPr>
          <w:p>
            <w:r>
              <w:t>Data Center (Tier III)</w:t>
            </w:r>
          </w:p>
        </w:tc>
        <w:tc>
          <w:tcPr>
            <w:tcW w:type="dxa" w:w="1728"/>
          </w:tcPr>
          <w:p>
            <w:r>
              <w:t>10</w:t>
            </w:r>
          </w:p>
        </w:tc>
      </w:tr>
      <w:tr>
        <w:tc>
          <w:tcPr>
            <w:tcW w:type="dxa" w:w="1728"/>
          </w:tcPr>
          <w:p>
            <w:r>
              <w:t>TOK-OFF</w:t>
            </w:r>
          </w:p>
        </w:tc>
        <w:tc>
          <w:tcPr>
            <w:tcW w:type="dxa" w:w="1728"/>
          </w:tcPr>
          <w:p>
            <w:r>
              <w:t>Tokyo</w:t>
            </w:r>
          </w:p>
        </w:tc>
        <w:tc>
          <w:tcPr>
            <w:tcW w:type="dxa" w:w="1728"/>
          </w:tcPr>
          <w:p>
            <w:r>
              <w:t>Japan</w:t>
            </w:r>
          </w:p>
        </w:tc>
        <w:tc>
          <w:tcPr>
            <w:tcW w:type="dxa" w:w="1728"/>
          </w:tcPr>
          <w:p>
            <w:r>
              <w:t>Regional Office</w:t>
            </w:r>
          </w:p>
        </w:tc>
        <w:tc>
          <w:tcPr>
            <w:tcW w:type="dxa" w:w="1728"/>
          </w:tcPr>
          <w:p>
            <w:r>
              <w:t>10</w:t>
            </w:r>
          </w:p>
        </w:tc>
      </w:tr>
    </w:tbl>
    <w:p>
      <w:pPr>
        <w:pStyle w:val="Heading1"/>
      </w:pPr>
      <w:r>
        <w:t>Schedule C: SLA Penalty Matrix</w:t>
      </w:r>
    </w:p>
    <w:p>
      <w:r>
        <w:t>The following penalty matrix applies when Service Levels are not met. Penalties are cumulative and calculated monthly.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Penalty Trigger</w:t>
            </w:r>
          </w:p>
        </w:tc>
        <w:tc>
          <w:tcPr>
            <w:tcW w:type="dxa" w:w="2160"/>
          </w:tcPr>
          <w:p>
            <w:r>
              <w:t>Penalty Amount</w:t>
            </w:r>
          </w:p>
        </w:tc>
      </w:tr>
      <w:tr>
        <w:tc>
          <w:tcPr>
            <w:tcW w:type="dxa" w:w="2160"/>
          </w:tcPr>
          <w:p>
            <w:r>
              <w:t>System Availability (Critical)</w:t>
            </w:r>
          </w:p>
        </w:tc>
        <w:tc>
          <w:tcPr>
            <w:tcW w:type="dxa" w:w="2160"/>
          </w:tcPr>
          <w:p>
            <w:r>
              <w:t>99.99%</w:t>
            </w:r>
          </w:p>
        </w:tc>
        <w:tc>
          <w:tcPr>
            <w:tcW w:type="dxa" w:w="2160"/>
          </w:tcPr>
          <w:p>
            <w:r>
              <w:t>Below 99.95%</w:t>
            </w:r>
          </w:p>
        </w:tc>
        <w:tc>
          <w:tcPr>
            <w:tcW w:type="dxa" w:w="2160"/>
          </w:tcPr>
          <w:p>
            <w:r>
              <w:t>2% of monthly Base Fee per 0.01% shortfall</w:t>
            </w:r>
          </w:p>
        </w:tc>
      </w:tr>
      <w:tr>
        <w:tc>
          <w:tcPr>
            <w:tcW w:type="dxa" w:w="2160"/>
          </w:tcPr>
          <w:p>
            <w:r>
              <w:t>Incident Response (Sev 1)</w:t>
            </w:r>
          </w:p>
        </w:tc>
        <w:tc>
          <w:tcPr>
            <w:tcW w:type="dxa" w:w="2160"/>
          </w:tcPr>
          <w:p>
            <w:r>
              <w:t>15 minutes</w:t>
            </w:r>
          </w:p>
        </w:tc>
        <w:tc>
          <w:tcPr>
            <w:tcW w:type="dxa" w:w="2160"/>
          </w:tcPr>
          <w:p>
            <w:r>
              <w:t>Exceeds 30 minutes</w:t>
            </w:r>
          </w:p>
        </w:tc>
        <w:tc>
          <w:tcPr>
            <w:tcW w:type="dxa" w:w="2160"/>
          </w:tcPr>
          <w:p>
            <w:r>
              <w:t>$10,000 per incident</w:t>
            </w:r>
          </w:p>
        </w:tc>
      </w:tr>
      <w:tr>
        <w:tc>
          <w:tcPr>
            <w:tcW w:type="dxa" w:w="2160"/>
          </w:tcPr>
          <w:p>
            <w:r>
              <w:t>Incident Resolution (Sev 1)</w:t>
            </w:r>
          </w:p>
        </w:tc>
        <w:tc>
          <w:tcPr>
            <w:tcW w:type="dxa" w:w="2160"/>
          </w:tcPr>
          <w:p>
            <w:r>
              <w:t>4 hours</w:t>
            </w:r>
          </w:p>
        </w:tc>
        <w:tc>
          <w:tcPr>
            <w:tcW w:type="dxa" w:w="2160"/>
          </w:tcPr>
          <w:p>
            <w:r>
              <w:t>Exceeds 8 hours</w:t>
            </w:r>
          </w:p>
        </w:tc>
        <w:tc>
          <w:tcPr>
            <w:tcW w:type="dxa" w:w="2160"/>
          </w:tcPr>
          <w:p>
            <w:r>
              <w:t>$25,000 per incident</w:t>
            </w:r>
          </w:p>
        </w:tc>
      </w:tr>
      <w:tr>
        <w:tc>
          <w:tcPr>
            <w:tcW w:type="dxa" w:w="2160"/>
          </w:tcPr>
          <w:p>
            <w:r>
              <w:t>Change Success Rate</w:t>
            </w:r>
          </w:p>
        </w:tc>
        <w:tc>
          <w:tcPr>
            <w:tcW w:type="dxa" w:w="2160"/>
          </w:tcPr>
          <w:p>
            <w:r>
              <w:t>98%</w:t>
            </w:r>
          </w:p>
        </w:tc>
        <w:tc>
          <w:tcPr>
            <w:tcW w:type="dxa" w:w="2160"/>
          </w:tcPr>
          <w:p>
            <w:r>
              <w:t>Below 95%</w:t>
            </w:r>
          </w:p>
        </w:tc>
        <w:tc>
          <w:tcPr>
            <w:tcW w:type="dxa" w:w="2160"/>
          </w:tcPr>
          <w:p>
            <w:r>
              <w:t>1% of monthly Base Fee</w:t>
            </w:r>
          </w:p>
        </w:tc>
      </w:tr>
      <w:tr>
        <w:tc>
          <w:tcPr>
            <w:tcW w:type="dxa" w:w="2160"/>
          </w:tcPr>
          <w:p>
            <w:r>
              <w:t>Customer Satisfaction (CSAT)</w:t>
            </w:r>
          </w:p>
        </w:tc>
        <w:tc>
          <w:tcPr>
            <w:tcW w:type="dxa" w:w="2160"/>
          </w:tcPr>
          <w:p>
            <w:r>
              <w:t>4.2/5.0</w:t>
            </w:r>
          </w:p>
        </w:tc>
        <w:tc>
          <w:tcPr>
            <w:tcW w:type="dxa" w:w="2160"/>
          </w:tcPr>
          <w:p>
            <w:r>
              <w:t>Below 3.8/5.0</w:t>
            </w:r>
          </w:p>
        </w:tc>
        <w:tc>
          <w:tcPr>
            <w:tcW w:type="dxa" w:w="2160"/>
          </w:tcPr>
          <w:p>
            <w:r>
              <w:t>1.5% of monthly Base Fee</w:t>
            </w:r>
          </w:p>
        </w:tc>
      </w:tr>
    </w:tbl>
    <w:p>
      <w:pPr>
        <w:pStyle w:val="Heading1"/>
      </w:pPr>
      <w:r>
        <w:t>Schedule D: Compliance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Standard/Regulation</w:t>
            </w:r>
          </w:p>
        </w:tc>
        <w:tc>
          <w:tcPr>
            <w:tcW w:type="dxa" w:w="2880"/>
          </w:tcPr>
          <w:p>
            <w:r>
              <w:t>Scope</w:t>
            </w:r>
          </w:p>
        </w:tc>
        <w:tc>
          <w:tcPr>
            <w:tcW w:type="dxa" w:w="2880"/>
          </w:tcPr>
          <w:p>
            <w:r>
              <w:t>Certification Required By</w:t>
            </w:r>
          </w:p>
        </w:tc>
      </w:tr>
      <w:tr>
        <w:tc>
          <w:tcPr>
            <w:tcW w:type="dxa" w:w="2880"/>
          </w:tcPr>
          <w:p>
            <w:r>
              <w:t>SOC 2 Type II</w:t>
            </w:r>
          </w:p>
        </w:tc>
        <w:tc>
          <w:tcPr>
            <w:tcW w:type="dxa" w:w="2880"/>
          </w:tcPr>
          <w:p>
            <w:r>
              <w:t>All service delivery operations</w:t>
            </w:r>
          </w:p>
        </w:tc>
        <w:tc>
          <w:tcPr>
            <w:tcW w:type="dxa" w:w="2880"/>
          </w:tcPr>
          <w:p>
            <w:r>
              <w:t>Within 6 months of Effective Date</w:t>
            </w:r>
          </w:p>
        </w:tc>
      </w:tr>
      <w:tr>
        <w:tc>
          <w:tcPr>
            <w:tcW w:type="dxa" w:w="2880"/>
          </w:tcPr>
          <w:p>
            <w:r>
              <w:t>ISO 27001:2022</w:t>
            </w:r>
          </w:p>
        </w:tc>
        <w:tc>
          <w:tcPr>
            <w:tcW w:type="dxa" w:w="2880"/>
          </w:tcPr>
          <w:p>
            <w:r>
              <w:t>Information security management</w:t>
            </w:r>
          </w:p>
        </w:tc>
        <w:tc>
          <w:tcPr>
            <w:tcW w:type="dxa" w:w="2880"/>
          </w:tcPr>
          <w:p>
            <w:r>
              <w:t>Within 12 months of Effective Date</w:t>
            </w:r>
          </w:p>
        </w:tc>
      </w:tr>
      <w:tr>
        <w:tc>
          <w:tcPr>
            <w:tcW w:type="dxa" w:w="2880"/>
          </w:tcPr>
          <w:p>
            <w:r>
              <w:t>PCI DSS v4.0</w:t>
            </w:r>
          </w:p>
        </w:tc>
        <w:tc>
          <w:tcPr>
            <w:tcW w:type="dxa" w:w="2880"/>
          </w:tcPr>
          <w:p>
            <w:r>
              <w:t>Payment processing systems only</w:t>
            </w:r>
          </w:p>
        </w:tc>
        <w:tc>
          <w:tcPr>
            <w:tcW w:type="dxa" w:w="2880"/>
          </w:tcPr>
          <w:p>
            <w:r>
              <w:t>Prior to handling payment data</w:t>
            </w:r>
          </w:p>
        </w:tc>
      </w:tr>
      <w:tr>
        <w:tc>
          <w:tcPr>
            <w:tcW w:type="dxa" w:w="2880"/>
          </w:tcPr>
          <w:p>
            <w:r>
              <w:t>GDPR</w:t>
            </w:r>
          </w:p>
        </w:tc>
        <w:tc>
          <w:tcPr>
            <w:tcW w:type="dxa" w:w="2880"/>
          </w:tcPr>
          <w:p>
            <w:r>
              <w:t>All EU personal data processing</w:t>
            </w:r>
          </w:p>
        </w:tc>
        <w:tc>
          <w:tcPr>
            <w:tcW w:type="dxa" w:w="2880"/>
          </w:tcPr>
          <w:p>
            <w:r>
              <w:t>From Effective Date</w:t>
            </w:r>
          </w:p>
        </w:tc>
      </w:tr>
      <w:tr>
        <w:tc>
          <w:tcPr>
            <w:tcW w:type="dxa" w:w="2880"/>
          </w:tcPr>
          <w:p>
            <w:r>
              <w:t>CCPA</w:t>
            </w:r>
          </w:p>
        </w:tc>
        <w:tc>
          <w:tcPr>
            <w:tcW w:type="dxa" w:w="2880"/>
          </w:tcPr>
          <w:p>
            <w:r>
              <w:t>California consumer data</w:t>
            </w:r>
          </w:p>
        </w:tc>
        <w:tc>
          <w:tcPr>
            <w:tcW w:type="dxa" w:w="2880"/>
          </w:tcPr>
          <w:p>
            <w:r>
              <w:t>From Effective Date</w:t>
            </w:r>
          </w:p>
        </w:tc>
      </w:tr>
      <w:tr>
        <w:tc>
          <w:tcPr>
            <w:tcW w:type="dxa" w:w="2880"/>
          </w:tcPr>
          <w:p>
            <w:r>
              <w:t>HIPAA</w:t>
            </w:r>
          </w:p>
        </w:tc>
        <w:tc>
          <w:tcPr>
            <w:tcW w:type="dxa" w:w="2880"/>
          </w:tcPr>
          <w:p>
            <w:r>
              <w:t>Healthcare data (if applicable)</w:t>
            </w:r>
          </w:p>
        </w:tc>
        <w:tc>
          <w:tcPr>
            <w:tcW w:type="dxa" w:w="2880"/>
          </w:tcPr>
          <w:p>
            <w:r>
              <w:t>Prior to handling healthcare data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